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771525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10-Q</w:t>
      </w:r>
    </w:p>
    <w:p>
      <w:pPr>
        <w:spacing w:after="0" w:line="144" w:lineRule="exact"/>
        <w:rPr>
          <w:sz w:val="24"/>
          <w:szCs w:val="24"/>
          <w:color w:val="auto"/>
        </w:rPr>
      </w:pPr>
    </w:p>
    <w:p>
      <w:pPr>
        <w:ind w:left="660" w:right="2180" w:hanging="635"/>
        <w:spacing w:after="0" w:line="236"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OR</w:t>
      </w:r>
    </w:p>
    <w:p>
      <w:pPr>
        <w:spacing w:after="0" w:line="130" w:lineRule="exact"/>
        <w:rPr>
          <w:sz w:val="24"/>
          <w:szCs w:val="24"/>
          <w:color w:val="auto"/>
        </w:rPr>
      </w:pPr>
    </w:p>
    <w:p>
      <w:pPr>
        <w:ind w:left="660" w:right="2160" w:hanging="635"/>
        <w:spacing w:after="0" w:line="236"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46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3340735</wp:posOffset>
            </wp:positionH>
            <wp:positionV relativeFrom="paragraph">
              <wp:posOffset>119380</wp:posOffset>
            </wp:positionV>
            <wp:extent cx="469265" cy="443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9265" cy="443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GENERAL MOTORS COMPANY</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22" w:lineRule="exact"/>
        <w:rPr>
          <w:sz w:val="24"/>
          <w:szCs w:val="24"/>
          <w:color w:val="auto"/>
        </w:rPr>
      </w:pPr>
    </w:p>
    <w:tbl>
      <w:tblPr>
        <w:tblLayout w:type="fixed"/>
        <w:tblInd w:w="1700" w:type="dxa"/>
        <w:tblCellMar>
          <w:top w:w="0" w:type="dxa"/>
          <w:left w:w="0" w:type="dxa"/>
          <w:bottom w:w="0" w:type="dxa"/>
          <w:right w:w="0" w:type="dxa"/>
        </w:tblCellMar>
      </w:tblPr>
      <w:tr>
        <w:trPr>
          <w:trHeight w:val="234"/>
        </w:trPr>
        <w:tc>
          <w:tcPr>
            <w:tcW w:w="508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1940" w:type="dxa"/>
            <w:vAlign w:val="bottom"/>
          </w:tcPr>
          <w:p>
            <w:pPr>
              <w:jc w:val="right"/>
              <w:ind w:right="150"/>
              <w:spacing w:after="0"/>
              <w:rPr>
                <w:sz w:val="20"/>
                <w:szCs w:val="20"/>
                <w:color w:val="auto"/>
              </w:rPr>
            </w:pPr>
            <w:r>
              <w:rPr>
                <w:rFonts w:ascii="Arial" w:cs="Arial" w:eastAsia="Arial" w:hAnsi="Arial"/>
                <w:sz w:val="18"/>
                <w:szCs w:val="18"/>
                <w:b w:val="1"/>
                <w:bCs w:val="1"/>
                <w:color w:val="auto"/>
              </w:rPr>
              <w:t>27-0756180</w:t>
            </w:r>
          </w:p>
        </w:tc>
      </w:tr>
      <w:tr>
        <w:trPr>
          <w:trHeight w:val="228"/>
        </w:trPr>
        <w:tc>
          <w:tcPr>
            <w:tcW w:w="5080" w:type="dxa"/>
            <w:vAlign w:val="bottom"/>
          </w:tcPr>
          <w:p>
            <w:pPr>
              <w:jc w:val="center"/>
              <w:ind w:right="1570"/>
              <w:spacing w:after="0"/>
              <w:rPr>
                <w:sz w:val="20"/>
                <w:szCs w:val="20"/>
                <w:color w:val="auto"/>
              </w:rPr>
            </w:pPr>
            <w:r>
              <w:rPr>
                <w:rFonts w:ascii="Arial" w:cs="Arial" w:eastAsia="Arial" w:hAnsi="Arial"/>
                <w:sz w:val="18"/>
                <w:szCs w:val="18"/>
                <w:i w:val="1"/>
                <w:iCs w:val="1"/>
                <w:color w:val="auto"/>
                <w:w w:val="93"/>
              </w:rPr>
              <w:t>(State or other jurisdiction of</w:t>
            </w:r>
          </w:p>
        </w:tc>
        <w:tc>
          <w:tcPr>
            <w:tcW w:w="1940" w:type="dxa"/>
            <w:vAlign w:val="bottom"/>
          </w:tcPr>
          <w:p>
            <w:pPr>
              <w:jc w:val="center"/>
              <w:ind w:left="510"/>
              <w:spacing w:after="0"/>
              <w:rPr>
                <w:sz w:val="20"/>
                <w:szCs w:val="20"/>
                <w:color w:val="auto"/>
              </w:rPr>
            </w:pPr>
            <w:r>
              <w:rPr>
                <w:rFonts w:ascii="Arial" w:cs="Arial" w:eastAsia="Arial" w:hAnsi="Arial"/>
                <w:sz w:val="18"/>
                <w:szCs w:val="18"/>
                <w:i w:val="1"/>
                <w:iCs w:val="1"/>
                <w:color w:val="auto"/>
                <w:w w:val="89"/>
              </w:rPr>
              <w:t>(I.R.S. Employer</w:t>
            </w:r>
          </w:p>
        </w:tc>
      </w:tr>
      <w:tr>
        <w:trPr>
          <w:trHeight w:val="230"/>
        </w:trPr>
        <w:tc>
          <w:tcPr>
            <w:tcW w:w="5080" w:type="dxa"/>
            <w:vAlign w:val="bottom"/>
          </w:tcPr>
          <w:p>
            <w:pPr>
              <w:jc w:val="center"/>
              <w:ind w:right="1570"/>
              <w:spacing w:after="0"/>
              <w:rPr>
                <w:sz w:val="20"/>
                <w:szCs w:val="20"/>
                <w:color w:val="auto"/>
              </w:rPr>
            </w:pPr>
            <w:r>
              <w:rPr>
                <w:rFonts w:ascii="Arial" w:cs="Arial" w:eastAsia="Arial" w:hAnsi="Arial"/>
                <w:sz w:val="18"/>
                <w:szCs w:val="18"/>
                <w:i w:val="1"/>
                <w:iCs w:val="1"/>
                <w:color w:val="auto"/>
                <w:w w:val="94"/>
              </w:rPr>
              <w:t>incorporation or organization)</w:t>
            </w:r>
          </w:p>
        </w:tc>
        <w:tc>
          <w:tcPr>
            <w:tcW w:w="1940" w:type="dxa"/>
            <w:vAlign w:val="bottom"/>
          </w:tcPr>
          <w:p>
            <w:pPr>
              <w:jc w:val="center"/>
              <w:ind w:left="510"/>
              <w:spacing w:after="0"/>
              <w:rPr>
                <w:sz w:val="20"/>
                <w:szCs w:val="20"/>
                <w:color w:val="auto"/>
              </w:rPr>
            </w:pPr>
            <w:r>
              <w:rPr>
                <w:rFonts w:ascii="Arial" w:cs="Arial" w:eastAsia="Arial" w:hAnsi="Arial"/>
                <w:sz w:val="18"/>
                <w:szCs w:val="18"/>
                <w:i w:val="1"/>
                <w:iCs w:val="1"/>
                <w:color w:val="auto"/>
                <w:w w:val="95"/>
              </w:rPr>
              <w:t>Identification No.)</w:t>
            </w:r>
          </w:p>
        </w:tc>
      </w:tr>
      <w:tr>
        <w:trPr>
          <w:trHeight w:val="320"/>
        </w:trPr>
        <w:tc>
          <w:tcPr>
            <w:tcW w:w="50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3"/>
              </w:rPr>
              <w:t>300 Renaissance Center, Detroit, Michigan</w:t>
            </w:r>
          </w:p>
        </w:tc>
        <w:tc>
          <w:tcPr>
            <w:tcW w:w="1940" w:type="dxa"/>
            <w:vAlign w:val="bottom"/>
          </w:tcPr>
          <w:p>
            <w:pPr>
              <w:jc w:val="right"/>
              <w:ind w:right="150"/>
              <w:spacing w:after="0"/>
              <w:rPr>
                <w:sz w:val="20"/>
                <w:szCs w:val="20"/>
                <w:color w:val="auto"/>
              </w:rPr>
            </w:pPr>
            <w:r>
              <w:rPr>
                <w:rFonts w:ascii="Arial" w:cs="Arial" w:eastAsia="Arial" w:hAnsi="Arial"/>
                <w:sz w:val="18"/>
                <w:szCs w:val="18"/>
                <w:b w:val="1"/>
                <w:bCs w:val="1"/>
                <w:color w:val="auto"/>
              </w:rPr>
              <w:t>48265 -3000</w:t>
            </w:r>
          </w:p>
        </w:tc>
      </w:tr>
      <w:tr>
        <w:trPr>
          <w:trHeight w:val="270"/>
        </w:trPr>
        <w:tc>
          <w:tcPr>
            <w:tcW w:w="5080" w:type="dxa"/>
            <w:vAlign w:val="bottom"/>
          </w:tcPr>
          <w:p>
            <w:pPr>
              <w:jc w:val="center"/>
              <w:ind w:right="159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940" w:type="dxa"/>
            <w:vAlign w:val="bottom"/>
          </w:tcPr>
          <w:p>
            <w:pPr>
              <w:jc w:val="center"/>
              <w:ind w:left="510"/>
              <w:spacing w:after="0"/>
              <w:rPr>
                <w:sz w:val="20"/>
                <w:szCs w:val="20"/>
                <w:color w:val="auto"/>
              </w:rPr>
            </w:pPr>
            <w:r>
              <w:rPr>
                <w:rFonts w:ascii="Arial" w:cs="Arial" w:eastAsia="Arial" w:hAnsi="Arial"/>
                <w:sz w:val="18"/>
                <w:szCs w:val="18"/>
                <w:i w:val="1"/>
                <w:iCs w:val="1"/>
                <w:color w:val="auto"/>
                <w:w w:val="91"/>
              </w:rPr>
              <w:t>(Zip Code)</w:t>
            </w:r>
          </w:p>
        </w:tc>
      </w:tr>
      <w:tr>
        <w:trPr>
          <w:trHeight w:val="296"/>
        </w:trPr>
        <w:tc>
          <w:tcPr>
            <w:tcW w:w="5080" w:type="dxa"/>
            <w:vAlign w:val="bottom"/>
          </w:tcPr>
          <w:p>
            <w:pPr>
              <w:jc w:val="right"/>
              <w:ind w:right="510"/>
              <w:spacing w:after="0"/>
              <w:rPr>
                <w:sz w:val="20"/>
                <w:szCs w:val="20"/>
                <w:color w:val="auto"/>
              </w:rPr>
            </w:pPr>
            <w:r>
              <w:rPr>
                <w:rFonts w:ascii="Arial" w:cs="Arial" w:eastAsia="Arial" w:hAnsi="Arial"/>
                <w:sz w:val="18"/>
                <w:szCs w:val="18"/>
                <w:b w:val="1"/>
                <w:bCs w:val="1"/>
                <w:color w:val="auto"/>
              </w:rPr>
              <w:t>(313) 667-1500</w:t>
            </w:r>
          </w:p>
        </w:tc>
        <w:tc>
          <w:tcPr>
            <w:tcW w:w="194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0" w:lineRule="exact"/>
        <w:rPr>
          <w:sz w:val="24"/>
          <w:szCs w:val="24"/>
          <w:color w:val="auto"/>
        </w:rPr>
      </w:pPr>
    </w:p>
    <w:tbl>
      <w:tblPr>
        <w:tblLayout w:type="fixed"/>
        <w:tblInd w:w="144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3100" w:type="dxa"/>
            <w:vAlign w:val="bottom"/>
            <w:gridSpan w:val="2"/>
          </w:tcPr>
          <w:p>
            <w:pPr>
              <w:jc w:val="center"/>
              <w:ind w:right="1860"/>
              <w:spacing w:after="0"/>
              <w:rPr>
                <w:sz w:val="20"/>
                <w:szCs w:val="20"/>
                <w:color w:val="auto"/>
              </w:rPr>
            </w:pPr>
            <w:r>
              <w:rPr>
                <w:rFonts w:ascii="Arial" w:cs="Arial" w:eastAsia="Arial" w:hAnsi="Arial"/>
                <w:sz w:val="17"/>
                <w:szCs w:val="17"/>
                <w:color w:val="auto"/>
                <w:w w:val="91"/>
              </w:rPr>
              <w:t>Title of each class</w:t>
            </w:r>
          </w:p>
        </w:tc>
        <w:tc>
          <w:tcPr>
            <w:tcW w:w="2280" w:type="dxa"/>
            <w:vAlign w:val="bottom"/>
            <w:gridSpan w:val="2"/>
          </w:tcPr>
          <w:p>
            <w:pPr>
              <w:jc w:val="center"/>
              <w:ind w:right="980"/>
              <w:spacing w:after="0"/>
              <w:rPr>
                <w:sz w:val="20"/>
                <w:szCs w:val="20"/>
                <w:color w:val="auto"/>
              </w:rPr>
            </w:pPr>
            <w:r>
              <w:rPr>
                <w:rFonts w:ascii="Arial" w:cs="Arial" w:eastAsia="Arial" w:hAnsi="Arial"/>
                <w:sz w:val="17"/>
                <w:szCs w:val="17"/>
                <w:color w:val="auto"/>
                <w:w w:val="93"/>
              </w:rPr>
              <w:t>Trading Symbol(s)</w:t>
            </w:r>
          </w:p>
        </w:tc>
        <w:tc>
          <w:tcPr>
            <w:tcW w:w="3040" w:type="dxa"/>
            <w:vAlign w:val="bottom"/>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32"/>
        </w:trPr>
        <w:tc>
          <w:tcPr>
            <w:tcW w:w="3600" w:type="dxa"/>
            <w:vAlign w:val="bottom"/>
            <w:gridSpan w:val="3"/>
          </w:tcPr>
          <w:p>
            <w:pPr>
              <w:jc w:val="center"/>
              <w:ind w:right="1360"/>
              <w:spacing w:after="0"/>
              <w:rPr>
                <w:sz w:val="20"/>
                <w:szCs w:val="20"/>
                <w:color w:val="auto"/>
              </w:rPr>
            </w:pPr>
            <w:r>
              <w:rPr>
                <w:rFonts w:ascii="Arial" w:cs="Arial" w:eastAsia="Arial" w:hAnsi="Arial"/>
                <w:sz w:val="17"/>
                <w:szCs w:val="17"/>
                <w:color w:val="auto"/>
                <w:w w:val="92"/>
              </w:rPr>
              <w:t>Common Stock, $0.01 par value</w:t>
            </w:r>
          </w:p>
        </w:tc>
        <w:tc>
          <w:tcPr>
            <w:tcW w:w="2280" w:type="dxa"/>
            <w:vAlign w:val="bottom"/>
            <w:gridSpan w:val="2"/>
          </w:tcPr>
          <w:p>
            <w:pPr>
              <w:jc w:val="center"/>
              <w:ind w:right="960"/>
              <w:spacing w:after="0"/>
              <w:rPr>
                <w:sz w:val="20"/>
                <w:szCs w:val="20"/>
                <w:color w:val="auto"/>
              </w:rPr>
            </w:pPr>
            <w:r>
              <w:rPr>
                <w:rFonts w:ascii="Arial" w:cs="Arial" w:eastAsia="Arial" w:hAnsi="Arial"/>
                <w:sz w:val="17"/>
                <w:szCs w:val="17"/>
                <w:color w:val="auto"/>
              </w:rPr>
              <w:t>GM</w:t>
            </w:r>
          </w:p>
        </w:tc>
        <w:tc>
          <w:tcPr>
            <w:tcW w:w="3040" w:type="dxa"/>
            <w:vAlign w:val="bottom"/>
          </w:tcPr>
          <w:p>
            <w:pPr>
              <w:jc w:val="center"/>
              <w:spacing w:after="0"/>
              <w:rPr>
                <w:sz w:val="20"/>
                <w:szCs w:val="20"/>
                <w:color w:val="auto"/>
              </w:rPr>
            </w:pPr>
            <w:r>
              <w:rPr>
                <w:rFonts w:ascii="Arial" w:cs="Arial" w:eastAsia="Arial" w:hAnsi="Arial"/>
                <w:sz w:val="17"/>
                <w:szCs w:val="17"/>
                <w:color w:val="auto"/>
                <w:w w:val="92"/>
              </w:rPr>
              <w:t>New York Stock Exchange</w:t>
            </w:r>
          </w:p>
        </w:tc>
      </w:tr>
    </w:tbl>
    <w:p>
      <w:pPr>
        <w:spacing w:after="0" w:line="132" w:lineRule="exact"/>
        <w:rPr>
          <w:sz w:val="24"/>
          <w:szCs w:val="24"/>
          <w:color w:val="auto"/>
        </w:rPr>
      </w:pPr>
    </w:p>
    <w:p>
      <w:pPr>
        <w:jc w:val="both"/>
        <w:ind w:firstLine="81"/>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4"/>
          <w:szCs w:val="24"/>
          <w:color w:val="auto"/>
        </w:rPr>
      </w:pPr>
    </w:p>
    <w:p>
      <w:pPr>
        <w:jc w:val="both"/>
        <w:ind w:firstLine="81"/>
        <w:spacing w:after="0" w:line="21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4"/>
          <w:szCs w:val="24"/>
          <w:color w:val="auto"/>
        </w:rPr>
      </w:pPr>
    </w:p>
    <w:p>
      <w:pPr>
        <w:jc w:val="both"/>
        <w:ind w:firstLine="81"/>
        <w:spacing w:after="0" w:line="26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p>
      <w:pPr>
        <w:ind w:left="80"/>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Non-accelerated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7"/>
          <w:szCs w:val="17"/>
          <w:color w:val="auto"/>
        </w:rPr>
        <w:t>☐</w:t>
      </w:r>
    </w:p>
    <w:p>
      <w:pPr>
        <w:spacing w:after="0" w:line="132" w:lineRule="exact"/>
        <w:rPr>
          <w:sz w:val="24"/>
          <w:szCs w:val="24"/>
          <w:color w:val="auto"/>
        </w:rPr>
      </w:pPr>
    </w:p>
    <w:p>
      <w:pPr>
        <w:jc w:val="both"/>
        <w:ind w:firstLine="81"/>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4" w:lineRule="exact"/>
        <w:rPr>
          <w:sz w:val="24"/>
          <w:szCs w:val="24"/>
          <w:color w:val="auto"/>
        </w:rPr>
      </w:pPr>
    </w:p>
    <w:p>
      <w:pPr>
        <w:ind w:left="80" w:right="2220"/>
        <w:spacing w:after="0" w:line="27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12, 2021 there were 1,451,860,294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741680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122555</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20" w:type="dxa"/>
            <w:vAlign w:val="bottom"/>
          </w:tcPr>
          <w:p>
            <w:pPr>
              <w:jc w:val="center"/>
              <w:ind w:right="1330"/>
              <w:spacing w:after="0"/>
              <w:rPr>
                <w:sz w:val="20"/>
                <w:szCs w:val="20"/>
                <w:color w:val="auto"/>
              </w:rPr>
            </w:pPr>
            <w:r>
              <w:rPr>
                <w:rFonts w:ascii="Arial" w:cs="Arial" w:eastAsia="Arial" w:hAnsi="Arial"/>
                <w:sz w:val="18"/>
                <w:szCs w:val="18"/>
                <w:b w:val="1"/>
                <w:bCs w:val="1"/>
                <w:color w:val="auto"/>
              </w:rPr>
              <w:t>INDEX</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720" w:type="dxa"/>
            <w:vAlign w:val="bottom"/>
            <w:vMerge w:val="restart"/>
          </w:tcPr>
          <w:p>
            <w:pPr>
              <w:jc w:val="center"/>
              <w:ind w:right="1370"/>
              <w:spacing w:after="0"/>
              <w:rPr>
                <w:sz w:val="20"/>
                <w:szCs w:val="20"/>
                <w:color w:val="auto"/>
              </w:rPr>
            </w:pPr>
            <w:r>
              <w:rPr>
                <w:rFonts w:ascii="Arial" w:cs="Arial" w:eastAsia="Arial" w:hAnsi="Arial"/>
                <w:sz w:val="18"/>
                <w:szCs w:val="18"/>
                <w:b w:val="1"/>
                <w:bCs w:val="1"/>
                <w:color w:val="auto"/>
                <w:w w:val="98"/>
              </w:rPr>
              <w:t>PART I</w:t>
            </w:r>
          </w:p>
        </w:tc>
        <w:tc>
          <w:tcPr>
            <w:tcW w:w="540" w:type="dxa"/>
            <w:vAlign w:val="bottom"/>
            <w:gridSpan w:val="5"/>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720" w:type="dxa"/>
            <w:vAlign w:val="bottom"/>
            <w:vMerge w:val="continue"/>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Condensed Consolidated Income Statements (Unaudited)</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Statements of Comprehensive Income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Condensed Consolidated Balance Sheets (Unaudited)</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Statements of Cash Flows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Condensed Consolidated Statements of Equity (Unaudited)</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Notes to 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Nature of Operations and Basis of Presentation</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Note 2.</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3.</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Marketable and Other Securities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Note 4.</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GM Financial Receivables and Transactions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5.</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Inventories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11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6.</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Equipment on Operating Leases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12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7.</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Equity in Net Assets of Nonconsolidated Affiliates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12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8.</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Variable Interest Entities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13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9.</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Debt</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14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10.</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Derivative Financial Instruments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15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11.</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Accrued and Other Liabilities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17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12.</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Pensions and Other Postretirement Benefits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18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13.</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Commitments and Contingencies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20">
              <w:r>
                <w:rPr>
                  <w:rFonts w:ascii="Arial" w:cs="Arial" w:eastAsia="Arial" w:hAnsi="Arial"/>
                  <w:sz w:val="18"/>
                  <w:szCs w:val="18"/>
                  <w:color w:val="0000FF"/>
                </w:rPr>
                <w:t>18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14.</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Income Taxes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15.</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Restructuring and Other Initiatives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16.</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Stockholders' Equity and Noncontrolling Interests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22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17.</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Earnings Per Share</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24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18.</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Segment Reporting</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24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8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46</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4.</w:t>
            </w: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Controls and Procedures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720" w:type="dxa"/>
            <w:vAlign w:val="bottom"/>
            <w:shd w:val="clear" w:color="auto" w:fill="CCEEFF"/>
          </w:tcPr>
          <w:p>
            <w:pPr>
              <w:jc w:val="center"/>
              <w:ind w:right="1370"/>
              <w:spacing w:after="0"/>
              <w:rPr>
                <w:sz w:val="20"/>
                <w:szCs w:val="20"/>
                <w:color w:val="auto"/>
              </w:rPr>
            </w:pPr>
            <w:r>
              <w:rPr>
                <w:rFonts w:ascii="Arial" w:cs="Arial" w:eastAsia="Arial" w:hAnsi="Arial"/>
                <w:sz w:val="18"/>
                <w:szCs w:val="18"/>
                <w:b w:val="1"/>
                <w:bCs w:val="1"/>
                <w:color w:val="auto"/>
              </w:rPr>
              <w:t>PART II</w:t>
            </w: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Legal Proceedings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48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1A.</w:t>
            </w:r>
          </w:p>
        </w:tc>
        <w:tc>
          <w:tcPr>
            <w:tcW w:w="11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5"/>
              </w:rPr>
              <w:t>Risk Factors</w:t>
            </w:r>
          </w:p>
        </w:tc>
        <w:tc>
          <w:tcPr>
            <w:tcW w:w="8720" w:type="dxa"/>
            <w:vAlign w:val="bottom"/>
            <w:shd w:val="clear" w:color="auto" w:fill="CCEEFF"/>
          </w:tcPr>
          <w:p>
            <w:pPr>
              <w:spacing w:after="0"/>
              <w:rPr>
                <w:sz w:val="16"/>
                <w:szCs w:val="16"/>
                <w:color w:val="auto"/>
              </w:rPr>
            </w:pP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48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6.</w:t>
            </w:r>
          </w:p>
        </w:tc>
        <w:tc>
          <w:tcPr>
            <w:tcW w:w="11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Exhibits</w:t>
            </w:r>
          </w:p>
        </w:tc>
        <w:tc>
          <w:tcPr>
            <w:tcW w:w="8720" w:type="dxa"/>
            <w:vAlign w:val="bottom"/>
            <w:shd w:val="clear" w:color="auto" w:fill="CCEEFF"/>
          </w:tcPr>
          <w:p>
            <w:pPr>
              <w:spacing w:after="0"/>
              <w:rPr>
                <w:sz w:val="16"/>
                <w:szCs w:val="16"/>
                <w:color w:val="auto"/>
              </w:rPr>
            </w:pP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Signature</w:t>
            </w:r>
          </w:p>
        </w:tc>
        <w:tc>
          <w:tcPr>
            <w:tcW w:w="1120" w:type="dxa"/>
            <w:vAlign w:val="bottom"/>
          </w:tcPr>
          <w:p>
            <w:pPr>
              <w:spacing w:after="0"/>
              <w:rPr>
                <w:sz w:val="16"/>
                <w:szCs w:val="16"/>
                <w:color w:val="auto"/>
              </w:rPr>
            </w:pP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3"/>
        </w:trPr>
        <w:tc>
          <w:tcPr>
            <w:tcW w:w="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8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67"/>
        </w:trPr>
        <w:tc>
          <w:tcPr>
            <w:tcW w:w="5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September 30, 2021</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87"/>
              </w:rPr>
              <w:t>September 30, 2020</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September 30, 2021</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88"/>
              </w:rPr>
              <w:t>September 30, 2020</w:t>
            </w:r>
          </w:p>
        </w:tc>
      </w:tr>
      <w:tr>
        <w:trPr>
          <w:trHeight w:val="199"/>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Net sales and revenue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18"/>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74,580</w:t>
            </w:r>
          </w:p>
        </w:tc>
      </w:tr>
      <w:tr>
        <w:trPr>
          <w:trHeight w:val="212"/>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10,387</w:t>
            </w:r>
          </w:p>
        </w:tc>
      </w:tr>
      <w:tr>
        <w:trPr>
          <w:trHeight w:val="211"/>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net sales and revenue (Note 2)</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26,779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93,420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84,967</w:t>
            </w:r>
          </w:p>
        </w:tc>
      </w:tr>
      <w:tr>
        <w:trPr>
          <w:trHeight w:val="192"/>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8"/>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 and other cost of sales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67,339</w:t>
            </w:r>
          </w:p>
        </w:tc>
      </w:tr>
      <w:tr>
        <w:trPr>
          <w:trHeight w:val="212"/>
        </w:trPr>
        <w:tc>
          <w:tcPr>
            <w:tcW w:w="5220" w:type="dxa"/>
            <w:vAlign w:val="bottom"/>
          </w:tcPr>
          <w:p>
            <w:pPr>
              <w:ind w:left="140"/>
              <w:spacing w:after="0"/>
              <w:rPr>
                <w:sz w:val="20"/>
                <w:szCs w:val="20"/>
                <w:color w:val="auto"/>
              </w:rPr>
            </w:pPr>
            <w:r>
              <w:rPr>
                <w:rFonts w:ascii="Arial" w:cs="Arial" w:eastAsia="Arial" w:hAnsi="Arial"/>
                <w:sz w:val="16"/>
                <w:szCs w:val="16"/>
                <w:color w:val="auto"/>
              </w:rPr>
              <w:t>GM Financial interest, operating and other expenses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8,853</w:t>
            </w:r>
          </w:p>
        </w:tc>
      </w:tr>
      <w:tr>
        <w:trPr>
          <w:trHeight w:val="218"/>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 and other selling, general and administrative expense</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4,908</w:t>
            </w:r>
          </w:p>
        </w:tc>
      </w:tr>
      <w:tr>
        <w:trPr>
          <w:trHeight w:val="206"/>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25,134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31,056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85,616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81,100</w:t>
            </w:r>
          </w:p>
        </w:tc>
      </w:tr>
      <w:tr>
        <w:trPr>
          <w:trHeight w:val="211"/>
        </w:trPr>
        <w:tc>
          <w:tcPr>
            <w:tcW w:w="5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3,867</w:t>
            </w:r>
          </w:p>
        </w:tc>
      </w:tr>
      <w:tr>
        <w:trPr>
          <w:trHeight w:val="212"/>
        </w:trPr>
        <w:tc>
          <w:tcPr>
            <w:tcW w:w="5220" w:type="dxa"/>
            <w:vAlign w:val="bottom"/>
          </w:tcPr>
          <w:p>
            <w:pPr>
              <w:ind w:left="20"/>
              <w:spacing w:after="0"/>
              <w:rPr>
                <w:sz w:val="20"/>
                <w:szCs w:val="20"/>
                <w:color w:val="auto"/>
              </w:rPr>
            </w:pPr>
            <w:r>
              <w:rPr>
                <w:rFonts w:ascii="Arial" w:cs="Arial" w:eastAsia="Arial" w:hAnsi="Arial"/>
                <w:sz w:val="16"/>
                <w:szCs w:val="16"/>
                <w:color w:val="auto"/>
              </w:rPr>
              <w:t>Automotive interest expense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823</w:t>
            </w:r>
          </w:p>
        </w:tc>
      </w:tr>
      <w:tr>
        <w:trPr>
          <w:trHeight w:val="218"/>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and other non-operating income, net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r>
      <w:tr>
        <w:trPr>
          <w:trHeight w:val="212"/>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income (Note 7)</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4,656</w:t>
            </w:r>
          </w:p>
        </w:tc>
      </w:tr>
      <w:tr>
        <w:trPr>
          <w:trHeight w:val="212"/>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(Note 14)</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w:t>
            </w: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3,524</w:t>
            </w:r>
          </w:p>
        </w:tc>
      </w:tr>
      <w:tr>
        <w:trPr>
          <w:trHeight w:val="212"/>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noncontrolling interests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3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3,446</w:t>
            </w:r>
          </w:p>
        </w:tc>
      </w:tr>
      <w:tr>
        <w:trPr>
          <w:trHeight w:val="54"/>
        </w:trPr>
        <w:tc>
          <w:tcPr>
            <w:tcW w:w="5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5"/>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 (Note 17)</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2"/>
        </w:trPr>
        <w:tc>
          <w:tcPr>
            <w:tcW w:w="5220" w:type="dxa"/>
            <w:vAlign w:val="bottom"/>
          </w:tcPr>
          <w:p>
            <w:pPr>
              <w:ind w:left="140"/>
              <w:spacing w:after="0"/>
              <w:rPr>
                <w:sz w:val="20"/>
                <w:szCs w:val="20"/>
                <w:color w:val="auto"/>
              </w:rPr>
            </w:pPr>
            <w:r>
              <w:rPr>
                <w:rFonts w:ascii="Arial" w:cs="Arial" w:eastAsia="Arial" w:hAnsi="Arial"/>
                <w:sz w:val="16"/>
                <w:szCs w:val="16"/>
                <w:color w:val="auto"/>
              </w:rPr>
              <w:t>Basic earnings per common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18"/>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common shares outstanding – basic</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r>
      <w:tr>
        <w:trPr>
          <w:trHeight w:val="54"/>
        </w:trPr>
        <w:tc>
          <w:tcPr>
            <w:tcW w:w="5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5"/>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49"/>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Weighted-average common shares outstanding – diluted</w:t>
            </w:r>
          </w:p>
        </w:tc>
        <w:tc>
          <w:tcPr>
            <w:tcW w:w="14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1,467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1,439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1,467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1,439</w:t>
            </w:r>
          </w:p>
        </w:tc>
      </w:tr>
      <w:tr>
        <w:trPr>
          <w:trHeight w:val="210"/>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Dividends declared per common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0.38</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820" w:type="dxa"/>
            <w:vAlign w:val="bottom"/>
            <w:gridSpan w:val="4"/>
          </w:tcPr>
          <w:p>
            <w:pPr>
              <w:jc w:val="right"/>
              <w:ind w:right="802"/>
              <w:spacing w:after="0"/>
              <w:rPr>
                <w:sz w:val="20"/>
                <w:szCs w:val="20"/>
                <w:color w:val="auto"/>
              </w:rPr>
            </w:pPr>
            <w:r>
              <w:rPr>
                <w:rFonts w:ascii="Arial" w:cs="Arial" w:eastAsia="Arial" w:hAnsi="Arial"/>
                <w:sz w:val="14"/>
                <w:szCs w:val="14"/>
                <w:b w:val="1"/>
                <w:bCs w:val="1"/>
                <w:color w:val="auto"/>
              </w:rPr>
              <w:t>Nine Months Ended</w:t>
            </w:r>
          </w:p>
        </w:tc>
      </w:tr>
      <w:tr>
        <w:trPr>
          <w:trHeight w:val="167"/>
        </w:trPr>
        <w:tc>
          <w:tcPr>
            <w:tcW w:w="5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September 30, 2021</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02"/>
              <w:spacing w:after="0"/>
              <w:rPr>
                <w:sz w:val="20"/>
                <w:szCs w:val="20"/>
                <w:color w:val="auto"/>
              </w:rPr>
            </w:pPr>
            <w:r>
              <w:rPr>
                <w:rFonts w:ascii="Arial" w:cs="Arial" w:eastAsia="Arial" w:hAnsi="Arial"/>
                <w:sz w:val="13"/>
                <w:szCs w:val="13"/>
                <w:b w:val="1"/>
                <w:bCs w:val="1"/>
                <w:color w:val="auto"/>
                <w:w w:val="88"/>
              </w:rPr>
              <w:t>September 30, 2020</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September 30, 2021</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22"/>
              <w:spacing w:after="0"/>
              <w:rPr>
                <w:sz w:val="20"/>
                <w:szCs w:val="20"/>
                <w:color w:val="auto"/>
              </w:rPr>
            </w:pPr>
            <w:r>
              <w:rPr>
                <w:rFonts w:ascii="Arial" w:cs="Arial" w:eastAsia="Arial" w:hAnsi="Arial"/>
                <w:sz w:val="13"/>
                <w:szCs w:val="13"/>
                <w:b w:val="1"/>
                <w:bCs w:val="1"/>
                <w:color w:val="auto"/>
                <w:w w:val="88"/>
              </w:rPr>
              <w:t>September 30, 2020</w:t>
            </w:r>
          </w:p>
        </w:tc>
      </w:tr>
      <w:tr>
        <w:trPr>
          <w:trHeight w:val="215"/>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8,179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3,524</w:t>
            </w:r>
          </w:p>
        </w:tc>
      </w:tr>
      <w:tr>
        <w:trPr>
          <w:trHeight w:val="212"/>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 (Note 16)</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8"/>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 and other</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r>
      <w:tr>
        <w:trPr>
          <w:trHeight w:val="212"/>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211"/>
        </w:trPr>
        <w:tc>
          <w:tcPr>
            <w:tcW w:w="5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 (loss),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r>
      <w:tr>
        <w:trPr>
          <w:trHeight w:val="206"/>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16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2,373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3,970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8,651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2,723</w:t>
            </w: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1"/>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attributable to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2,413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8,763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2,782</w:t>
            </w: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1480" w:type="dxa"/>
            <w:vAlign w:val="bottom"/>
          </w:tcPr>
          <w:p>
            <w:pPr>
              <w:jc w:val="right"/>
              <w:ind w:right="160"/>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96"/>
        </w:trPr>
        <w:tc>
          <w:tcPr>
            <w:tcW w:w="7820" w:type="dxa"/>
            <w:vAlign w:val="bottom"/>
          </w:tcPr>
          <w:p>
            <w:pPr>
              <w:ind w:left="36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19,992</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Marketable debt securities (Note 3)</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6,575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9,046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and notes receivable,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8,035</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GM Financial receivables, net (Note 4; Note 8 at VIEs)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25,093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26,209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(Note 5)</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10,235</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 (Note 3; Note 8 at VIEs)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7,407</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80,924</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Financial receivables, net (Note 4; Note 8 at VIEs)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Equity in net assets of nonconsolidated affiliates (Note 7)</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9,234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8,406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37,632</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Goodwill and intangible assets,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5,230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on operating leases, net (Note 6; Note 8 at VIEs)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39,819</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22,245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24,136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 (Note 3; Note 8 at VIEs)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7,264</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assets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160,766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154,270</w:t>
            </w: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238,557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235,194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88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(principally trade)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19,928</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Short-term debt and current portion of long-term debt (Note 9)</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Automotive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Arial" w:cs="Arial" w:eastAsia="Arial" w:hAnsi="Arial"/>
                <w:sz w:val="16"/>
                <w:szCs w:val="16"/>
                <w:color w:val="auto"/>
              </w:rPr>
              <w:t>GM Financial (Note 8 at VIEs)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34,343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35,637</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 (Note 11)</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18,484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23,069</w:t>
            </w:r>
          </w:p>
        </w:tc>
        <w:tc>
          <w:tcPr>
            <w:tcW w:w="0" w:type="dxa"/>
            <w:vAlign w:val="bottom"/>
          </w:tcPr>
          <w:p>
            <w:pPr>
              <w:spacing w:after="0"/>
              <w:rPr>
                <w:sz w:val="1"/>
                <w:szCs w:val="1"/>
                <w:color w:val="auto"/>
              </w:rPr>
            </w:pPr>
          </w:p>
        </w:tc>
      </w:tr>
      <w:tr>
        <w:trPr>
          <w:trHeight w:val="206"/>
        </w:trPr>
        <w:tc>
          <w:tcPr>
            <w:tcW w:w="7820" w:type="dxa"/>
            <w:vAlign w:val="bottom"/>
          </w:tcPr>
          <w:p>
            <w:pPr>
              <w:ind w:left="14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71,951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79,910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Long-term debt (Note 9)</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Automotive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16,193</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Arial" w:cs="Arial" w:eastAsia="Arial" w:hAnsi="Arial"/>
                <w:sz w:val="16"/>
                <w:szCs w:val="16"/>
                <w:color w:val="auto"/>
              </w:rPr>
              <w:t>GM Financial (Note 8 at VIEs)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57,762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56,788</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Postretirement benefits other than pensions (Note 12)</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6,277</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Pensions (Note 12)</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10,822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12,902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 (Note 11)</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13,447</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liabilities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106,285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105,607</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185,517</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Commitments and contingencies (Note 13)</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Equity (Note 16)</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Common stock, $0.01 par value</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26,542</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40,212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31,962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(13,488)</w:t>
            </w:r>
          </w:p>
        </w:tc>
        <w:tc>
          <w:tcPr>
            <w:tcW w:w="0" w:type="dxa"/>
            <w:vAlign w:val="bottom"/>
          </w:tcPr>
          <w:p>
            <w:pPr>
              <w:spacing w:after="0"/>
              <w:rPr>
                <w:sz w:val="1"/>
                <w:szCs w:val="1"/>
                <w:color w:val="auto"/>
              </w:rPr>
            </w:pPr>
          </w:p>
        </w:tc>
      </w:tr>
      <w:tr>
        <w:trPr>
          <w:trHeight w:val="206"/>
        </w:trPr>
        <w:tc>
          <w:tcPr>
            <w:tcW w:w="7820" w:type="dxa"/>
            <w:vAlign w:val="bottom"/>
          </w:tcPr>
          <w:p>
            <w:pPr>
              <w:ind w:left="140"/>
              <w:spacing w:after="0"/>
              <w:rPr>
                <w:sz w:val="20"/>
                <w:szCs w:val="20"/>
                <w:color w:val="auto"/>
              </w:rPr>
            </w:pPr>
            <w:r>
              <w:rPr>
                <w:rFonts w:ascii="Arial" w:cs="Arial" w:eastAsia="Arial" w:hAnsi="Arial"/>
                <w:sz w:val="16"/>
                <w:szCs w:val="16"/>
                <w:color w:val="auto"/>
              </w:rPr>
              <w:t>Total stockholders’ equity</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54,150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45,030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4,647</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60,321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49,677</w:t>
            </w: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238,557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235,194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14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September 30, 2020</w:t>
            </w:r>
          </w:p>
        </w:tc>
      </w:tr>
      <w:tr>
        <w:trPr>
          <w:trHeight w:val="195"/>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3,524</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Depreciation and impairment of Equipment on operating leases,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4,757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5,518</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amortization and impairment charges on Property,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4,217</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Foreign currency remeasurement and transaction (gains) losses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Undistributed earnings (loss) of nonconsolidated affiliates,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Pension contributions and OPEB payments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(610)</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OPEB income,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Provision for deferred taxes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other operating assets and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(2,805)</w:t>
            </w: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8,379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9,977</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Expenditures for property</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(3,328)</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Available-for-sale marketable securities, acquisitions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(12,190)</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Available-for-sale marketable securities, liquidations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8,236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7,018</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finance receivables,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(22,294)</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Principal collections and recoveries on finance receivables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18,297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14,622</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leased vehicles,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(10,468)</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Proceeds from termination of leased vehicles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15,513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9,937</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(10,939)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(16,819)</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Net increase in short-term debt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580</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debt (original maturities greater than three months)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64,931</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Payments on debt (original maturities greater than three months)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(38,266)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(50,659)</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subsidiary preferred stock (Note 16)</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Dividends paid</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(653)</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14,159</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r>
      <w:tr>
        <w:trPr>
          <w:trHeight w:val="206"/>
        </w:trPr>
        <w:tc>
          <w:tcPr>
            <w:tcW w:w="7820" w:type="dxa"/>
            <w:vAlign w:val="bottom"/>
          </w:tcPr>
          <w:p>
            <w:pPr>
              <w:ind w:left="1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6,913</w:t>
            </w: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22,943</w:t>
            </w: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21,651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29,856</w:t>
            </w:r>
          </w:p>
        </w:tc>
      </w:tr>
      <w:tr>
        <w:trPr>
          <w:trHeight w:val="46"/>
        </w:trPr>
        <w:tc>
          <w:tcPr>
            <w:tcW w:w="78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12"/>
        </w:trPr>
        <w:tc>
          <w:tcPr>
            <w:tcW w:w="78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Significant Non-cash Investing and Financing Activity</w:t>
            </w:r>
          </w:p>
        </w:tc>
        <w:tc>
          <w:tcPr>
            <w:tcW w:w="1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property additions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w:t>
            </w: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(Unaudited)</w:t>
      </w:r>
    </w:p>
    <w:p>
      <w:pPr>
        <w:spacing w:after="0" w:line="133" w:lineRule="exact"/>
        <w:rPr>
          <w:sz w:val="20"/>
          <w:szCs w:val="20"/>
          <w:color w:val="auto"/>
        </w:rPr>
      </w:pPr>
    </w:p>
    <w:tbl>
      <w:tblPr>
        <w:tblLayout w:type="fixed"/>
        <w:tblInd w:w="60" w:type="dxa"/>
        <w:tblCellMar>
          <w:top w:w="0" w:type="dxa"/>
          <w:left w:w="0" w:type="dxa"/>
          <w:bottom w:w="0" w:type="dxa"/>
          <w:right w:w="0" w:type="dxa"/>
        </w:tblCellMar>
      </w:tblPr>
      <w:tr>
        <w:trPr>
          <w:trHeight w:val="191"/>
        </w:trPr>
        <w:tc>
          <w:tcPr>
            <w:tcW w:w="4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Common Stockholders’</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24"/>
                <w:szCs w:val="2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26,074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26,860</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4,165</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45,957</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Adoption of accounting standards</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subsidiary preferred stock</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Purchase of common stock</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Cash dividends paid on common stock</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8"/>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26,014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25,885</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4,204</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44,317</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Issuance of subsidiary preferred stock</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2"/>
        </w:trPr>
        <w:tc>
          <w:tcPr>
            <w:tcW w:w="42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26,087</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25,104</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(11,901)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4,189</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43,493</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4,045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4,018</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subsidiary preferred stock (Note 16)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2"/>
        </w:trPr>
        <w:tc>
          <w:tcPr>
            <w:tcW w:w="4260" w:type="dxa"/>
            <w:vAlign w:val="bottom"/>
          </w:tcPr>
          <w:p>
            <w:pPr>
              <w:ind w:left="20"/>
              <w:spacing w:after="0" w:line="181" w:lineRule="exact"/>
              <w:rPr>
                <w:sz w:val="20"/>
                <w:szCs w:val="20"/>
                <w:color w:val="auto"/>
              </w:rPr>
            </w:pPr>
            <w:r>
              <w:rPr>
                <w:rFonts w:ascii="Arial" w:cs="Arial" w:eastAsia="Arial" w:hAnsi="Arial"/>
                <w:sz w:val="16"/>
                <w:szCs w:val="16"/>
                <w:b w:val="1"/>
                <w:bCs w:val="1"/>
                <w:color w:val="auto"/>
              </w:rPr>
              <w:t>Balance at September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26,148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29,134</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(11,955)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4,667</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48,008</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b w:val="1"/>
                <w:bCs w:val="1"/>
                <w:color w:val="auto"/>
              </w:rPr>
              <w:t>Balance at January 1, 2021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26,542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31,962</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(13,488)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4,647</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49,677</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3,022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3,014</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subsidiary preferred stock (Note 16)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26,667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34,988</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6,100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54,443</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2,836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2,779</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Issuance of subsidiary preferred stock (Note 16)</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2"/>
        </w:trPr>
        <w:tc>
          <w:tcPr>
            <w:tcW w:w="42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26,844</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37,806</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(12,996)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6,207</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57,876</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2,386</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2"/>
        </w:trPr>
        <w:tc>
          <w:tcPr>
            <w:tcW w:w="4260" w:type="dxa"/>
            <w:vAlign w:val="bottom"/>
          </w:tcPr>
          <w:p>
            <w:pPr>
              <w:ind w:left="20"/>
              <w:spacing w:after="0" w:line="181" w:lineRule="exact"/>
              <w:rPr>
                <w:sz w:val="20"/>
                <w:szCs w:val="20"/>
                <w:color w:val="auto"/>
              </w:rPr>
            </w:pPr>
            <w:r>
              <w:rPr>
                <w:rFonts w:ascii="Arial" w:cs="Arial" w:eastAsia="Arial" w:hAnsi="Arial"/>
                <w:sz w:val="16"/>
                <w:szCs w:val="16"/>
                <w:b w:val="1"/>
                <w:bCs w:val="1"/>
                <w:color w:val="auto"/>
              </w:rPr>
              <w:t>Balance at September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26,926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40,212</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(13,003)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6,171</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60,321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19" w:lineRule="exact"/>
        <w:rPr>
          <w:sz w:val="20"/>
          <w:szCs w:val="20"/>
          <w:color w:val="auto"/>
        </w:rPr>
      </w:pPr>
    </w:p>
    <w:p>
      <w:pPr>
        <w:jc w:val="both"/>
        <w:ind w:firstLine="161"/>
        <w:spacing w:after="0" w:line="292" w:lineRule="auto"/>
        <w:rPr>
          <w:sz w:val="20"/>
          <w:szCs w:val="20"/>
          <w:color w:val="auto"/>
        </w:rPr>
      </w:pPr>
      <w:r>
        <w:rPr>
          <w:rFonts w:ascii="Arial" w:cs="Arial" w:eastAsia="Arial" w:hAnsi="Arial"/>
          <w:sz w:val="16"/>
          <w:szCs w:val="16"/>
          <w:color w:val="auto"/>
        </w:rPr>
        <w:t>General Motors Company (sometimes referred to in this Quarterly Report on Form 10-Q as we, our, us, ourselves, the Company, General Motors or GM) designs, builds and sells trucks, crossovers, cars and automobile parts worldwide and is investing in and growing an autonomous vehicle business. We also provide automotive financing services through General Motors Financial Company, Inc. (GM Financial). We analyze the results of our operations through the following segments: GM North America (GMNA), GM International (GMI), Cruise, and GM Financial. Cruise is our global segment responsible for the development and commercialization of autonomous vehicle technology. Nonsegment operations are classified as Corporate. Corporate includes certain centrally recorded income and costs such as interest, income taxes, corporate expenditures and certain nonsegment-specific revenues and expenses.</w:t>
      </w:r>
    </w:p>
    <w:p>
      <w:pPr>
        <w:spacing w:after="0" w:line="189"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color w:val="auto"/>
        </w:rPr>
        <w:t>The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2020 Form 10-K. Except for per share amounts or as otherwise specified, amounts presented within tables are stated in millions.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We consolidate entities that we control due to ownership of a majority voting interest and we consolidate variable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(VIEs) when we are the primary beneficiary. All intercompany balances and transactions have been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GM Financial </w:t>
      </w:r>
      <w:r>
        <w:rPr>
          <w:rFonts w:ascii="Arial" w:cs="Arial" w:eastAsia="Arial" w:hAnsi="Arial"/>
          <w:sz w:val="18"/>
          <w:szCs w:val="18"/>
          <w:color w:val="auto"/>
        </w:rPr>
        <w:t>The amounts presented for GM Financial have been adjusted to reflect the impact on GM Financial's deferred tax positions and provision for</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resulting from the inclusion of GM Financial in our consolidated tax return and to eliminate the effect of transactions between GM Financial and the other members of the consolidated group. Accordingly, the amounts presented will differ from those presented by GM Financial on a stand-alone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disaggregates our revenue by major source: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8"/>
              </w:rPr>
              <w:t>Three Months Ended September 30, 2021</w:t>
            </w:r>
          </w:p>
        </w:tc>
        <w:tc>
          <w:tcPr>
            <w:tcW w:w="8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GMI</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ind w:left="240"/>
              <w:spacing w:after="0" w:line="13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Cruise</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180"/>
              <w:spacing w:after="0" w:line="134" w:lineRule="exact"/>
              <w:rPr>
                <w:sz w:val="20"/>
                <w:szCs w:val="20"/>
                <w:color w:val="auto"/>
              </w:rPr>
            </w:pPr>
            <w:r>
              <w:rPr>
                <w:rFonts w:ascii="Arial" w:cs="Arial" w:eastAsia="Arial" w:hAnsi="Arial"/>
                <w:sz w:val="14"/>
                <w:szCs w:val="14"/>
                <w:b w:val="1"/>
                <w:bCs w:val="1"/>
                <w:color w:val="auto"/>
              </w:rPr>
              <w:t>GM</w:t>
            </w:r>
          </w:p>
        </w:tc>
        <w:tc>
          <w:tcPr>
            <w:tcW w:w="1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Eliminations/Reclassifications</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Automotive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2"/>
              </w:rPr>
              <w:t>Financial</w:t>
            </w: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22,187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22,187</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1,108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20,554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23,424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23,426</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2,246</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1,035</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3,354</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3,353</w:t>
            </w:r>
          </w:p>
        </w:tc>
        <w:tc>
          <w:tcPr>
            <w:tcW w:w="0" w:type="dxa"/>
            <w:vAlign w:val="bottom"/>
          </w:tcPr>
          <w:p>
            <w:pPr>
              <w:spacing w:after="0"/>
              <w:rPr>
                <w:sz w:val="1"/>
                <w:szCs w:val="1"/>
                <w:color w:val="auto"/>
              </w:rPr>
            </w:pPr>
          </w:p>
        </w:tc>
      </w:tr>
      <w:tr>
        <w:trPr>
          <w:trHeight w:val="23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23,424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26,779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259715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10"/>
          </w:tcPr>
          <w:p>
            <w:pPr>
              <w:jc w:val="center"/>
              <w:ind w:right="320"/>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GMI</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ind w:left="240"/>
              <w:spacing w:after="0" w:line="134"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rPr>
              <w:t>Cruise</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180"/>
              <w:spacing w:after="0" w:line="134" w:lineRule="exact"/>
              <w:rPr>
                <w:sz w:val="20"/>
                <w:szCs w:val="20"/>
                <w:color w:val="auto"/>
              </w:rPr>
            </w:pPr>
            <w:r>
              <w:rPr>
                <w:rFonts w:ascii="Arial" w:cs="Arial" w:eastAsia="Arial" w:hAnsi="Arial"/>
                <w:sz w:val="14"/>
                <w:szCs w:val="14"/>
                <w:b w:val="1"/>
                <w:bCs w:val="1"/>
                <w:color w:val="auto"/>
              </w:rPr>
              <w:t>GM</w:t>
            </w:r>
          </w:p>
        </w:tc>
        <w:tc>
          <w:tcPr>
            <w:tcW w:w="160" w:type="dxa"/>
            <w:vAlign w:val="bottom"/>
          </w:tcPr>
          <w:p>
            <w:pPr>
              <w:spacing w:after="0"/>
              <w:rPr>
                <w:sz w:val="11"/>
                <w:szCs w:val="11"/>
                <w:color w:val="auto"/>
              </w:rPr>
            </w:pPr>
          </w:p>
        </w:tc>
        <w:tc>
          <w:tcPr>
            <w:tcW w:w="1400" w:type="dxa"/>
            <w:vAlign w:val="bottom"/>
            <w:gridSpan w:val="2"/>
          </w:tcPr>
          <w:p>
            <w:pPr>
              <w:ind w:left="160"/>
              <w:spacing w:after="0" w:line="134" w:lineRule="exact"/>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1"/>
                <w:szCs w:val="11"/>
                <w:color w:val="auto"/>
              </w:rPr>
            </w:pPr>
          </w:p>
        </w:tc>
        <w:tc>
          <w:tcPr>
            <w:tcW w:w="68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6"/>
              </w:rPr>
              <w:t>Automotive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2"/>
              </w:rPr>
              <w:t>Reclassifications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30,656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30,656</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0" w:type="dxa"/>
            <w:vAlign w:val="bottom"/>
          </w:tcPr>
          <w:p>
            <w:pPr>
              <w:spacing w:after="0"/>
              <w:rPr>
                <w:sz w:val="1"/>
                <w:szCs w:val="1"/>
                <w:color w:val="auto"/>
              </w:rPr>
            </w:pPr>
          </w:p>
        </w:tc>
      </w:tr>
      <w:tr>
        <w:trPr>
          <w:trHeight w:val="206"/>
        </w:trPr>
        <w:tc>
          <w:tcPr>
            <w:tcW w:w="302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29,128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32,066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ind w:left="32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32,067</w:t>
            </w: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6"/>
        </w:trPr>
        <w:tc>
          <w:tcPr>
            <w:tcW w:w="3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w:t>
            </w:r>
          </w:p>
        </w:tc>
        <w:tc>
          <w:tcPr>
            <w:tcW w:w="0" w:type="dxa"/>
            <w:vAlign w:val="bottom"/>
          </w:tcPr>
          <w:p>
            <w:pPr>
              <w:spacing w:after="0"/>
              <w:rPr>
                <w:sz w:val="1"/>
                <w:szCs w:val="1"/>
                <w:color w:val="auto"/>
              </w:rPr>
            </w:pPr>
          </w:p>
        </w:tc>
      </w:tr>
      <w:tr>
        <w:trPr>
          <w:trHeight w:val="231"/>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32,066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35,480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7"/>
              </w:rPr>
              <w:t>Nine Months Ended September 30, 2021</w:t>
            </w:r>
          </w:p>
        </w:tc>
        <w:tc>
          <w:tcPr>
            <w:tcW w:w="8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GMNA</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GMI</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ind w:left="220"/>
              <w:spacing w:after="0" w:line="134"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Cruise</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180"/>
              <w:spacing w:after="0" w:line="134" w:lineRule="exact"/>
              <w:rPr>
                <w:sz w:val="20"/>
                <w:szCs w:val="20"/>
                <w:color w:val="auto"/>
              </w:rPr>
            </w:pPr>
            <w:r>
              <w:rPr>
                <w:rFonts w:ascii="Arial" w:cs="Arial" w:eastAsia="Arial" w:hAnsi="Arial"/>
                <w:sz w:val="14"/>
                <w:szCs w:val="14"/>
                <w:b w:val="1"/>
                <w:bCs w:val="1"/>
                <w:color w:val="auto"/>
              </w:rPr>
              <w:t>GM</w:t>
            </w:r>
          </w:p>
        </w:tc>
        <w:tc>
          <w:tcPr>
            <w:tcW w:w="1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Eliminations/Reclassifications</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3"/>
              </w:rPr>
              <w:t>Automotive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2"/>
              </w:rPr>
              <w:t>Financial</w:t>
            </w: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79,379</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3,338</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74,443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8,721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83,231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83,237</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6,871</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3,087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3,087</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10,187</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10,183</w:t>
            </w:r>
          </w:p>
        </w:tc>
        <w:tc>
          <w:tcPr>
            <w:tcW w:w="0" w:type="dxa"/>
            <w:vAlign w:val="bottom"/>
          </w:tcPr>
          <w:p>
            <w:pPr>
              <w:spacing w:after="0"/>
              <w:rPr>
                <w:sz w:val="1"/>
                <w:szCs w:val="1"/>
                <w:color w:val="auto"/>
              </w:rPr>
            </w:pPr>
          </w:p>
        </w:tc>
      </w:tr>
      <w:tr>
        <w:trPr>
          <w:trHeight w:val="23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93,420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Nine Months Ended September 30, 2020</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GMNA</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GMI</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240"/>
              <w:spacing w:after="0" w:line="134"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Cruise</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180"/>
              <w:spacing w:after="0" w:line="134" w:lineRule="exact"/>
              <w:rPr>
                <w:sz w:val="20"/>
                <w:szCs w:val="20"/>
                <w:color w:val="auto"/>
              </w:rPr>
            </w:pPr>
            <w:r>
              <w:rPr>
                <w:rFonts w:ascii="Arial" w:cs="Arial" w:eastAsia="Arial" w:hAnsi="Arial"/>
                <w:sz w:val="14"/>
                <w:szCs w:val="14"/>
                <w:b w:val="1"/>
                <w:bCs w:val="1"/>
                <w:color w:val="auto"/>
              </w:rPr>
              <w:t>GM</w:t>
            </w:r>
          </w:p>
        </w:tc>
        <w:tc>
          <w:tcPr>
            <w:tcW w:w="160" w:type="dxa"/>
            <w:vAlign w:val="bottom"/>
          </w:tcPr>
          <w:p>
            <w:pPr>
              <w:spacing w:after="0"/>
              <w:rPr>
                <w:sz w:val="11"/>
                <w:szCs w:val="11"/>
                <w:color w:val="auto"/>
              </w:rPr>
            </w:pPr>
          </w:p>
        </w:tc>
        <w:tc>
          <w:tcPr>
            <w:tcW w:w="1380" w:type="dxa"/>
            <w:vAlign w:val="bottom"/>
            <w:gridSpan w:val="2"/>
          </w:tcPr>
          <w:p>
            <w:pPr>
              <w:ind w:left="160"/>
              <w:spacing w:after="0" w:line="134" w:lineRule="exact"/>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3"/>
              </w:rPr>
              <w:t>Automotive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0"/>
              </w:rPr>
              <w:t>Reclassifications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70,519</w:t>
            </w: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3,297</w:t>
            </w:r>
          </w:p>
        </w:tc>
        <w:tc>
          <w:tcPr>
            <w:tcW w:w="0" w:type="dxa"/>
            <w:vAlign w:val="bottom"/>
          </w:tcPr>
          <w:p>
            <w:pPr>
              <w:spacing w:after="0"/>
              <w:rPr>
                <w:sz w:val="1"/>
                <w:szCs w:val="1"/>
                <w:color w:val="auto"/>
              </w:rPr>
            </w:pPr>
          </w:p>
        </w:tc>
      </w:tr>
      <w:tr>
        <w:trPr>
          <w:trHeight w:val="206"/>
        </w:trPr>
        <w:tc>
          <w:tcPr>
            <w:tcW w:w="304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66,563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74,576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ind w:left="32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74,580</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7,203</w:t>
            </w: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2,971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2,970</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6"/>
        </w:trPr>
        <w:tc>
          <w:tcPr>
            <w:tcW w:w="3040" w:type="dxa"/>
            <w:vAlign w:val="bottom"/>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10,405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10,387</w:t>
            </w:r>
          </w:p>
        </w:tc>
        <w:tc>
          <w:tcPr>
            <w:tcW w:w="0" w:type="dxa"/>
            <w:vAlign w:val="bottom"/>
          </w:tcPr>
          <w:p>
            <w:pPr>
              <w:spacing w:after="0"/>
              <w:rPr>
                <w:sz w:val="1"/>
                <w:szCs w:val="1"/>
                <w:color w:val="auto"/>
              </w:rPr>
            </w:pPr>
          </w:p>
        </w:tc>
      </w:tr>
      <w:tr>
        <w:trPr>
          <w:trHeight w:val="236"/>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10,405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84,967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Revenue is measured as the amount of consideration we expect to receive in exchange for transferring goods or providing services. Adjustments to sales incentives for previously recognized sales increased revenue by $290 million and $340 million in the three months ended September 30, 2021 and 2020.</w:t>
      </w:r>
    </w:p>
    <w:p>
      <w:pPr>
        <w:spacing w:after="0" w:line="58" w:lineRule="exact"/>
        <w:rPr>
          <w:sz w:val="20"/>
          <w:szCs w:val="20"/>
          <w:color w:val="auto"/>
        </w:rPr>
      </w:pPr>
    </w:p>
    <w:p>
      <w:pPr>
        <w:jc w:val="both"/>
        <w:ind w:firstLine="161"/>
        <w:spacing w:after="0" w:line="295" w:lineRule="auto"/>
        <w:rPr>
          <w:sz w:val="20"/>
          <w:szCs w:val="20"/>
          <w:color w:val="auto"/>
        </w:rPr>
      </w:pPr>
      <w:r>
        <w:rPr>
          <w:rFonts w:ascii="Arial" w:cs="Arial" w:eastAsia="Arial" w:hAnsi="Arial"/>
          <w:sz w:val="16"/>
          <w:szCs w:val="16"/>
          <w:color w:val="auto"/>
        </w:rPr>
        <w:t>Contract liabilities in our Automotive segments primarily consist of maintenance, extended warranty and other service contracts of $2.5 billion and $2.4 billion at September 30, 2021 and December 31, 2020, which are included in Accrued liabilities and Other liabilities. We recognized revenue of $262 million and $951 million related to contract liabilities in the three and nine months ended September 30, 2021 and $245 million and $872 million in the three and nine months ended September 30, 2020. We expect to recognize revenue of $459 million in the three months ending December 31, 2021 and $844 million, $469 million and $725 million in the years ending December 31, 2022, 2023 and thereafter related to contract liabilities at September 30, 2021.</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and Other Securities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fair value of cash equivalents and marketable debt securities, which approximates cost:</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4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September 30, 2021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6"/>
        </w:trPr>
        <w:tc>
          <w:tcPr>
            <w:tcW w:w="67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time deposits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Arial" w:cs="Arial" w:eastAsia="Arial" w:hAnsi="Arial"/>
                <w:sz w:val="18"/>
                <w:szCs w:val="18"/>
                <w:color w:val="auto"/>
              </w:rPr>
              <w:t>Available-for-sale debt securities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and agencies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6,897</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cash and cash equivalents(a)</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19,992</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Marketable debt securities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Arial" w:cs="Arial" w:eastAsia="Arial" w:hAnsi="Arial"/>
                <w:sz w:val="18"/>
                <w:szCs w:val="18"/>
                <w:color w:val="auto"/>
              </w:rPr>
              <w:t>U.S. government and agencies</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803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Arial" w:cs="Arial" w:eastAsia="Arial" w:hAnsi="Arial"/>
                <w:sz w:val="18"/>
                <w:szCs w:val="18"/>
                <w:color w:val="auto"/>
              </w:rPr>
              <w:t>Mortgage and asset-backed</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marketable securities(b)</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Restricted cash</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restricted cash</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46"/>
        </w:trPr>
        <w:tc>
          <w:tcPr>
            <w:tcW w:w="678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7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w w:val="99"/>
              </w:rPr>
              <w:t>Available-for-sale debt securities included above with contractual maturities(c)</w:t>
            </w: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between one and five years</w:t>
            </w: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debt securities with contractual maturities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$1.8 billion and $761 million in Cruise at September 30, 2021 and December 31, 2020.</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$1.8 billion and $943 million in Cruise at September 30, 2021 and December 31, 2020.</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Excludes mortgage and asset-backed securities of $566 million at September 30, 2021 as these securities are not due at a single maturity date.</w:t>
      </w:r>
    </w:p>
    <w:p>
      <w:pPr>
        <w:spacing w:after="0" w:line="228"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Proceeds from the sale of available-for-sale debt securities sold prior to maturity were $301 million and $476 million in the three months ended September 30, 2021 and 2020 and $1.4 billion in the nine months ended September 30, 2021 and 2020. Net unrealized gains and losses on available-for-sale debt securities were insignificant in the three and nine months ended September 30, 2021 and 2020. Cumulative unrealized gains and losses on available-for-sale debt securities were insignificant at September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ind w:right="20" w:firstLine="161"/>
        <w:spacing w:after="0" w:line="275"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to the total shown in the condensed consolidated statement of cash flows:</w:t>
      </w:r>
    </w:p>
    <w:p>
      <w:pPr>
        <w:spacing w:after="0" w:line="82" w:lineRule="exact"/>
        <w:rPr>
          <w:sz w:val="20"/>
          <w:szCs w:val="20"/>
          <w:color w:val="auto"/>
        </w:rPr>
      </w:pPr>
    </w:p>
    <w:p>
      <w:pPr>
        <w:ind w:left="9820"/>
        <w:spacing w:after="0"/>
        <w:rPr>
          <w:sz w:val="20"/>
          <w:szCs w:val="20"/>
          <w:color w:val="auto"/>
        </w:rPr>
      </w:pPr>
      <w:r>
        <w:rPr>
          <w:rFonts w:ascii="Arial" w:cs="Arial" w:eastAsia="Arial" w:hAnsi="Arial"/>
          <w:sz w:val="14"/>
          <w:szCs w:val="14"/>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2955" cy="153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20" w:right="540"/>
        <w:spacing w:after="0" w:line="323" w:lineRule="auto"/>
        <w:rPr>
          <w:sz w:val="20"/>
          <w:szCs w:val="20"/>
          <w:color w:val="auto"/>
        </w:rPr>
      </w:pPr>
      <w:r>
        <w:rPr>
          <w:rFonts w:ascii="Arial" w:cs="Arial" w:eastAsia="Arial" w:hAnsi="Arial"/>
          <w:sz w:val="16"/>
          <w:szCs w:val="16"/>
          <w:color w:val="auto"/>
        </w:rPr>
        <w:t>Restricted cash included in Other current assets Restricted cash included in Other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GM Financial Receivables and Transactions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17,365</w:t>
            </w:r>
          </w:p>
        </w:tc>
      </w:tr>
      <w:tr>
        <w:trPr>
          <w:trHeight w:val="228"/>
        </w:trPr>
        <w:tc>
          <w:tcPr>
            <w:tcW w:w="9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2,842</w:t>
            </w:r>
          </w:p>
        </w:tc>
      </w:tr>
      <w:tr>
        <w:trPr>
          <w:trHeight w:val="229"/>
        </w:trPr>
        <w:tc>
          <w:tcPr>
            <w:tcW w:w="9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w:t>
            </w:r>
          </w:p>
        </w:tc>
      </w:tr>
      <w:tr>
        <w:trPr>
          <w:trHeight w:val="222"/>
        </w:trPr>
        <w:tc>
          <w:tcPr>
            <w:tcW w:w="9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21,651</w:t>
            </w:r>
          </w:p>
        </w:tc>
      </w:tr>
      <w:tr>
        <w:trPr>
          <w:trHeight w:val="20"/>
        </w:trPr>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40"/>
        </w:trPr>
        <w:tc>
          <w:tcPr>
            <w:tcW w:w="9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September 30, 2021</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December 31, 2020</w:t>
            </w:r>
          </w:p>
        </w:tc>
        <w:tc>
          <w:tcPr>
            <w:tcW w:w="880" w:type="dxa"/>
            <w:vAlign w:val="bottom"/>
            <w:tcBorders>
              <w:bottom w:val="single" w:sz="8" w:color="auto"/>
            </w:tcBorders>
          </w:tcPr>
          <w:p>
            <w:pPr>
              <w:spacing w:after="0"/>
              <w:rPr>
                <w:sz w:val="24"/>
                <w:szCs w:val="24"/>
                <w:color w:val="auto"/>
              </w:rPr>
            </w:pPr>
          </w:p>
        </w:tc>
      </w:tr>
      <w:tr>
        <w:trPr>
          <w:trHeight w:val="185"/>
        </w:trPr>
        <w:tc>
          <w:tcPr>
            <w:tcW w:w="900" w:type="dxa"/>
            <w:vAlign w:val="bottom"/>
          </w:tcPr>
          <w:p>
            <w:pPr>
              <w:ind w:left="320"/>
              <w:spacing w:after="0"/>
              <w:rPr>
                <w:sz w:val="20"/>
                <w:szCs w:val="20"/>
                <w:color w:val="auto"/>
              </w:rPr>
            </w:pPr>
            <w:r>
              <w:rPr>
                <w:rFonts w:ascii="Arial" w:cs="Arial" w:eastAsia="Arial" w:hAnsi="Arial"/>
                <w:sz w:val="14"/>
                <w:szCs w:val="14"/>
                <w:b w:val="1"/>
                <w:bCs w:val="1"/>
                <w:color w:val="auto"/>
              </w:rPr>
              <w:t>Retail</w:t>
            </w:r>
          </w:p>
        </w:tc>
        <w:tc>
          <w:tcPr>
            <w:tcW w:w="1660" w:type="dxa"/>
            <w:vAlign w:val="bottom"/>
          </w:tcPr>
          <w:p>
            <w:pPr>
              <w:ind w:left="380"/>
              <w:spacing w:after="0"/>
              <w:rPr>
                <w:sz w:val="20"/>
                <w:szCs w:val="20"/>
                <w:color w:val="auto"/>
              </w:rPr>
            </w:pPr>
            <w:r>
              <w:rPr>
                <w:rFonts w:ascii="Arial" w:cs="Arial" w:eastAsia="Arial" w:hAnsi="Arial"/>
                <w:sz w:val="14"/>
                <w:szCs w:val="14"/>
                <w:b w:val="1"/>
                <w:bCs w:val="1"/>
                <w:color w:val="auto"/>
              </w:rPr>
              <w:t>Commercial(a)</w:t>
            </w:r>
          </w:p>
        </w:tc>
        <w:tc>
          <w:tcPr>
            <w:tcW w:w="86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900" w:type="dxa"/>
            <w:vAlign w:val="bottom"/>
          </w:tcPr>
          <w:p>
            <w:pPr>
              <w:ind w:left="320"/>
              <w:spacing w:after="0"/>
              <w:rPr>
                <w:sz w:val="20"/>
                <w:szCs w:val="20"/>
                <w:color w:val="auto"/>
              </w:rPr>
            </w:pPr>
            <w:r>
              <w:rPr>
                <w:rFonts w:ascii="Arial" w:cs="Arial" w:eastAsia="Arial" w:hAnsi="Arial"/>
                <w:sz w:val="14"/>
                <w:szCs w:val="14"/>
                <w:b w:val="1"/>
                <w:bCs w:val="1"/>
                <w:color w:val="auto"/>
              </w:rPr>
              <w:t>Retail</w:t>
            </w:r>
          </w:p>
        </w:tc>
        <w:tc>
          <w:tcPr>
            <w:tcW w:w="164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Commercial(a)</w:t>
            </w:r>
          </w:p>
        </w:tc>
        <w:tc>
          <w:tcPr>
            <w:tcW w:w="880" w:type="dxa"/>
            <w:vAlign w:val="bottom"/>
          </w:tcPr>
          <w:p>
            <w:pPr>
              <w:jc w:val="right"/>
              <w:ind w:right="234"/>
              <w:spacing w:after="0"/>
              <w:rPr>
                <w:sz w:val="20"/>
                <w:szCs w:val="20"/>
                <w:color w:val="auto"/>
              </w:rPr>
            </w:pPr>
            <w:r>
              <w:rPr>
                <w:rFonts w:ascii="Arial" w:cs="Arial" w:eastAsia="Arial" w:hAnsi="Arial"/>
                <w:sz w:val="14"/>
                <w:szCs w:val="14"/>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-936625</wp:posOffset>
            </wp:positionV>
            <wp:extent cx="7132955" cy="144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60" w:space="320"/>
            <w:col w:w="69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 net of fees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57,424</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61,641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8"/>
              </w:rPr>
              <w:t>51,288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59,970</w:t>
            </w:r>
          </w:p>
        </w:tc>
        <w:tc>
          <w:tcPr>
            <w:tcW w:w="0" w:type="dxa"/>
            <w:vAlign w:val="bottom"/>
          </w:tcPr>
          <w:p>
            <w:pPr>
              <w:spacing w:after="0"/>
              <w:rPr>
                <w:sz w:val="1"/>
                <w:szCs w:val="1"/>
                <w:color w:val="auto"/>
              </w:rPr>
            </w:pPr>
          </w:p>
        </w:tc>
      </w:tr>
      <w:tr>
        <w:trPr>
          <w:trHeight w:val="228"/>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loan losses</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1"/>
              </w:rPr>
              <w:t>(1,863)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1"/>
              </w:rPr>
              <w:t>(1,915)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4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55,561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8"/>
              </w:rPr>
              <w:t>49,373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7"/>
              </w:rPr>
              <w:t>Fair value of GM Financial receivables utilizing Level 2</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28"/>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inputs</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line="175" w:lineRule="exact"/>
              <w:rPr>
                <w:sz w:val="20"/>
                <w:szCs w:val="20"/>
                <w:color w:val="auto"/>
              </w:rPr>
            </w:pPr>
            <w:r>
              <w:rPr>
                <w:rFonts w:ascii="Arial" w:cs="Arial" w:eastAsia="Arial" w:hAnsi="Arial"/>
                <w:sz w:val="18"/>
                <w:szCs w:val="18"/>
                <w:color w:val="auto"/>
                <w:w w:val="97"/>
              </w:rPr>
              <w:t>Fair value of GM Financial receivables utilizing Level 3</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57,330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51,645</w:t>
            </w:r>
          </w:p>
        </w:tc>
        <w:tc>
          <w:tcPr>
            <w:tcW w:w="0" w:type="dxa"/>
            <w:vAlign w:val="bottom"/>
          </w:tcPr>
          <w:p>
            <w:pPr>
              <w:spacing w:after="0"/>
              <w:rPr>
                <w:sz w:val="1"/>
                <w:szCs w:val="1"/>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inputs</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line="288" w:lineRule="auto"/>
        <w:tabs>
          <w:tab w:leader="none" w:pos="331" w:val="left"/>
        </w:tabs>
        <w:numPr>
          <w:ilvl w:val="0"/>
          <w:numId w:val="4"/>
        </w:numPr>
        <w:rPr>
          <w:rFonts w:ascii="Arial" w:cs="Arial" w:eastAsia="Arial" w:hAnsi="Arial"/>
          <w:sz w:val="15"/>
          <w:szCs w:val="15"/>
          <w:color w:val="auto"/>
        </w:rPr>
      </w:pPr>
      <w:r>
        <w:rPr>
          <w:rFonts w:ascii="Arial" w:cs="Arial" w:eastAsia="Arial" w:hAnsi="Arial"/>
          <w:sz w:val="15"/>
          <w:szCs w:val="15"/>
          <w:color w:val="auto"/>
        </w:rPr>
        <w:t>Net of dealer cash management balances of $909 million and $1.4 billion at September 30, 2021 and December 31, 2020. Under the cash management program, subject to certain conditions, a dealer may choose to reduce the amount of interest on its floorplan line by making principal payments to GM Financial in advance.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gridSpan w:val="5"/>
          </w:tcPr>
          <w:p>
            <w:pPr>
              <w:ind w:left="8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322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43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September 30, 2020</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September 30, 2020</w:t>
            </w: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loan losses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28"/>
        </w:trPr>
        <w:tc>
          <w:tcPr>
            <w:tcW w:w="4360" w:type="dxa"/>
            <w:vAlign w:val="bottom"/>
          </w:tcPr>
          <w:p>
            <w:pPr>
              <w:ind w:left="20"/>
              <w:spacing w:after="0"/>
              <w:rPr>
                <w:sz w:val="20"/>
                <w:szCs w:val="20"/>
                <w:color w:val="auto"/>
              </w:rPr>
            </w:pPr>
            <w:r>
              <w:rPr>
                <w:rFonts w:ascii="Arial" w:cs="Arial" w:eastAsia="Arial" w:hAnsi="Arial"/>
                <w:sz w:val="18"/>
                <w:szCs w:val="18"/>
                <w:color w:val="auto"/>
              </w:rPr>
              <w:t>Impact of adoption ASU 2016-13</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28"/>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28"/>
        </w:trPr>
        <w:tc>
          <w:tcPr>
            <w:tcW w:w="436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(895)</w:t>
            </w:r>
          </w:p>
        </w:tc>
      </w:tr>
      <w:tr>
        <w:trPr>
          <w:trHeight w:val="228"/>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28"/>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4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loan losses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77" w:lineRule="auto"/>
        <w:rPr>
          <w:sz w:val="20"/>
          <w:szCs w:val="20"/>
          <w:color w:val="auto"/>
        </w:rPr>
      </w:pPr>
      <w:r>
        <w:rPr>
          <w:rFonts w:ascii="Arial" w:cs="Arial" w:eastAsia="Arial" w:hAnsi="Arial"/>
          <w:sz w:val="17"/>
          <w:szCs w:val="17"/>
          <w:color w:val="auto"/>
        </w:rPr>
        <w:t>The allowance for loan losses decreased by $100 million as of September 30, 2021 compared to September 30, 2020, primarily due to a reduction in the reserve levels established at the onset of the COVID-19 pandemic. This reduction was a result of actual credit performance that was better than forecasted and favorable expectations for future charge-offs and recoveries, reflecting improved economic conditions. These decreases in the reserve levels were partially offset by reserves established for loans originated during the nine months ended September 30, 2021.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b w:val="1"/>
          <w:bCs w:val="1"/>
          <w:i w:val="1"/>
          <w:iCs w:val="1"/>
          <w:color w:val="auto"/>
        </w:rPr>
        <w:t xml:space="preserve">Retail Finance Receivables </w:t>
      </w:r>
      <w:r>
        <w:rPr>
          <w:rFonts w:ascii="Arial" w:cs="Arial" w:eastAsia="Arial" w:hAnsi="Arial"/>
          <w:sz w:val="16"/>
          <w:szCs w:val="16"/>
          <w:color w:val="auto"/>
        </w:rPr>
        <w:t>GM Financial's retail finance receivable portfolio includes loans made to consumers and businesses to finance the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vehicles for personal and commercial use. The following tables are consolidated summaries of the retail finance receivables by FICO score or its equivalent, determined at origination, for each vintage of the retail finance receivables portfolio at September 30, 2021 and December 31, 2020: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of Origination</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September 30, 2021</w:t>
            </w:r>
          </w:p>
        </w:tc>
      </w:tr>
      <w:tr>
        <w:trPr>
          <w:trHeight w:val="186"/>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Percent</w:t>
            </w: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Prime – FICO score 680 and greater</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15,723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13,839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4,697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2,747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38,221</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66.5 %</w:t>
            </w:r>
          </w:p>
        </w:tc>
      </w:tr>
      <w:tr>
        <w:trPr>
          <w:trHeight w:val="212"/>
        </w:trPr>
        <w:tc>
          <w:tcPr>
            <w:tcW w:w="3740" w:type="dxa"/>
            <w:vAlign w:val="bottom"/>
          </w:tcPr>
          <w:p>
            <w:pPr>
              <w:ind w:left="20"/>
              <w:spacing w:after="0"/>
              <w:rPr>
                <w:sz w:val="20"/>
                <w:szCs w:val="20"/>
                <w:color w:val="auto"/>
              </w:rPr>
            </w:pPr>
            <w:r>
              <w:rPr>
                <w:rFonts w:ascii="Arial" w:cs="Arial" w:eastAsia="Arial" w:hAnsi="Arial"/>
                <w:sz w:val="16"/>
                <w:szCs w:val="16"/>
                <w:color w:val="auto"/>
              </w:rPr>
              <w:t>Near-prime – FICO score 620 to 679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1,417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8,664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15.1 %</w:t>
            </w:r>
          </w:p>
        </w:tc>
      </w:tr>
      <w:tr>
        <w:trPr>
          <w:trHeight w:val="218"/>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Sub-prime – FICO score less than 620</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10,539</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18.4 %</w:t>
            </w:r>
          </w:p>
        </w:tc>
      </w:tr>
      <w:tr>
        <w:trPr>
          <w:trHeight w:val="182"/>
        </w:trPr>
        <w:tc>
          <w:tcPr>
            <w:tcW w:w="3740" w:type="dxa"/>
            <w:vAlign w:val="bottom"/>
          </w:tcPr>
          <w:p>
            <w:pPr>
              <w:ind w:left="20"/>
              <w:spacing w:after="0" w:line="181" w:lineRule="exact"/>
              <w:rPr>
                <w:sz w:val="20"/>
                <w:szCs w:val="20"/>
                <w:color w:val="auto"/>
              </w:rPr>
            </w:pPr>
            <w:r>
              <w:rPr>
                <w:rFonts w:ascii="Arial" w:cs="Arial" w:eastAsia="Arial" w:hAnsi="Arial"/>
                <w:sz w:val="16"/>
                <w:szCs w:val="16"/>
                <w:color w:val="auto"/>
              </w:rPr>
              <w:t>Retail finance receivables, net of fees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22,490</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19,378</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8,138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4,645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2,032</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57,424</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of Origination</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December 31, 2020</w:t>
            </w:r>
          </w:p>
        </w:tc>
      </w:tr>
      <w:tr>
        <w:trPr>
          <w:trHeight w:val="186"/>
        </w:trPr>
        <w:tc>
          <w:tcPr>
            <w:tcW w:w="3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Percent</w:t>
            </w:r>
          </w:p>
        </w:tc>
      </w:tr>
      <w:tr>
        <w:trPr>
          <w:trHeight w:val="196"/>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Prime – FICO score 680 and greater</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4,491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1,917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32,800</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64.0 %</w:t>
            </w:r>
          </w:p>
        </w:tc>
      </w:tr>
      <w:tr>
        <w:trPr>
          <w:trHeight w:val="212"/>
        </w:trPr>
        <w:tc>
          <w:tcPr>
            <w:tcW w:w="3760" w:type="dxa"/>
            <w:vAlign w:val="bottom"/>
          </w:tcPr>
          <w:p>
            <w:pPr>
              <w:ind w:left="20"/>
              <w:spacing w:after="0"/>
              <w:rPr>
                <w:sz w:val="20"/>
                <w:szCs w:val="20"/>
                <w:color w:val="auto"/>
              </w:rPr>
            </w:pPr>
            <w:r>
              <w:rPr>
                <w:rFonts w:ascii="Arial" w:cs="Arial" w:eastAsia="Arial" w:hAnsi="Arial"/>
                <w:sz w:val="16"/>
                <w:szCs w:val="16"/>
                <w:color w:val="auto"/>
              </w:rPr>
              <w:t>Near-prime – FICO score 620 to 679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7,935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15.4 %</w:t>
            </w:r>
          </w:p>
        </w:tc>
      </w:tr>
      <w:tr>
        <w:trPr>
          <w:trHeight w:val="218"/>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Sub-prime – FICO score less than 620</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1,173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10,553</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20.6 %</w:t>
            </w:r>
          </w:p>
        </w:tc>
      </w:tr>
      <w:tr>
        <w:trPr>
          <w:trHeight w:val="182"/>
        </w:trPr>
        <w:tc>
          <w:tcPr>
            <w:tcW w:w="3760" w:type="dxa"/>
            <w:vAlign w:val="bottom"/>
          </w:tcPr>
          <w:p>
            <w:pPr>
              <w:ind w:left="20"/>
              <w:spacing w:after="0" w:line="181" w:lineRule="exact"/>
              <w:rPr>
                <w:sz w:val="20"/>
                <w:szCs w:val="20"/>
                <w:color w:val="auto"/>
              </w:rPr>
            </w:pPr>
            <w:r>
              <w:rPr>
                <w:rFonts w:ascii="Arial" w:cs="Arial" w:eastAsia="Arial" w:hAnsi="Arial"/>
                <w:sz w:val="16"/>
                <w:szCs w:val="16"/>
                <w:color w:val="auto"/>
              </w:rPr>
              <w:t>Retail finance receivables, net of fees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26,183</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12,050</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7,463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3,693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1,390</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51,288</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161"/>
        <w:spacing w:after="0" w:line="270" w:lineRule="auto"/>
        <w:rPr>
          <w:sz w:val="20"/>
          <w:szCs w:val="20"/>
          <w:color w:val="auto"/>
        </w:rPr>
      </w:pPr>
      <w:r>
        <w:rPr>
          <w:rFonts w:ascii="Arial" w:cs="Arial" w:eastAsia="Arial" w:hAnsi="Arial"/>
          <w:sz w:val="17"/>
          <w:szCs w:val="17"/>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$577 million and $714 million at September 30, 2021 and December 31, 2020. The following tables are consolidated summaries of the delinquency status of the outstanding amortized cost of retail finance receivables for each vintage of the portfolio at September 30, 2021 and December 31, 2020, as well as summary totals for September 30, 2020:</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of Origination</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58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w w:val="97"/>
              </w:rPr>
              <w:t>September 30, 2020</w:t>
            </w:r>
          </w:p>
        </w:tc>
      </w:tr>
      <w:tr>
        <w:trPr>
          <w:trHeight w:val="186"/>
        </w:trPr>
        <w:tc>
          <w:tcPr>
            <w:tcW w:w="2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Percent</w:t>
            </w:r>
          </w:p>
        </w:tc>
      </w:tr>
      <w:tr>
        <w:trPr>
          <w:trHeight w:val="210"/>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0-to-30 days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22,252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19,030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7,825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56,086</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47,221</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97.0 %</w:t>
            </w:r>
          </w:p>
        </w:tc>
      </w:tr>
      <w:tr>
        <w:trPr>
          <w:trHeight w:val="228"/>
        </w:trPr>
        <w:tc>
          <w:tcPr>
            <w:tcW w:w="2200" w:type="dxa"/>
            <w:vAlign w:val="bottom"/>
          </w:tcPr>
          <w:p>
            <w:pPr>
              <w:ind w:left="20"/>
              <w:spacing w:after="0"/>
              <w:rPr>
                <w:sz w:val="20"/>
                <w:szCs w:val="20"/>
                <w:color w:val="auto"/>
              </w:rPr>
            </w:pPr>
            <w:r>
              <w:rPr>
                <w:rFonts w:ascii="Arial" w:cs="Arial" w:eastAsia="Arial" w:hAnsi="Arial"/>
                <w:sz w:val="18"/>
                <w:szCs w:val="18"/>
                <w:color w:val="auto"/>
              </w:rPr>
              <w:t>31-to-60 days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989</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1,009</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2.1 %</w:t>
            </w:r>
          </w:p>
        </w:tc>
      </w:tr>
      <w:tr>
        <w:trPr>
          <w:trHeight w:val="228"/>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Greater-than-60 days</w:t>
            </w: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0.8 %</w:t>
            </w:r>
          </w:p>
        </w:tc>
      </w:tr>
      <w:tr>
        <w:trPr>
          <w:trHeight w:val="155"/>
        </w:trPr>
        <w:tc>
          <w:tcPr>
            <w:tcW w:w="2200" w:type="dxa"/>
            <w:vAlign w:val="bottom"/>
          </w:tcPr>
          <w:p>
            <w:pPr>
              <w:ind w:left="20"/>
              <w:spacing w:after="0" w:line="154" w:lineRule="exact"/>
              <w:rPr>
                <w:sz w:val="20"/>
                <w:szCs w:val="20"/>
                <w:color w:val="auto"/>
              </w:rPr>
            </w:pPr>
            <w:r>
              <w:rPr>
                <w:rFonts w:ascii="Arial" w:cs="Arial" w:eastAsia="Arial" w:hAnsi="Arial"/>
                <w:sz w:val="17"/>
                <w:szCs w:val="17"/>
                <w:color w:val="auto"/>
              </w:rPr>
              <w:t>Finance receivables more</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28"/>
        </w:trPr>
        <w:tc>
          <w:tcPr>
            <w:tcW w:w="2200" w:type="dxa"/>
            <w:vAlign w:val="bottom"/>
          </w:tcPr>
          <w:p>
            <w:pPr>
              <w:ind w:left="180"/>
              <w:spacing w:after="0"/>
              <w:rPr>
                <w:sz w:val="20"/>
                <w:szCs w:val="20"/>
                <w:color w:val="auto"/>
              </w:rPr>
            </w:pPr>
            <w:r>
              <w:rPr>
                <w:rFonts w:ascii="Arial" w:cs="Arial" w:eastAsia="Arial" w:hAnsi="Arial"/>
                <w:sz w:val="18"/>
                <w:szCs w:val="18"/>
                <w:color w:val="auto"/>
              </w:rPr>
              <w:t>than 30 days delinquent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1,304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1,428</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2.9 %</w:t>
            </w:r>
          </w:p>
        </w:tc>
      </w:tr>
      <w:tr>
        <w:trPr>
          <w:trHeight w:val="228"/>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repossession</w:t>
            </w: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r>
      <w:tr>
        <w:trPr>
          <w:trHeight w:val="155"/>
        </w:trPr>
        <w:tc>
          <w:tcPr>
            <w:tcW w:w="2200" w:type="dxa"/>
            <w:vAlign w:val="bottom"/>
          </w:tcPr>
          <w:p>
            <w:pPr>
              <w:ind w:left="20"/>
              <w:spacing w:after="0" w:line="154" w:lineRule="exact"/>
              <w:rPr>
                <w:sz w:val="20"/>
                <w:szCs w:val="20"/>
                <w:color w:val="auto"/>
              </w:rPr>
            </w:pPr>
            <w:r>
              <w:rPr>
                <w:rFonts w:ascii="Arial" w:cs="Arial" w:eastAsia="Arial" w:hAnsi="Arial"/>
                <w:sz w:val="17"/>
                <w:szCs w:val="17"/>
                <w:color w:val="auto"/>
              </w:rPr>
              <w:t>Finance receivables more</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5"/>
        </w:trPr>
        <w:tc>
          <w:tcPr>
            <w:tcW w:w="2200" w:type="dxa"/>
            <w:vAlign w:val="bottom"/>
          </w:tcPr>
          <w:p>
            <w:pPr>
              <w:ind w:left="180"/>
              <w:spacing w:after="0" w:line="175" w:lineRule="exact"/>
              <w:rPr>
                <w:sz w:val="20"/>
                <w:szCs w:val="20"/>
                <w:color w:val="auto"/>
              </w:rPr>
            </w:pPr>
            <w:r>
              <w:rPr>
                <w:rFonts w:ascii="Arial" w:cs="Arial" w:eastAsia="Arial" w:hAnsi="Arial"/>
                <w:sz w:val="18"/>
                <w:szCs w:val="18"/>
                <w:color w:val="auto"/>
                <w:w w:val="94"/>
              </w:rPr>
              <w:t>than 30 days delinquent or</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8"/>
        </w:trPr>
        <w:tc>
          <w:tcPr>
            <w:tcW w:w="2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 repossession</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3.0 %</w:t>
            </w:r>
          </w:p>
        </w:tc>
      </w:tr>
      <w:tr>
        <w:trPr>
          <w:trHeight w:val="155"/>
        </w:trPr>
        <w:tc>
          <w:tcPr>
            <w:tcW w:w="220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Retail finance receivables,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27"/>
        </w:trPr>
        <w:tc>
          <w:tcPr>
            <w:tcW w:w="2200" w:type="dxa"/>
            <w:vAlign w:val="bottom"/>
            <w:tcBorders>
              <w:bottom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net of fees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22,490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19,378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57,424</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48,694</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632"/>
        </w:trPr>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56"/>
        </w:trPr>
        <w:tc>
          <w:tcPr>
            <w:tcW w:w="2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of Origination</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December 31, 2020</w:t>
            </w:r>
          </w:p>
        </w:tc>
      </w:tr>
      <w:tr>
        <w:trPr>
          <w:trHeight w:val="186"/>
        </w:trPr>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Percent</w:t>
            </w:r>
          </w:p>
        </w:tc>
      </w:tr>
      <w:tr>
        <w:trPr>
          <w:trHeight w:val="210"/>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0-to-30 days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49,740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97.0 %</w:t>
            </w:r>
          </w:p>
        </w:tc>
      </w:tr>
      <w:tr>
        <w:trPr>
          <w:trHeight w:val="228"/>
        </w:trPr>
        <w:tc>
          <w:tcPr>
            <w:tcW w:w="2300" w:type="dxa"/>
            <w:vAlign w:val="bottom"/>
          </w:tcPr>
          <w:p>
            <w:pPr>
              <w:ind w:left="20"/>
              <w:spacing w:after="0"/>
              <w:rPr>
                <w:sz w:val="20"/>
                <w:szCs w:val="20"/>
                <w:color w:val="auto"/>
              </w:rPr>
            </w:pPr>
            <w:r>
              <w:rPr>
                <w:rFonts w:ascii="Arial" w:cs="Arial" w:eastAsia="Arial" w:hAnsi="Arial"/>
                <w:sz w:val="18"/>
                <w:szCs w:val="18"/>
                <w:color w:val="auto"/>
              </w:rPr>
              <w:t>31-to-60 days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2.1 %</w:t>
            </w:r>
          </w:p>
        </w:tc>
      </w:tr>
      <w:tr>
        <w:trPr>
          <w:trHeight w:val="228"/>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Greater-than-60 days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0.8 %</w:t>
            </w:r>
          </w:p>
        </w:tc>
      </w:tr>
      <w:tr>
        <w:trPr>
          <w:trHeight w:val="155"/>
        </w:trPr>
        <w:tc>
          <w:tcPr>
            <w:tcW w:w="2300" w:type="dxa"/>
            <w:vAlign w:val="bottom"/>
          </w:tcPr>
          <w:p>
            <w:pPr>
              <w:ind w:left="20"/>
              <w:spacing w:after="0" w:line="154" w:lineRule="exact"/>
              <w:rPr>
                <w:sz w:val="20"/>
                <w:szCs w:val="20"/>
                <w:color w:val="auto"/>
              </w:rPr>
            </w:pPr>
            <w:r>
              <w:rPr>
                <w:rFonts w:ascii="Arial" w:cs="Arial" w:eastAsia="Arial" w:hAnsi="Arial"/>
                <w:sz w:val="17"/>
                <w:szCs w:val="17"/>
                <w:color w:val="auto"/>
                <w:w w:val="97"/>
              </w:rPr>
              <w:t>Finance receivables more than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8"/>
        </w:trPr>
        <w:tc>
          <w:tcPr>
            <w:tcW w:w="2300" w:type="dxa"/>
            <w:vAlign w:val="bottom"/>
          </w:tcPr>
          <w:p>
            <w:pPr>
              <w:ind w:left="180"/>
              <w:spacing w:after="0"/>
              <w:rPr>
                <w:sz w:val="20"/>
                <w:szCs w:val="20"/>
                <w:color w:val="auto"/>
              </w:rPr>
            </w:pPr>
            <w:r>
              <w:rPr>
                <w:rFonts w:ascii="Arial" w:cs="Arial" w:eastAsia="Arial" w:hAnsi="Arial"/>
                <w:sz w:val="18"/>
                <w:szCs w:val="18"/>
                <w:color w:val="auto"/>
              </w:rPr>
              <w:t>30 days delinquent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2.9 %</w:t>
            </w:r>
          </w:p>
        </w:tc>
      </w:tr>
      <w:tr>
        <w:trPr>
          <w:trHeight w:val="228"/>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repossession</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r>
      <w:tr>
        <w:trPr>
          <w:trHeight w:val="155"/>
        </w:trPr>
        <w:tc>
          <w:tcPr>
            <w:tcW w:w="2300" w:type="dxa"/>
            <w:vAlign w:val="bottom"/>
          </w:tcPr>
          <w:p>
            <w:pPr>
              <w:ind w:left="20"/>
              <w:spacing w:after="0" w:line="154" w:lineRule="exact"/>
              <w:rPr>
                <w:sz w:val="20"/>
                <w:szCs w:val="20"/>
                <w:color w:val="auto"/>
              </w:rPr>
            </w:pPr>
            <w:r>
              <w:rPr>
                <w:rFonts w:ascii="Arial" w:cs="Arial" w:eastAsia="Arial" w:hAnsi="Arial"/>
                <w:sz w:val="17"/>
                <w:szCs w:val="17"/>
                <w:color w:val="auto"/>
                <w:w w:val="97"/>
              </w:rPr>
              <w:t>Finance receivables more than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5"/>
        </w:trPr>
        <w:tc>
          <w:tcPr>
            <w:tcW w:w="2300" w:type="dxa"/>
            <w:vAlign w:val="bottom"/>
          </w:tcPr>
          <w:p>
            <w:pPr>
              <w:ind w:left="180"/>
              <w:spacing w:after="0" w:line="175" w:lineRule="exact"/>
              <w:rPr>
                <w:sz w:val="20"/>
                <w:szCs w:val="20"/>
                <w:color w:val="auto"/>
              </w:rPr>
            </w:pPr>
            <w:r>
              <w:rPr>
                <w:rFonts w:ascii="Arial" w:cs="Arial" w:eastAsia="Arial" w:hAnsi="Arial"/>
                <w:sz w:val="18"/>
                <w:szCs w:val="18"/>
                <w:color w:val="auto"/>
              </w:rPr>
              <w:t>30 days delinquent or in</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8"/>
        </w:trPr>
        <w:tc>
          <w:tcPr>
            <w:tcW w:w="2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repossession</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1,548</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3.0 %</w:t>
            </w:r>
          </w:p>
        </w:tc>
      </w:tr>
      <w:tr>
        <w:trPr>
          <w:trHeight w:val="155"/>
        </w:trPr>
        <w:tc>
          <w:tcPr>
            <w:tcW w:w="230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9"/>
              </w:rPr>
              <w:t>Retail finance receivables, net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27"/>
        </w:trPr>
        <w:tc>
          <w:tcPr>
            <w:tcW w:w="2300" w:type="dxa"/>
            <w:vAlign w:val="bottom"/>
            <w:tcBorders>
              <w:bottom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of fees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26,183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51,288</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 outstanding amortized cost of retail finance receivables that are considered troubled debt restructurings was $2.0 billion at September 30, 2021, including $214 million in nonaccrual loans.</w:t>
      </w:r>
    </w:p>
    <w:p>
      <w:pPr>
        <w:spacing w:after="0" w:line="197"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b w:val="1"/>
          <w:bCs w:val="1"/>
          <w:i w:val="1"/>
          <w:iCs w:val="1"/>
          <w:color w:val="auto"/>
        </w:rPr>
        <w:t xml:space="preserve">Commercial Finance Receivables </w:t>
      </w:r>
      <w:r>
        <w:rPr>
          <w:rFonts w:ascii="Arial" w:cs="Arial" w:eastAsia="Arial" w:hAnsi="Arial"/>
          <w:sz w:val="17"/>
          <w:szCs w:val="17"/>
          <w:color w:val="auto"/>
        </w:rPr>
        <w:t>GM Financial's commercial finance receivables consist of dealer financings, primarily for inventory purchases.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models are used to assign a risk rating to each dealer. GM Financial performs periodic credit reviews of each dealership and adjusts the dealership's risk rating, if necessary. There were no commercial finance receivables on nonaccrual status at September 30,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GM Financial's commercial risk model and risk rating categories are as follows:</w:t>
      </w:r>
    </w:p>
    <w:p>
      <w:pPr>
        <w:sectPr>
          <w:pgSz w:w="11900" w:h="16838" w:orient="portrait"/>
          <w:cols w:equalWidth="0" w:num="1">
            <w:col w:w="11240"/>
          </w:cols>
          <w:pgMar w:left="320" w:top="125" w:right="339" w:bottom="1440" w:gutter="0" w:footer="0" w:header="0"/>
        </w:sectPr>
      </w:pPr>
    </w:p>
    <w:p>
      <w:pPr>
        <w:spacing w:after="0" w:line="1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Rating</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III</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16510</wp:posOffset>
            </wp:positionV>
            <wp:extent cx="7132955" cy="153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Performing accounts with strong to acceptable financial metrics with at least satisfactory capacity to meet financial commitments.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27940</wp:posOffset>
            </wp:positionV>
            <wp:extent cx="7132955" cy="255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255905"/>
                    </a:xfrm>
                    <a:prstGeom prst="rect">
                      <a:avLst/>
                    </a:prstGeom>
                    <a:noFill/>
                  </pic:spPr>
                </pic:pic>
              </a:graphicData>
            </a:graphic>
          </wp:anchor>
        </w:drawing>
      </w:r>
    </w:p>
    <w:p>
      <w:pPr>
        <w:spacing w:after="0" w:line="24" w:lineRule="exact"/>
        <w:rPr>
          <w:sz w:val="20"/>
          <w:szCs w:val="20"/>
          <w:color w:val="auto"/>
        </w:rPr>
      </w:pPr>
    </w:p>
    <w:p>
      <w:pPr>
        <w:ind w:left="160" w:right="560" w:hanging="160"/>
        <w:spacing w:after="0" w:line="233" w:lineRule="auto"/>
        <w:rPr>
          <w:sz w:val="20"/>
          <w:szCs w:val="20"/>
          <w:color w:val="auto"/>
        </w:rPr>
      </w:pPr>
      <w:r>
        <w:rPr>
          <w:rFonts w:ascii="Arial" w:cs="Arial" w:eastAsia="Arial" w:hAnsi="Arial"/>
          <w:sz w:val="18"/>
          <w:szCs w:val="18"/>
          <w:color w:val="auto"/>
        </w:rPr>
        <w:t>Non-Performing accounts with inadequate paying capacity for current obligations and have the distinct possibility of creating a loss if deficiencies are not corrected.</w:t>
      </w:r>
    </w:p>
    <w:p>
      <w:pPr>
        <w:spacing w:after="0" w:line="1" w:lineRule="exact"/>
        <w:rPr>
          <w:sz w:val="20"/>
          <w:szCs w:val="20"/>
          <w:color w:val="auto"/>
        </w:rPr>
      </w:pPr>
    </w:p>
    <w:p>
      <w:pPr>
        <w:ind w:left="160" w:right="780" w:hanging="160"/>
        <w:spacing w:after="0" w:line="233" w:lineRule="auto"/>
        <w:rPr>
          <w:sz w:val="20"/>
          <w:szCs w:val="20"/>
          <w:color w:val="auto"/>
        </w:rPr>
      </w:pPr>
      <w:r>
        <w:rPr>
          <w:rFonts w:ascii="Arial" w:cs="Arial" w:eastAsia="Arial" w:hAnsi="Arial"/>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40"/>
            <w:col w:w="10160"/>
          </w:cols>
          <w:pgMar w:left="320" w:top="125" w:right="339" w:bottom="1440" w:gutter="0" w:footer="0" w:header="0"/>
          <w:type w:val="continuous"/>
        </w:sectPr>
      </w:pPr>
    </w:p>
    <w:p>
      <w:pPr>
        <w:spacing w:after="0" w:line="123"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Dealers with III and IV risk ratings are subject to additional monitoring and restrictions on funding, including suspension of lines of credit and liquidation of assets. The following tables summarize the credit risk profile by dealer risk rating of commercial finance receivables at September 30, 2021 and December 31, 2020: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2"/>
              </w:rPr>
              <w:t>Year of Origination(a)</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September 30, 2021</w:t>
            </w:r>
          </w:p>
        </w:tc>
      </w:tr>
      <w:tr>
        <w:trPr>
          <w:trHeight w:val="209"/>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Revolving</w:t>
            </w:r>
          </w:p>
        </w:tc>
        <w:tc>
          <w:tcPr>
            <w:tcW w:w="14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b w:val="1"/>
                <w:bCs w:val="1"/>
                <w:color w:val="auto"/>
              </w:rPr>
              <w:t>Prior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Percent</w:t>
            </w:r>
          </w:p>
        </w:tc>
      </w:tr>
      <w:tr>
        <w:trPr>
          <w:trHeight w:val="211"/>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3,894</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92.3 %</w:t>
            </w: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II</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5.0 %</w:t>
            </w:r>
          </w:p>
        </w:tc>
      </w:tr>
      <w:tr>
        <w:trPr>
          <w:trHeight w:val="218"/>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III</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IV</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6"/>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Commercial finance receivables, net of fees</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3"/>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Floorplan advances comprise 94% of the total revolving balance. Dealer term loans are presented by year of origination.</w:t>
      </w:r>
    </w:p>
    <w:p>
      <w:pPr>
        <w:spacing w:after="0" w:line="200" w:lineRule="exact"/>
        <w:rPr>
          <w:rFonts w:ascii="Arial" w:cs="Arial" w:eastAsia="Arial" w:hAnsi="Arial"/>
          <w:sz w:val="16"/>
          <w:szCs w:val="16"/>
          <w:color w:val="auto"/>
        </w:rPr>
      </w:pPr>
    </w:p>
    <w:p>
      <w:pPr>
        <w:spacing w:after="0" w:line="38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2"/>
              </w:rPr>
              <w:t>Year of Origination(a)</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December 31, 2020</w:t>
            </w:r>
          </w:p>
        </w:tc>
      </w:tr>
      <w:tr>
        <w:trPr>
          <w:trHeight w:val="209"/>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Revolving</w:t>
            </w:r>
          </w:p>
        </w:tc>
        <w:tc>
          <w:tcPr>
            <w:tcW w:w="14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b w:val="1"/>
                <w:bCs w:val="1"/>
                <w:color w:val="auto"/>
              </w:rPr>
              <w:t>Prior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Percent</w:t>
            </w:r>
          </w:p>
        </w:tc>
      </w:tr>
      <w:tr>
        <w:trPr>
          <w:trHeight w:val="211"/>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7,857</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90.5 %</w:t>
            </w: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II</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218"/>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III</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IV</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36"/>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Commercial finance receivables, net of fees</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Floorplan advances comprise 97% of the total revolving balance. Dealer term loans are presented by year of origination.</w:t>
      </w:r>
    </w:p>
    <w:p>
      <w:pPr>
        <w:spacing w:after="0" w:line="231"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b w:val="1"/>
          <w:bCs w:val="1"/>
          <w:i w:val="1"/>
          <w:iCs w:val="1"/>
          <w:color w:val="auto"/>
        </w:rPr>
        <w:t xml:space="preserve">Transactions with GM Financial </w:t>
      </w:r>
      <w:r>
        <w:rPr>
          <w:rFonts w:ascii="Arial" w:cs="Arial" w:eastAsia="Arial" w:hAnsi="Arial"/>
          <w:sz w:val="18"/>
          <w:szCs w:val="18"/>
          <w:color w:val="auto"/>
        </w:rPr>
        <w:t>The following table shows transactions between our Automotive segments and GM Financial. These amounts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in GM Financial's condensed consolidated balance sheets and statements of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r>
      <w:tr>
        <w:trPr>
          <w:trHeight w:val="215"/>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Balance Sheets(a)</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Commercial finance receivables, net due from GM consolidated dealers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rPr>
              <w:t>Subvention receivable(b)</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loan funding payable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303"/>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6"/>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860" w:type="dxa"/>
            <w:vAlign w:val="bottom"/>
            <w:gridSpan w:val="6"/>
          </w:tcPr>
          <w:p>
            <w:pPr>
              <w:jc w:val="right"/>
              <w:ind w:right="793"/>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w w:val="90"/>
              </w:rPr>
              <w:t>September 30, 2020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September 30, 2021</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September 30, 2020</w:t>
            </w:r>
          </w:p>
        </w:tc>
      </w:tr>
      <w:tr>
        <w:trPr>
          <w:trHeight w:val="211"/>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Statements of Income</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subvention earned on finance receivables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Leased vehicle subvention earned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2,319</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3"/>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balance sheet amounts are eliminated upon consolidation.</w:t>
      </w:r>
    </w:p>
    <w:p>
      <w:pPr>
        <w:spacing w:after="0" w:line="8" w:lineRule="exact"/>
        <w:rPr>
          <w:rFonts w:ascii="Arial" w:cs="Arial" w:eastAsia="Arial" w:hAnsi="Arial"/>
          <w:sz w:val="16"/>
          <w:szCs w:val="16"/>
          <w:color w:val="auto"/>
        </w:rPr>
      </w:pPr>
    </w:p>
    <w:p>
      <w:pPr>
        <w:ind w:left="340" w:right="20" w:hanging="333"/>
        <w:spacing w:after="0" w:line="255"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Automotive segments made cash payments to GM Financial for subvention of $828 million and $943 million in the three months ended September 30, 2021 and 2020 and $2.9 billion and $3.0 billion in the nine months ended September 30, 2021 and 2020.</w:t>
      </w:r>
    </w:p>
    <w:p>
      <w:pPr>
        <w:spacing w:after="0" w:line="209"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GM Financial's Board of Directors declared and paid dividends of $600 million and $1.8 billion on its common stock in the three and nine months ended September 30, 2021 and $800 million in the nine months ended September 30,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 2020</w:t>
            </w:r>
          </w:p>
        </w:tc>
      </w:tr>
      <w:tr>
        <w:trPr>
          <w:trHeight w:val="228"/>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productive material, supplies and work in process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product, including service parts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jc w:val="both"/>
        <w:ind w:right="20" w:firstLine="161"/>
        <w:spacing w:after="0" w:line="244" w:lineRule="auto"/>
        <w:rPr>
          <w:sz w:val="20"/>
          <w:szCs w:val="20"/>
          <w:color w:val="auto"/>
        </w:rPr>
      </w:pPr>
      <w:r>
        <w:rPr>
          <w:rFonts w:ascii="Arial" w:cs="Arial" w:eastAsia="Arial" w:hAnsi="Arial"/>
          <w:sz w:val="18"/>
          <w:szCs w:val="18"/>
          <w:color w:val="auto"/>
        </w:rPr>
        <w:t>Inventories at September 30, 2021 increased primarily due to certain vehicles being manufactured without final components as a result of the global semiconductor supply shortage.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Equipment on Operating Leases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Equipment on operating leases consists of leases to retail customers of GM Financial.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8"/>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8"/>
              </w:rPr>
              <w:t>49,263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center"/>
              <w:ind w:left="755"/>
              <w:spacing w:after="0"/>
              <w:rPr>
                <w:sz w:val="20"/>
                <w:szCs w:val="20"/>
                <w:color w:val="auto"/>
              </w:rPr>
            </w:pPr>
            <w:r>
              <w:rPr>
                <w:rFonts w:ascii="Arial" w:cs="Arial" w:eastAsia="Arial" w:hAnsi="Arial"/>
                <w:sz w:val="18"/>
                <w:szCs w:val="18"/>
                <w:color w:val="auto"/>
                <w:w w:val="87"/>
              </w:rPr>
              <w:t>50,000</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91"/>
              </w:rPr>
              <w:t>(9,606)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35"/>
              <w:spacing w:after="0"/>
              <w:rPr>
                <w:sz w:val="20"/>
                <w:szCs w:val="20"/>
                <w:color w:val="auto"/>
              </w:rPr>
            </w:pPr>
            <w:r>
              <w:rPr>
                <w:rFonts w:ascii="Arial" w:cs="Arial" w:eastAsia="Arial" w:hAnsi="Arial"/>
                <w:sz w:val="18"/>
                <w:szCs w:val="18"/>
                <w:color w:val="auto"/>
                <w:w w:val="92"/>
              </w:rPr>
              <w:t>(10,181)</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8"/>
              </w:rPr>
              <w:t>39,657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center"/>
              <w:ind w:left="755"/>
              <w:spacing w:after="0"/>
              <w:rPr>
                <w:sz w:val="20"/>
                <w:szCs w:val="20"/>
                <w:color w:val="auto"/>
              </w:rPr>
            </w:pPr>
            <w:r>
              <w:rPr>
                <w:rFonts w:ascii="Arial" w:cs="Arial" w:eastAsia="Arial" w:hAnsi="Arial"/>
                <w:sz w:val="18"/>
                <w:szCs w:val="18"/>
                <w:color w:val="auto"/>
                <w:w w:val="87"/>
              </w:rPr>
              <w:t>39,819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both"/>
        <w:ind w:firstLine="161"/>
        <w:spacing w:after="0" w:line="244" w:lineRule="auto"/>
        <w:rPr>
          <w:sz w:val="20"/>
          <w:szCs w:val="20"/>
          <w:color w:val="auto"/>
        </w:rPr>
      </w:pPr>
      <w:r>
        <w:rPr>
          <w:rFonts w:ascii="Arial" w:cs="Arial" w:eastAsia="Arial" w:hAnsi="Arial"/>
          <w:sz w:val="18"/>
          <w:szCs w:val="18"/>
          <w:color w:val="auto"/>
        </w:rPr>
        <w:t>The estimated residual value of our leased assets at the end of the lease term was $29.6 billion and $29.2 billion at September 30, 2021 and December 31, 2020.</w:t>
      </w:r>
    </w:p>
    <w:p>
      <w:pPr>
        <w:spacing w:after="0" w:line="211"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Depreciation expense related to Equipment on operating leases, net was $1.6 billion and $1.8 billion in the three months ended September 30, 2021 and 2020 and $4.8 billion and $5.5 billion in the nine months ended September 30, 2021 and 2020.</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lease payments due to GM Financial on leases to retail customers: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6"/>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Thereafter</w:t>
            </w: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receipts under operating leases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3,129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11,088</w:t>
            </w: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 in Net Assets of Nonconsolidated Affiliates</w:t>
      </w:r>
    </w:p>
    <w:p>
      <w:pPr>
        <w:spacing w:after="0" w:line="160"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95"/>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0"/>
              </w:rPr>
              <w:t>September 30, 2020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0"/>
              </w:rPr>
              <w:t>September 30, 2020</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equity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joint ventures equity income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There have been no significant ownership changes in our Automotive China joint ventures (Automotive China JVs) since December 31,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96"/>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0"/>
              </w:rPr>
              <w:t>September 30, 2020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0"/>
              </w:rPr>
              <w:t>September 30, 2020</w:t>
            </w:r>
          </w:p>
        </w:tc>
      </w:tr>
      <w:tr>
        <w:trPr>
          <w:trHeight w:val="211"/>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Summarized Operating Data of Automotive China JVs</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China JVs'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24,589</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Automotive China JVs'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749</w:t>
            </w:r>
          </w:p>
        </w:tc>
      </w:tr>
    </w:tbl>
    <w:p>
      <w:pPr>
        <w:spacing w:after="0" w:line="186"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color w:val="auto"/>
        </w:rPr>
        <w:t>Dividends declared but not paid from our nonconsolidated affiliates were insignificant at September 30, 2021 and December 31, 2020. Dividends received from our nonconsolidated affiliates were $709 million in the nine months ended September 30, 2021 and $526 million in the nine months ended September 30, 2020. Undistributed earnings from our nonconsolidated affiliates were $1.9 billion at September 30, 2021 and $1.6 billion at December 31, 2020.</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Variable Interest Entities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Automotive Financing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GM Financial</w:t>
      </w:r>
    </w:p>
    <w:p>
      <w:pPr>
        <w:spacing w:after="0" w:line="119" w:lineRule="exact"/>
        <w:rPr>
          <w:sz w:val="20"/>
          <w:szCs w:val="20"/>
          <w:color w:val="auto"/>
        </w:rPr>
      </w:pPr>
    </w:p>
    <w:p>
      <w:pPr>
        <w:jc w:val="both"/>
        <w:ind w:firstLine="161"/>
        <w:spacing w:after="0" w:line="268" w:lineRule="auto"/>
        <w:rPr>
          <w:sz w:val="20"/>
          <w:szCs w:val="20"/>
          <w:color w:val="auto"/>
        </w:rPr>
      </w:pPr>
      <w:r>
        <w:rPr>
          <w:rFonts w:ascii="Arial" w:cs="Arial" w:eastAsia="Arial" w:hAnsi="Arial"/>
          <w:sz w:val="17"/>
          <w:szCs w:val="17"/>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condensed consolidated financial statements, they are separate legal entities and their assets are legally owned by them and are not available to GM Financial's creditors.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2020</w:t>
            </w:r>
          </w:p>
        </w:tc>
      </w:tr>
      <w:tr>
        <w:trPr>
          <w:trHeight w:val="228"/>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 current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Restricted cash – non-current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receivables, net of fees – 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17,211</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GM Financial receivables, net of fees – non-current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14,184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15,107</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GM Financial short-term debt and current portion of long-term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17,641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20,450</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18,974</w:t>
            </w:r>
          </w:p>
        </w:tc>
      </w:tr>
    </w:tbl>
    <w:p>
      <w:pPr>
        <w:spacing w:after="0" w:line="308"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Automotive</w:t>
      </w:r>
    </w:p>
    <w:p>
      <w:pPr>
        <w:spacing w:after="0" w:line="119"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color w:val="auto"/>
        </w:rPr>
        <w:t>Nonconsolidated VIEs principally include automotive related operating entities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and liabilities related to our nonconsolidated VIEs were insignificant at September 30, 2021 and December 31, 2020. Our maximum exposure to loss as a result of our involvement with these VIEs was $2.2 billion and $1.2 billion, inclusive of $1.4 billion and $776 million in committed capital contributions to Ultium Cells LLC at September 30, 2021 and December 31, 2020. We currently lack the power through voting or similar rights to direct the activities of these entities that most significantly affect their economic performance.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5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debt in our automotive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80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6"/>
                <w:szCs w:val="16"/>
                <w:color w:val="auto"/>
              </w:rPr>
            </w:pPr>
          </w:p>
        </w:tc>
        <w:tc>
          <w:tcPr>
            <w:tcW w:w="2920" w:type="dxa"/>
            <w:vAlign w:val="bottom"/>
            <w:gridSpan w:val="4"/>
          </w:tcPr>
          <w:p>
            <w:pPr>
              <w:jc w:val="right"/>
              <w:ind w:right="852"/>
              <w:spacing w:after="0"/>
              <w:rPr>
                <w:sz w:val="20"/>
                <w:szCs w:val="20"/>
                <w:color w:val="auto"/>
              </w:rPr>
            </w:pPr>
            <w:r>
              <w:rPr>
                <w:rFonts w:ascii="Arial" w:cs="Arial" w:eastAsia="Arial" w:hAnsi="Arial"/>
                <w:sz w:val="14"/>
                <w:szCs w:val="14"/>
                <w:b w:val="1"/>
                <w:bCs w:val="1"/>
                <w:color w:val="auto"/>
              </w:rPr>
              <w:t>December 31, 2020</w:t>
            </w:r>
          </w:p>
        </w:tc>
      </w:tr>
      <w:tr>
        <w:trPr>
          <w:trHeight w:val="186"/>
        </w:trPr>
        <w:tc>
          <w:tcPr>
            <w:tcW w:w="50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256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332</w:t>
            </w:r>
          </w:p>
        </w:tc>
      </w:tr>
      <w:tr>
        <w:trPr>
          <w:trHeight w:val="228"/>
        </w:trPr>
        <w:tc>
          <w:tcPr>
            <w:tcW w:w="5040" w:type="dxa"/>
            <w:vAlign w:val="bottom"/>
          </w:tcPr>
          <w:p>
            <w:pPr>
              <w:ind w:left="20"/>
              <w:spacing w:after="0"/>
              <w:rPr>
                <w:sz w:val="20"/>
                <w:szCs w:val="20"/>
                <w:color w:val="auto"/>
              </w:rPr>
            </w:pPr>
            <w:r>
              <w:rPr>
                <w:rFonts w:ascii="Arial" w:cs="Arial" w:eastAsia="Arial" w:hAnsi="Arial"/>
                <w:sz w:val="18"/>
                <w:szCs w:val="18"/>
                <w:color w:val="auto"/>
              </w:rPr>
              <w:t>Unsecured debt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19,984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20,988</w:t>
            </w: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256</w:t>
            </w:r>
          </w:p>
        </w:tc>
      </w:tr>
      <w:tr>
        <w:trPr>
          <w:trHeight w:val="222"/>
        </w:trPr>
        <w:tc>
          <w:tcPr>
            <w:tcW w:w="5040" w:type="dxa"/>
            <w:vAlign w:val="bottom"/>
          </w:tcPr>
          <w:p>
            <w:pPr>
              <w:ind w:left="20"/>
              <w:spacing w:after="0"/>
              <w:rPr>
                <w:sz w:val="20"/>
                <w:szCs w:val="20"/>
                <w:color w:val="auto"/>
              </w:rPr>
            </w:pPr>
            <w:r>
              <w:rPr>
                <w:rFonts w:ascii="Arial" w:cs="Arial" w:eastAsia="Arial" w:hAnsi="Arial"/>
                <w:sz w:val="18"/>
                <w:szCs w:val="18"/>
                <w:color w:val="auto"/>
              </w:rPr>
              <w:t>Total automotive debt(a)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20,569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21,576</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8"/>
        </w:trPr>
        <w:tc>
          <w:tcPr>
            <w:tcW w:w="5040" w:type="dxa"/>
            <w:vAlign w:val="bottom"/>
          </w:tcPr>
          <w:p>
            <w:pPr>
              <w:ind w:left="20"/>
              <w:spacing w:after="0"/>
              <w:rPr>
                <w:sz w:val="20"/>
                <w:szCs w:val="20"/>
                <w:color w:val="auto"/>
              </w:rPr>
            </w:pPr>
            <w:r>
              <w:rPr>
                <w:rFonts w:ascii="Arial" w:cs="Arial" w:eastAsia="Arial" w:hAnsi="Arial"/>
                <w:sz w:val="18"/>
                <w:szCs w:val="18"/>
                <w:color w:val="auto"/>
              </w:rPr>
              <w:t>Fair value utilizing Level 1 inputs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19,063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19,826</w:t>
            </w: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1,750</w:t>
            </w:r>
          </w:p>
        </w:tc>
      </w:tr>
      <w:tr>
        <w:trPr>
          <w:trHeight w:val="269"/>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under credit facility agreements(b)</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17,207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18,222</w:t>
            </w:r>
          </w:p>
        </w:tc>
      </w:tr>
      <w:tr>
        <w:trPr>
          <w:trHeight w:val="228"/>
        </w:trPr>
        <w:tc>
          <w:tcPr>
            <w:tcW w:w="5040" w:type="dxa"/>
            <w:vAlign w:val="bottom"/>
          </w:tcPr>
          <w:p>
            <w:pPr>
              <w:ind w:left="20"/>
              <w:spacing w:after="0"/>
              <w:rPr>
                <w:sz w:val="20"/>
                <w:szCs w:val="20"/>
                <w:color w:val="auto"/>
              </w:rPr>
            </w:pPr>
            <w:r>
              <w:rPr>
                <w:rFonts w:ascii="Arial" w:cs="Arial" w:eastAsia="Arial" w:hAnsi="Arial"/>
                <w:sz w:val="18"/>
                <w:szCs w:val="18"/>
                <w:color w:val="auto"/>
                <w:w w:val="96"/>
              </w:rPr>
              <w:t>Weighted-average interest rate on outstanding short-term debt(c)</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Weighted-average interest rate on outstanding long-term debt(c)</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3"/>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net discount and debt issuance costs of $519 million and $540 million at September 30, 2021 and December 31, 2020.</w:t>
      </w:r>
    </w:p>
    <w:p>
      <w:pPr>
        <w:spacing w:after="0" w:line="8" w:lineRule="exact"/>
        <w:rPr>
          <w:rFonts w:ascii="Arial" w:cs="Arial" w:eastAsia="Arial" w:hAnsi="Arial"/>
          <w:sz w:val="16"/>
          <w:szCs w:val="16"/>
          <w:color w:val="auto"/>
        </w:rPr>
      </w:pPr>
    </w:p>
    <w:p>
      <w:pPr>
        <w:ind w:left="320" w:hanging="313"/>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our 364-day, $2.0 billion facility allocated for exclusive use by GM Financial.</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coupon rates on debt denominated in various foreign currencies and interest free loans.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Unsecured debt primarily consists of senior notes. In September 2021, we repaid $450 million of our floating rate senior unsecured debt upon maturity.</w:t>
      </w:r>
    </w:p>
    <w:p>
      <w:pPr>
        <w:spacing w:after="0" w:line="273" w:lineRule="exact"/>
        <w:rPr>
          <w:sz w:val="20"/>
          <w:szCs w:val="20"/>
          <w:color w:val="auto"/>
        </w:rPr>
      </w:pPr>
    </w:p>
    <w:p>
      <w:pPr>
        <w:jc w:val="both"/>
        <w:ind w:firstLine="161"/>
        <w:spacing w:after="0" w:line="292" w:lineRule="auto"/>
        <w:rPr>
          <w:sz w:val="20"/>
          <w:szCs w:val="20"/>
          <w:color w:val="auto"/>
        </w:rPr>
      </w:pPr>
      <w:r>
        <w:rPr>
          <w:rFonts w:ascii="Arial" w:cs="Arial" w:eastAsia="Arial" w:hAnsi="Arial"/>
          <w:sz w:val="16"/>
          <w:szCs w:val="16"/>
          <w:color w:val="auto"/>
        </w:rPr>
        <w:t>In April 2021, we increased the total borrowing capacity of our five-year, $10.5 billion facility to $11.2 billion and extended the termination date for a $9.9 billion portion of the five-year facility by three years, now set to mature on April 18, 2026. The termination date of April 18, 2023 for the remaining portion of the five-year facility remains unchanged. We also renewed and increased the total borrowing capacity of our three-year, $4.0 billion facility to $4.3 billion, which now matures on April 7, 2024, and renewed our 364-day, $2.0 billion facility allocated for exclusive use by GM Financial, which now matures on April 6, 2022. We also terminated our 364-day, $2.0 billion revolving credit facility, entered into in May 2020. Additionally, the prior restrictions on share repurchases and dividends on our common shares were removed upon entrance into the renewed three-year, $4.3 billion facility.</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debt of GM Financial: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74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6"/>
                <w:szCs w:val="16"/>
                <w:color w:val="auto"/>
              </w:rPr>
            </w:pPr>
          </w:p>
        </w:tc>
        <w:tc>
          <w:tcPr>
            <w:tcW w:w="284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December 31, 2020</w:t>
            </w:r>
          </w:p>
        </w:tc>
      </w:tr>
      <w:tr>
        <w:trPr>
          <w:trHeight w:val="186"/>
        </w:trPr>
        <w:tc>
          <w:tcPr>
            <w:tcW w:w="5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38,041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40,380</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Unsecured debt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54,064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54,568</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92,105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92,922</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Fair value utilizing Level 3 inputs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2,026</w:t>
            </w:r>
          </w:p>
        </w:tc>
      </w:tr>
    </w:tbl>
    <w:p>
      <w:pPr>
        <w:spacing w:after="0" w:line="320"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Secured debt consists of revolving credit facilities and securitization notes payable. Most of the secured debt was issued by VIEs and is repayable only from proceeds related to the underlying pledged assets. Refer to Note 8 to our condensed consolidated financial statements for additional information on GM Financial's involvement with VIEs. In the nine months ended September 30, 2021, GM Financial renewed revolving credit facilities with total borrowing capacity of $21.9 billion and issued $19.3 billion in aggregate principal amount of securitization notes payable with an initial weighted average interest rate of 0.73% and maturity dates ranging from 2022 to 2034.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Unsecured debt consists of senior notes, credit facilities and other unsecured debt. In the nine months ended September 30, 2021, GM Financial issued $9.9 billion in aggregate principal amount of senior notes with an initial weighted average interest rate of 1.57% and maturity dates ranging from 2024 to 2031.</w:t>
      </w:r>
    </w:p>
    <w:p>
      <w:pPr>
        <w:spacing w:after="0" w:line="209" w:lineRule="exact"/>
        <w:rPr>
          <w:sz w:val="20"/>
          <w:szCs w:val="20"/>
          <w:color w:val="auto"/>
        </w:rPr>
      </w:pPr>
    </w:p>
    <w:p>
      <w:pPr>
        <w:jc w:val="both"/>
        <w:ind w:firstLine="161"/>
        <w:spacing w:after="0" w:line="305" w:lineRule="auto"/>
        <w:rPr>
          <w:sz w:val="20"/>
          <w:szCs w:val="20"/>
          <w:color w:val="auto"/>
        </w:rPr>
      </w:pPr>
      <w:r>
        <w:rPr>
          <w:rFonts w:ascii="Arial" w:cs="Arial" w:eastAsia="Arial" w:hAnsi="Arial"/>
          <w:sz w:val="17"/>
          <w:szCs w:val="17"/>
          <w:color w:val="auto"/>
        </w:rPr>
        <w:t>In September 2021, GM Financial redeemed $1.5 billion in aggregate principal amount of 5.2% senior notes due in 2023. The redemption resulted in a $105 million loss on the early extinguishment of debt. The loss is included in GM Financial interest, operating and other expenses.</w:t>
      </w:r>
    </w:p>
    <w:p>
      <w:pPr>
        <w:spacing w:after="0" w:line="175"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In October 2021, GM Financial issued $2.3 billion in aggregate principal amount of senior notes with an initial weighted average interest rate of 1.63% and maturity dates ranging from 2024 to 2028.</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the notional amounts of derivative financial instruments in our automotive operations: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4"/>
                <w:szCs w:val="14"/>
                <w:color w:val="auto"/>
              </w:rPr>
            </w:pPr>
          </w:p>
        </w:tc>
        <w:tc>
          <w:tcPr>
            <w:tcW w:w="14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6"/>
        </w:trPr>
        <w:tc>
          <w:tcPr>
            <w:tcW w:w="67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Arial" w:cs="Arial" w:eastAsia="Arial" w:hAnsi="Arial"/>
                <w:sz w:val="18"/>
                <w:szCs w:val="18"/>
                <w:color w:val="auto"/>
              </w:rPr>
              <w:t>Commodity</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Stellantis warrants, formerly known as PSA warrants(b)</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derivative financial instruments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line="245" w:lineRule="auto"/>
        <w:tabs>
          <w:tab w:leader="none" w:pos="33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September 30, 2021 and December 31, 2020 and the gains/losses included in our condensed consolidated income statements for the three and nine months ended September 30, 2021 and 2020 were insignificant, unless otherwise noted.</w:t>
      </w:r>
    </w:p>
    <w:p>
      <w:pPr>
        <w:jc w:val="both"/>
        <w:ind w:left="340" w:hanging="333"/>
        <w:spacing w:after="0" w:line="268" w:lineRule="auto"/>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As a result of the merger of Peugeot, S.A. (PSA Group) and Fiat Chrysler Automobiles N.V. on January 16, 2021, our 39.7 million warrants in Stellantis N.V. (Stellantis) will convert into 69.2 million common shares of Stellantis upon exercise. These warrants will continue to be governed by the same terms and conditions that were applicable prior to the merger. The fair value of these warrants, located in Other assets, was $1.4 billion and $1.1 billion at September 30, 2021 and December 31, 2020. We recorded a loss in Interest income and other non-operating income, net of $31 million and a gain of $76 million in the three months ended September 30, 2021 and 2020 and a gain of $333 million and a loss of $227 million in the nine months ended September 30, 2021 and 2020.</w:t>
      </w:r>
    </w:p>
    <w:p>
      <w:pPr>
        <w:spacing w:after="0" w:line="201" w:lineRule="exact"/>
        <w:rPr>
          <w:sz w:val="20"/>
          <w:szCs w:val="20"/>
          <w:color w:val="auto"/>
        </w:rPr>
      </w:pPr>
    </w:p>
    <w:p>
      <w:pPr>
        <w:ind w:firstLine="161"/>
        <w:spacing w:after="0" w:line="339" w:lineRule="auto"/>
        <w:rPr>
          <w:sz w:val="20"/>
          <w:szCs w:val="20"/>
          <w:color w:val="auto"/>
        </w:rPr>
      </w:pPr>
      <w:r>
        <w:rPr>
          <w:rFonts w:ascii="Arial" w:cs="Arial" w:eastAsia="Arial" w:hAnsi="Arial"/>
          <w:sz w:val="16"/>
          <w:szCs w:val="16"/>
          <w:color w:val="auto"/>
        </w:rPr>
        <w:t>We estimate the fair value of the Stellantis warrants using a Black-Scholes formula. The significant inputs to the model include the Stellantis stock price and the estimated dividend yield. We are entitled to receive any dividends declared by Stellantis through the conversion date upon exercise of the warrants.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ind w:right="20" w:firstLine="161"/>
        <w:spacing w:after="0" w:line="275" w:lineRule="auto"/>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the gross fair value amounts of GM Financial's derivative financial instruments and the associated notional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0"/>
              </w:rPr>
              <w:t>September 30, 2021</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Level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5"/>
              <w:spacing w:after="0" w:line="129" w:lineRule="exact"/>
              <w:rPr>
                <w:sz w:val="20"/>
                <w:szCs w:val="20"/>
                <w:color w:val="auto"/>
              </w:rPr>
            </w:pPr>
            <w:r>
              <w:rPr>
                <w:rFonts w:ascii="Arial" w:cs="Arial" w:eastAsia="Arial" w:hAnsi="Arial"/>
                <w:sz w:val="14"/>
                <w:szCs w:val="14"/>
                <w:b w:val="1"/>
                <w:bCs w:val="1"/>
                <w:color w:val="auto"/>
                <w:w w:val="92"/>
              </w:rPr>
              <w:t>Fair Value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w w:val="99"/>
              </w:rPr>
              <w:t>Notional</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Liabilities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hedges(a)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Fair value hedges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8"/>
        </w:trPr>
        <w:tc>
          <w:tcPr>
            <w:tcW w:w="3740" w:type="dxa"/>
            <w:vAlign w:val="bottom"/>
          </w:tcPr>
          <w:p>
            <w:pPr>
              <w:ind w:left="140"/>
              <w:spacing w:after="0"/>
              <w:rPr>
                <w:sz w:val="20"/>
                <w:szCs w:val="20"/>
                <w:color w:val="auto"/>
              </w:rPr>
            </w:pPr>
            <w:r>
              <w:rPr>
                <w:rFonts w:ascii="Arial" w:cs="Arial" w:eastAsia="Arial" w:hAnsi="Arial"/>
                <w:sz w:val="18"/>
                <w:szCs w:val="18"/>
                <w:color w:val="auto"/>
              </w:rPr>
              <w:t>Foreign currency swaps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swaps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8"/>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2"/>
        </w:trPr>
        <w:tc>
          <w:tcPr>
            <w:tcW w:w="3740" w:type="dxa"/>
            <w:vAlign w:val="bottom"/>
          </w:tcPr>
          <w:p>
            <w:pPr>
              <w:ind w:left="20"/>
              <w:spacing w:after="0"/>
              <w:rPr>
                <w:sz w:val="20"/>
                <w:szCs w:val="20"/>
                <w:color w:val="auto"/>
              </w:rPr>
            </w:pPr>
            <w:r>
              <w:rPr>
                <w:rFonts w:ascii="Arial" w:cs="Arial" w:eastAsia="Arial" w:hAnsi="Arial"/>
                <w:sz w:val="18"/>
                <w:szCs w:val="18"/>
                <w:color w:val="auto"/>
              </w:rPr>
              <w:t>Total derivative financial instruments(b)</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jc w:val="both"/>
        <w:ind w:left="340" w:hanging="333"/>
        <w:spacing w:after="0" w:line="245" w:lineRule="auto"/>
        <w:tabs>
          <w:tab w:leader="none" w:pos="33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gains/losses included in our condensed consolidated income statements and statements of comprehensive income for the three and nine months ended September 30, 2021 and 2020 were insignificant, unless otherwise noted. Amounts accrued for interest payments in a net receivable position are included in Other assets. Amounts accrued for interest payments in a net payable position are included in Other liabilities.</w:t>
      </w:r>
    </w:p>
    <w:p>
      <w:pPr>
        <w:ind w:left="340" w:hanging="333"/>
        <w:spacing w:after="0" w:line="288" w:lineRule="auto"/>
        <w:tabs>
          <w:tab w:leader="none" w:pos="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GM Financial held $460 million and $728 million of collateral from counterparties available for netting against GM Financial's asset positions, and posted an insignificant amount of collateral to counterparties available for netting against GM Financial's liability positions at September 30, 2021 and December 31, 2020.</w:t>
      </w:r>
    </w:p>
    <w:p>
      <w:pPr>
        <w:spacing w:after="0" w:line="186"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97"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The following amounts were recorded in the condensed consolidated balance sheets related to items designated and qualifying as hedged items in fair value hedging relationships: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20" w:type="dxa"/>
            <w:vAlign w:val="bottom"/>
            <w:gridSpan w:val="5"/>
          </w:tcPr>
          <w:p>
            <w:pPr>
              <w:ind w:left="1000"/>
              <w:spacing w:after="0"/>
              <w:rPr>
                <w:sz w:val="20"/>
                <w:szCs w:val="20"/>
                <w:color w:val="auto"/>
              </w:rPr>
            </w:pPr>
            <w:r>
              <w:rPr>
                <w:rFonts w:ascii="Arial" w:cs="Arial" w:eastAsia="Arial" w:hAnsi="Arial"/>
                <w:sz w:val="14"/>
                <w:szCs w:val="14"/>
                <w:b w:val="1"/>
                <w:bCs w:val="1"/>
                <w:color w:val="auto"/>
              </w:rPr>
              <w:t>September 30, 2021</w:t>
            </w:r>
          </w:p>
        </w:tc>
        <w:tc>
          <w:tcPr>
            <w:tcW w:w="420" w:type="dxa"/>
            <w:vAlign w:val="bottom"/>
          </w:tcPr>
          <w:p>
            <w:pPr>
              <w:spacing w:after="0"/>
              <w:rPr>
                <w:sz w:val="16"/>
                <w:szCs w:val="16"/>
                <w:color w:val="auto"/>
              </w:rPr>
            </w:pPr>
          </w:p>
        </w:tc>
        <w:tc>
          <w:tcPr>
            <w:tcW w:w="3620" w:type="dxa"/>
            <w:vAlign w:val="bottom"/>
            <w:gridSpan w:val="4"/>
          </w:tcPr>
          <w:p>
            <w:pPr>
              <w:jc w:val="right"/>
              <w:ind w:right="1361"/>
              <w:spacing w:after="0"/>
              <w:rPr>
                <w:sz w:val="20"/>
                <w:szCs w:val="20"/>
                <w:color w:val="auto"/>
              </w:rPr>
            </w:pPr>
            <w:r>
              <w:rPr>
                <w:rFonts w:ascii="Arial" w:cs="Arial" w:eastAsia="Arial" w:hAnsi="Arial"/>
                <w:sz w:val="14"/>
                <w:szCs w:val="14"/>
                <w:b w:val="1"/>
                <w:bCs w:val="1"/>
                <w:color w:val="auto"/>
              </w:rPr>
              <w:t>December 31, 2020</w:t>
            </w:r>
          </w:p>
        </w:tc>
      </w:tr>
      <w:tr>
        <w:trPr>
          <w:trHeight w:val="120"/>
        </w:trPr>
        <w:tc>
          <w:tcPr>
            <w:tcW w:w="304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Arial" w:cs="Arial" w:eastAsia="Arial" w:hAnsi="Arial"/>
                <w:sz w:val="13"/>
                <w:szCs w:val="13"/>
                <w:b w:val="1"/>
                <w:bCs w:val="1"/>
                <w:color w:val="auto"/>
                <w:w w:val="88"/>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center"/>
              <w:ind w:right="61"/>
              <w:spacing w:after="0" w:line="121" w:lineRule="exact"/>
              <w:rPr>
                <w:sz w:val="20"/>
                <w:szCs w:val="20"/>
                <w:color w:val="auto"/>
              </w:rPr>
            </w:pPr>
            <w:r>
              <w:rPr>
                <w:rFonts w:ascii="Arial" w:cs="Arial" w:eastAsia="Arial" w:hAnsi="Arial"/>
                <w:sz w:val="13"/>
                <w:szCs w:val="13"/>
                <w:b w:val="1"/>
                <w:bCs w:val="1"/>
                <w:color w:val="auto"/>
                <w:w w:val="89"/>
              </w:rPr>
              <w:t>Cumulative Amount of Fair Value</w:t>
            </w:r>
          </w:p>
        </w:tc>
        <w:tc>
          <w:tcPr>
            <w:tcW w:w="10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Arial" w:cs="Arial" w:eastAsia="Arial" w:hAnsi="Arial"/>
                <w:sz w:val="13"/>
                <w:szCs w:val="13"/>
                <w:b w:val="1"/>
                <w:bCs w:val="1"/>
                <w:color w:val="auto"/>
                <w:w w:val="88"/>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right"/>
              <w:ind w:right="101"/>
              <w:spacing w:after="0" w:line="121" w:lineRule="exact"/>
              <w:rPr>
                <w:sz w:val="20"/>
                <w:szCs w:val="20"/>
                <w:color w:val="auto"/>
              </w:rPr>
            </w:pPr>
            <w:r>
              <w:rPr>
                <w:rFonts w:ascii="Arial" w:cs="Arial" w:eastAsia="Arial" w:hAnsi="Arial"/>
                <w:sz w:val="13"/>
                <w:szCs w:val="13"/>
                <w:b w:val="1"/>
                <w:bCs w:val="1"/>
                <w:color w:val="auto"/>
                <w:w w:val="89"/>
              </w:rPr>
              <w:t>Cumulative Amount of Fair Value</w:t>
            </w:r>
          </w:p>
        </w:tc>
      </w:tr>
      <w:tr>
        <w:trPr>
          <w:trHeight w:val="168"/>
        </w:trPr>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8"/>
              </w:rPr>
              <w:t>Items</w:t>
            </w:r>
          </w:p>
        </w:tc>
        <w:tc>
          <w:tcPr>
            <w:tcW w:w="140" w:type="dxa"/>
            <w:vAlign w:val="bottom"/>
          </w:tcPr>
          <w:p>
            <w:pPr>
              <w:spacing w:after="0"/>
              <w:rPr>
                <w:sz w:val="14"/>
                <w:szCs w:val="14"/>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Hedging Adjustments(a)</w:t>
            </w:r>
          </w:p>
        </w:tc>
        <w:tc>
          <w:tcPr>
            <w:tcW w:w="4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8"/>
              </w:rPr>
              <w:t>Items</w:t>
            </w:r>
          </w:p>
        </w:tc>
        <w:tc>
          <w:tcPr>
            <w:tcW w:w="140" w:type="dxa"/>
            <w:vAlign w:val="bottom"/>
          </w:tcPr>
          <w:p>
            <w:pPr>
              <w:spacing w:after="0"/>
              <w:rPr>
                <w:sz w:val="14"/>
                <w:szCs w:val="14"/>
                <w:color w:val="auto"/>
              </w:rPr>
            </w:pPr>
          </w:p>
        </w:tc>
        <w:tc>
          <w:tcPr>
            <w:tcW w:w="2040" w:type="dxa"/>
            <w:vAlign w:val="bottom"/>
          </w:tcPr>
          <w:p>
            <w:pPr>
              <w:jc w:val="right"/>
              <w:ind w:right="361"/>
              <w:spacing w:after="0"/>
              <w:rPr>
                <w:sz w:val="20"/>
                <w:szCs w:val="20"/>
                <w:color w:val="auto"/>
              </w:rPr>
            </w:pPr>
            <w:r>
              <w:rPr>
                <w:rFonts w:ascii="Arial" w:cs="Arial" w:eastAsia="Arial" w:hAnsi="Arial"/>
                <w:sz w:val="13"/>
                <w:szCs w:val="13"/>
                <w:b w:val="1"/>
                <w:bCs w:val="1"/>
                <w:color w:val="auto"/>
              </w:rPr>
              <w:t>Hedging Adjustments(a)</w:t>
            </w:r>
          </w:p>
        </w:tc>
      </w:tr>
      <w:tr>
        <w:trPr>
          <w:trHeight w:val="228"/>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unsecured debt</w:t>
            </w: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8"/>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unsecured debt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unsecured debt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right="20" w:hanging="333"/>
        <w:spacing w:after="0" w:line="255" w:lineRule="auto"/>
        <w:tabs>
          <w:tab w:leader="none" w:pos="33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$245 million and $200 million of unamortized gains remaining on hedged items for which hedge accounting has been discontinued at September 30, 2021 and December 31, 2020.</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and Other Liabilities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r>
      <w:tr>
        <w:trPr>
          <w:trHeight w:val="215"/>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Accrued liabilities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Dealer and customer allowances, claims and discounts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r>
      <w:tr>
        <w:trPr>
          <w:trHeight w:val="228"/>
        </w:trPr>
        <w:tc>
          <w:tcPr>
            <w:tcW w:w="52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3,132</w:t>
            </w:r>
          </w:p>
        </w:tc>
      </w:tr>
      <w:tr>
        <w:trPr>
          <w:trHeight w:val="22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and related 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r>
      <w:tr>
        <w:trPr>
          <w:trHeight w:val="228"/>
        </w:trPr>
        <w:tc>
          <w:tcPr>
            <w:tcW w:w="5220" w:type="dxa"/>
            <w:vAlign w:val="bottom"/>
          </w:tcPr>
          <w:p>
            <w:pPr>
              <w:ind w:left="20"/>
              <w:spacing w:after="0"/>
              <w:rPr>
                <w:sz w:val="20"/>
                <w:szCs w:val="20"/>
                <w:color w:val="auto"/>
              </w:rPr>
            </w:pPr>
            <w:r>
              <w:rPr>
                <w:rFonts w:ascii="Arial" w:cs="Arial" w:eastAsia="Arial" w:hAnsi="Arial"/>
                <w:sz w:val="18"/>
                <w:szCs w:val="18"/>
                <w:color w:val="auto"/>
                <w:w w:val="96"/>
              </w:rPr>
              <w:t>Payrolls and employee benefits excluding postemployment benefits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1,864</w:t>
            </w:r>
          </w:p>
        </w:tc>
      </w:tr>
      <w:tr>
        <w:trPr>
          <w:trHeight w:val="22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w:t>
            </w:r>
          </w:p>
        </w:tc>
      </w:tr>
      <w:tr>
        <w:trPr>
          <w:trHeight w:val="195"/>
        </w:trPr>
        <w:tc>
          <w:tcPr>
            <w:tcW w:w="5220" w:type="dxa"/>
            <w:vAlign w:val="bottom"/>
          </w:tcPr>
          <w:p>
            <w:pPr>
              <w:ind w:left="20"/>
              <w:spacing w:after="0" w:line="195" w:lineRule="exact"/>
              <w:rPr>
                <w:sz w:val="20"/>
                <w:szCs w:val="20"/>
                <w:color w:val="auto"/>
              </w:rPr>
            </w:pPr>
            <w:r>
              <w:rPr>
                <w:rFonts w:ascii="Arial" w:cs="Arial" w:eastAsia="Arial" w:hAnsi="Arial"/>
                <w:sz w:val="18"/>
                <w:szCs w:val="18"/>
                <w:color w:val="auto"/>
              </w:rPr>
              <w:t>Total accrued liabilities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Borders>
              <w:bottom w:val="single" w:sz="8" w:color="auto"/>
            </w:tcBorders>
          </w:tcPr>
          <w:p>
            <w:pPr>
              <w:jc w:val="right"/>
              <w:ind w:right="176"/>
              <w:spacing w:after="0" w:line="195"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18,484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23,069</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2"/>
        </w:trPr>
        <w:tc>
          <w:tcPr>
            <w:tcW w:w="5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8"/>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r>
      <w:tr>
        <w:trPr>
          <w:trHeight w:val="228"/>
        </w:trPr>
        <w:tc>
          <w:tcPr>
            <w:tcW w:w="5220" w:type="dxa"/>
            <w:vAlign w:val="bottom"/>
          </w:tcPr>
          <w:p>
            <w:pPr>
              <w:ind w:left="20"/>
              <w:spacing w:after="0"/>
              <w:rPr>
                <w:sz w:val="20"/>
                <w:szCs w:val="20"/>
                <w:color w:val="auto"/>
              </w:rPr>
            </w:pPr>
            <w:r>
              <w:rPr>
                <w:rFonts w:ascii="Arial" w:cs="Arial" w:eastAsia="Arial" w:hAnsi="Arial"/>
                <w:sz w:val="18"/>
                <w:szCs w:val="18"/>
                <w:color w:val="auto"/>
              </w:rPr>
              <w:t>Product warranty and related liabilities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5,193</w:t>
            </w:r>
          </w:p>
        </w:tc>
      </w:tr>
      <w:tr>
        <w:trPr>
          <w:trHeight w:val="22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28"/>
        </w:trPr>
        <w:tc>
          <w:tcPr>
            <w:tcW w:w="5220" w:type="dxa"/>
            <w:vAlign w:val="bottom"/>
          </w:tcPr>
          <w:p>
            <w:pPr>
              <w:ind w:left="20"/>
              <w:spacing w:after="0"/>
              <w:rPr>
                <w:sz w:val="20"/>
                <w:szCs w:val="20"/>
                <w:color w:val="auto"/>
              </w:rPr>
            </w:pPr>
            <w:r>
              <w:rPr>
                <w:rFonts w:ascii="Arial" w:cs="Arial" w:eastAsia="Arial" w:hAnsi="Arial"/>
                <w:sz w:val="18"/>
                <w:szCs w:val="18"/>
                <w:color w:val="auto"/>
              </w:rPr>
              <w:t>Employee benefits excluding postemployment benefits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822</w:t>
            </w:r>
          </w:p>
        </w:tc>
      </w:tr>
      <w:tr>
        <w:trPr>
          <w:trHeight w:val="22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Postemployment benefits including facility idling reserves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28"/>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r>
      <w:tr>
        <w:trPr>
          <w:trHeight w:val="247"/>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3"/>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3"/>
          </w:tcPr>
          <w:p>
            <w:pPr>
              <w:spacing w:after="0" w:line="20" w:lineRule="exact"/>
              <w:rPr>
                <w:sz w:val="1"/>
                <w:szCs w:val="1"/>
                <w:color w:val="auto"/>
              </w:rPr>
            </w:pPr>
          </w:p>
        </w:tc>
      </w:tr>
      <w:tr>
        <w:trPr>
          <w:trHeight w:val="492"/>
        </w:trPr>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6"/>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820" w:type="dxa"/>
            <w:vAlign w:val="bottom"/>
            <w:gridSpan w:val="6"/>
          </w:tcPr>
          <w:p>
            <w:pPr>
              <w:jc w:val="right"/>
              <w:ind w:right="77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w w:val="90"/>
              </w:rPr>
              <w:t>September 30, 2020</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0"/>
              </w:rPr>
              <w:t>September 30, 2020</w:t>
            </w:r>
          </w:p>
        </w:tc>
      </w:tr>
      <w:tr>
        <w:trPr>
          <w:trHeight w:val="211"/>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Product Warranty and Related Liabilities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w:t>
            </w:r>
          </w:p>
        </w:tc>
      </w:tr>
      <w:tr>
        <w:trPr>
          <w:trHeight w:val="228"/>
        </w:trPr>
        <w:tc>
          <w:tcPr>
            <w:tcW w:w="5220" w:type="dxa"/>
            <w:vAlign w:val="bottom"/>
          </w:tcPr>
          <w:p>
            <w:pPr>
              <w:ind w:left="20"/>
              <w:spacing w:after="0"/>
              <w:rPr>
                <w:sz w:val="20"/>
                <w:szCs w:val="20"/>
                <w:color w:val="auto"/>
              </w:rPr>
            </w:pPr>
            <w:r>
              <w:rPr>
                <w:rFonts w:ascii="Arial" w:cs="Arial" w:eastAsia="Arial" w:hAnsi="Arial"/>
                <w:sz w:val="18"/>
                <w:szCs w:val="18"/>
                <w:color w:val="auto"/>
              </w:rPr>
              <w:t>Warranties issued and assumed in period – recall campaigns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2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 issued and assumed in period – product warranty</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r>
      <w:tr>
        <w:trPr>
          <w:trHeight w:val="228"/>
        </w:trPr>
        <w:tc>
          <w:tcPr>
            <w:tcW w:w="5220" w:type="dxa"/>
            <w:vAlign w:val="bottom"/>
          </w:tcPr>
          <w:p>
            <w:pPr>
              <w:ind w:left="20"/>
              <w:spacing w:after="0"/>
              <w:rPr>
                <w:sz w:val="20"/>
                <w:szCs w:val="20"/>
                <w:color w:val="auto"/>
              </w:rPr>
            </w:pPr>
            <w:r>
              <w:rPr>
                <w:rFonts w:ascii="Arial" w:cs="Arial" w:eastAsia="Arial" w:hAnsi="Arial"/>
                <w:sz w:val="18"/>
                <w:szCs w:val="18"/>
                <w:color w:val="auto"/>
              </w:rPr>
              <w:t>Payments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(2,260)</w:t>
            </w:r>
          </w:p>
        </w:tc>
      </w:tr>
      <w:tr>
        <w:trPr>
          <w:trHeight w:val="22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pre-existing warranties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8"/>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 and other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47"/>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jc w:val="both"/>
        <w:ind w:firstLine="161"/>
        <w:spacing w:after="0" w:line="227" w:lineRule="auto"/>
        <w:rPr>
          <w:sz w:val="20"/>
          <w:szCs w:val="20"/>
          <w:color w:val="auto"/>
        </w:rPr>
      </w:pPr>
      <w:r>
        <w:rPr>
          <w:rFonts w:ascii="Arial" w:cs="Arial" w:eastAsia="Arial" w:hAnsi="Arial"/>
          <w:sz w:val="18"/>
          <w:szCs w:val="18"/>
          <w:color w:val="auto"/>
        </w:rPr>
        <w:t>In the nine months ended September 30, 2021, we recorded warranty recall campaign accruals of $2.7 billion, of which $2.0 billion relates to the Chevrolet Bolt recall. In addition, we reached an agreement with LG Electronics, Inc. (LG) under which LG will reimburse GM for costs and expenses associated with the recall, which substantially offsets the warranty charges we recognized in connection with the recall. Refer to Note 13 to our condensed consolidated financial statements for more details on the Chevrolet Bolt recall and associated supplier recovery. We estimate our reasonably possible loss in excess of amounts accrued for recall campaigns to be insignificant at September 30, 2021.</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Pensions and Other Postretirement Benefits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9"/>
          </w:tcPr>
          <w:p>
            <w:pPr>
              <w:jc w:val="center"/>
              <w:ind w:left="16"/>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6"/>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Global OPEB</w:t>
            </w: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1"/>
                <w:szCs w:val="21"/>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67"/>
        </w:trPr>
        <w:tc>
          <w:tcPr>
            <w:tcW w:w="4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5"/>
                <w:szCs w:val="5"/>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center"/>
              <w:ind w:left="222"/>
              <w:spacing w:after="0"/>
              <w:rPr>
                <w:sz w:val="20"/>
                <w:szCs w:val="20"/>
                <w:color w:val="auto"/>
              </w:rPr>
            </w:pPr>
            <w:r>
              <w:rPr>
                <w:rFonts w:ascii="Arial" w:cs="Arial" w:eastAsia="Arial" w:hAnsi="Arial"/>
                <w:sz w:val="14"/>
                <w:szCs w:val="14"/>
                <w:b w:val="1"/>
                <w:bCs w:val="1"/>
                <w:color w:val="auto"/>
                <w:w w:val="90"/>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79"/>
              <w:spacing w:after="0"/>
              <w:rPr>
                <w:sz w:val="20"/>
                <w:szCs w:val="20"/>
                <w:color w:val="auto"/>
              </w:rPr>
            </w:pPr>
            <w:r>
              <w:rPr>
                <w:rFonts w:ascii="Arial" w:cs="Arial" w:eastAsia="Arial" w:hAnsi="Arial"/>
                <w:sz w:val="14"/>
                <w:szCs w:val="14"/>
                <w:b w:val="1"/>
                <w:bCs w:val="1"/>
                <w:color w:val="auto"/>
                <w:w w:val="90"/>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gridSpan w:val="2"/>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8"/>
                <w:szCs w:val="18"/>
                <w:color w:val="auto"/>
              </w:rPr>
              <w:t>Curtailments, settlements and other</w:t>
            </w:r>
          </w:p>
        </w:tc>
        <w:tc>
          <w:tcPr>
            <w:tcW w:w="24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gridSpan w:val="2"/>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3"/>
        </w:trPr>
        <w:tc>
          <w:tcPr>
            <w:tcW w:w="4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9"/>
          </w:tcPr>
          <w:p>
            <w:pPr>
              <w:jc w:val="center"/>
              <w:ind w:left="16"/>
              <w:spacing w:after="0"/>
              <w:rPr>
                <w:sz w:val="20"/>
                <w:szCs w:val="20"/>
                <w:color w:val="auto"/>
              </w:rPr>
            </w:pPr>
            <w:r>
              <w:rPr>
                <w:rFonts w:ascii="Arial" w:cs="Arial" w:eastAsia="Arial" w:hAnsi="Arial"/>
                <w:sz w:val="14"/>
                <w:szCs w:val="14"/>
                <w:b w:val="1"/>
                <w:bCs w:val="1"/>
                <w:color w:val="auto"/>
                <w:w w:val="92"/>
              </w:rPr>
              <w:t>Nine Months Ended September 30, 2021</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left="16"/>
              <w:spacing w:after="0"/>
              <w:rPr>
                <w:sz w:val="20"/>
                <w:szCs w:val="20"/>
                <w:color w:val="auto"/>
              </w:rPr>
            </w:pPr>
            <w:r>
              <w:rPr>
                <w:rFonts w:ascii="Arial" w:cs="Arial" w:eastAsia="Arial" w:hAnsi="Arial"/>
                <w:sz w:val="14"/>
                <w:szCs w:val="14"/>
                <w:b w:val="1"/>
                <w:bCs w:val="1"/>
                <w:color w:val="auto"/>
                <w:w w:val="92"/>
              </w:rPr>
              <w:t>Nine Months Ended September 30, 2020</w:t>
            </w: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6"/>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Global OPEB</w:t>
            </w: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1"/>
                <w:szCs w:val="21"/>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66"/>
        </w:trPr>
        <w:tc>
          <w:tcPr>
            <w:tcW w:w="4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Non-U.S.</w:t>
            </w:r>
          </w:p>
        </w:tc>
        <w:tc>
          <w:tcPr>
            <w:tcW w:w="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5"/>
                <w:szCs w:val="5"/>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center"/>
              <w:ind w:left="262"/>
              <w:spacing w:after="0"/>
              <w:rPr>
                <w:sz w:val="20"/>
                <w:szCs w:val="20"/>
                <w:color w:val="auto"/>
              </w:rPr>
            </w:pPr>
            <w:r>
              <w:rPr>
                <w:rFonts w:ascii="Arial" w:cs="Arial" w:eastAsia="Arial" w:hAnsi="Arial"/>
                <w:sz w:val="14"/>
                <w:szCs w:val="14"/>
                <w:b w:val="1"/>
                <w:bCs w:val="1"/>
                <w:color w:val="auto"/>
                <w:w w:val="90"/>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79"/>
              <w:spacing w:after="0"/>
              <w:rPr>
                <w:sz w:val="20"/>
                <w:szCs w:val="20"/>
                <w:color w:val="auto"/>
              </w:rPr>
            </w:pPr>
            <w:r>
              <w:rPr>
                <w:rFonts w:ascii="Arial" w:cs="Arial" w:eastAsia="Arial" w:hAnsi="Arial"/>
                <w:sz w:val="14"/>
                <w:szCs w:val="14"/>
                <w:b w:val="1"/>
                <w:bCs w:val="1"/>
                <w:color w:val="auto"/>
                <w:w w:val="90"/>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50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130</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8"/>
                <w:szCs w:val="18"/>
                <w:color w:val="auto"/>
              </w:rPr>
              <w:t>Curtailments, settlements and other</w:t>
            </w:r>
          </w:p>
        </w:tc>
        <w:tc>
          <w:tcPr>
            <w:tcW w:w="24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50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194</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The non-service cost components of net periodic pension and other postretirement benefits (OPEB) income of $484 million and $322 million in the three months ended September 30, 2021 and 2020 and $1.5 billion and $996 million in the nine months ended September 30, 2021 and 2020 are presented in Interest income and other non-operating income, net.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Litigation-Related Liability and Tax Administrative Matters </w:t>
      </w:r>
      <w:r>
        <w:rPr>
          <w:rFonts w:ascii="Arial" w:cs="Arial" w:eastAsia="Arial" w:hAnsi="Arial"/>
          <w:sz w:val="18"/>
          <w:szCs w:val="18"/>
          <w:color w:val="auto"/>
        </w:rPr>
        <w:t>In the normal course of our business, we are named from time to time as a defendant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September 30, 2021 and December 31, 2020, we had accruals of $1.1 billion and $1.2 billion in Accrued liabilities and Other liabilities. In many matters, it is inherently difficult to determine whether loss is probable or reasonably possible or to estimate the size or range of the possible loss. Accordingly, adverse outcomes from such proceedings could exceed the amounts accrued by an amount that could be material to our results of operations or cash flows in any particular reporting period.</w:t>
      </w:r>
    </w:p>
    <w:p>
      <w:pPr>
        <w:spacing w:after="0" w:line="217" w:lineRule="exact"/>
        <w:rPr>
          <w:sz w:val="20"/>
          <w:szCs w:val="20"/>
          <w:color w:val="auto"/>
        </w:rPr>
      </w:pPr>
    </w:p>
    <w:p>
      <w:pPr>
        <w:jc w:val="both"/>
        <w:ind w:firstLine="161"/>
        <w:spacing w:after="0" w:line="292" w:lineRule="auto"/>
        <w:rPr>
          <w:sz w:val="20"/>
          <w:szCs w:val="20"/>
          <w:color w:val="auto"/>
        </w:rPr>
      </w:pPr>
      <w:r>
        <w:rPr>
          <w:rFonts w:ascii="Arial" w:cs="Arial" w:eastAsia="Arial" w:hAnsi="Arial"/>
          <w:sz w:val="16"/>
          <w:szCs w:val="16"/>
          <w:b w:val="1"/>
          <w:bCs w:val="1"/>
          <w:i w:val="1"/>
          <w:iCs w:val="1"/>
          <w:color w:val="auto"/>
        </w:rPr>
        <w:t xml:space="preserve">GM Korea Wage Litigation </w:t>
      </w:r>
      <w:r>
        <w:rPr>
          <w:rFonts w:ascii="Arial" w:cs="Arial" w:eastAsia="Arial" w:hAnsi="Arial"/>
          <w:sz w:val="16"/>
          <w:szCs w:val="16"/>
          <w:color w:val="auto"/>
        </w:rPr>
        <w:t>GM Korea Company (GM Korea) is party to litigation with current and former salaried employees over whether to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bonuses in the calculation of Ordinary Wages due under Korean regulations. In 2017, the Seoul High Court (an intermediate-level appellate court) held that certain workers are not barred from filing retroactive wage claims. GM Korea appealed this ruling to the Supreme Court of the Republic of Korea (Korea Supreme Court). In June 2021, the Korea Supreme Court affirmed the adverse rulings of the Seoul High Court. Accordingly, as of September 30, 2021, our total accrual relating to this matter was $110 million and it was recorded in Automotive and other selling, general and administrative expense. We estimate our reasonably possible loss in excess of amounts accrued to be insignificant at September 30, 2021.</w:t>
      </w:r>
    </w:p>
    <w:p>
      <w:pPr>
        <w:spacing w:after="0" w:line="18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GM Korea is also party to litigation with current and former subcontract workers over allegations that they are entitled to the same wages and benefits provided to full-time employees, and to be hired as full-time employees. In May 2018 and September 2020, the Korean labor authorities issued adverse administrative orders finding that GM Korea must hire certain current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subcontract workers as full-time employees. GM Korea appealed the May 2018 and September 2020 orders. In June 2020, the Seoul High Court ruled against GM Korea in one of the subcontract worker claims. GM Korea has appealed this decision to the Korea Supreme Court. At September 30, 2021, our accrual covering certain asserted claims and claims that we believe are probable of assertion and for which liability is probable was approximately $267 million. We estimate the reasonably possible loss in excess of amounts accrued for other current subcontract workers who may assert similar claims to be approximately $111 million at September 30, 2021. We are currently unable to estimate any possible loss or range of loss that may result from additional claims that may be asserted by former subcontract workers.</w:t>
      </w:r>
    </w:p>
    <w:p>
      <w:pPr>
        <w:spacing w:after="0" w:line="217" w:lineRule="exact"/>
        <w:rPr>
          <w:sz w:val="20"/>
          <w:szCs w:val="20"/>
          <w:color w:val="auto"/>
        </w:rPr>
      </w:pPr>
    </w:p>
    <w:p>
      <w:pPr>
        <w:jc w:val="both"/>
        <w:ind w:firstLine="161"/>
        <w:spacing w:after="0" w:line="272" w:lineRule="auto"/>
        <w:rPr>
          <w:sz w:val="20"/>
          <w:szCs w:val="20"/>
          <w:color w:val="auto"/>
        </w:rPr>
      </w:pPr>
      <w:r>
        <w:rPr>
          <w:rFonts w:ascii="Arial" w:cs="Arial" w:eastAsia="Arial" w:hAnsi="Arial"/>
          <w:sz w:val="17"/>
          <w:szCs w:val="17"/>
          <w:b w:val="1"/>
          <w:bCs w:val="1"/>
          <w:i w:val="1"/>
          <w:iCs w:val="1"/>
          <w:color w:val="auto"/>
        </w:rPr>
        <w:t xml:space="preserve">GM Brazil Indirect Tax Claim </w:t>
      </w:r>
      <w:r>
        <w:rPr>
          <w:rFonts w:ascii="Arial" w:cs="Arial" w:eastAsia="Arial" w:hAnsi="Arial"/>
          <w:sz w:val="17"/>
          <w:szCs w:val="17"/>
          <w:color w:val="auto"/>
        </w:rPr>
        <w:t>In 2019, the Superior Court of Brazil rendered favorable decisions on three cases brought by GM Brazil that granted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the right to recover certain tax overpayments collected by the government. As a result, GM Brazil recorded pre-tax recoveries of $1.4 billion in the year ended December 31, 2019. GM Brazil is currently realizing those recoveries as there are federal tax liabilities eligible for offset. On August 12, 2021, the Brazilian Supreme Court published its final decision on a Motion of Clarification filed by the Brazilian IRS in a related case that confirmed GM Brazil's right to recover the tax overpayments retroactively. We expect third parties will file claims asserting entitlement to some or all of the tax recoveries recognized by GM Brazil, and GM intends to defend against any such claims.</w:t>
      </w:r>
    </w:p>
    <w:p>
      <w:pPr>
        <w:spacing w:after="0" w:line="203"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b w:val="1"/>
          <w:bCs w:val="1"/>
          <w:i w:val="1"/>
          <w:iCs w:val="1"/>
          <w:color w:val="auto"/>
        </w:rPr>
        <w:t xml:space="preserve">Other Litigation-Related Liability and Tax Administrative Matters </w:t>
      </w:r>
      <w:r>
        <w:rPr>
          <w:rFonts w:ascii="Arial" w:cs="Arial" w:eastAsia="Arial" w:hAnsi="Arial"/>
          <w:sz w:val="18"/>
          <w:szCs w:val="18"/>
          <w:color w:val="auto"/>
        </w:rPr>
        <w:t>Various other legal actions, including class actions, governmental investigations,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claims and proceedings are pending against us or our related companies or joint ventures, including matters arising out of alleged product defects; employment-related matters; product and workplace safety, vehicle emissions and fuel economy regulations; product warranties; financial services; dealer, supplier and other contractual relationships; government regulations relating to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w:t>
      </w:r>
    </w:p>
    <w:p>
      <w:pPr>
        <w:spacing w:after="0" w:line="219" w:lineRule="exact"/>
        <w:rPr>
          <w:sz w:val="20"/>
          <w:szCs w:val="20"/>
          <w:color w:val="auto"/>
        </w:rPr>
      </w:pPr>
    </w:p>
    <w:p>
      <w:pPr>
        <w:jc w:val="both"/>
        <w:ind w:firstLine="161"/>
        <w:spacing w:after="0" w:line="274" w:lineRule="auto"/>
        <w:rPr>
          <w:sz w:val="20"/>
          <w:szCs w:val="20"/>
          <w:color w:val="auto"/>
        </w:rPr>
      </w:pPr>
      <w:r>
        <w:rPr>
          <w:rFonts w:ascii="Arial" w:cs="Arial" w:eastAsia="Arial" w:hAnsi="Arial"/>
          <w:sz w:val="17"/>
          <w:szCs w:val="17"/>
          <w:color w:val="auto"/>
        </w:rPr>
        <w:t>There are several putative class actions pending against GM in federal courts in the U.S. and in the Provincial Courts in Canada alleging that various vehicles sold, including model year 2011-2016 Duramax Diesel Chevrolet Silverado and GMC Sierra vehicles, violate federal, state and foreign emission standards. We are unable to estimate any reasonably possible loss or range of loss that may result from these actions. GM has also faced a series of additional lawsuits in the U.S. based on these allegations, including putative shareholder class actions claiming violations of federal securities law and a shareholder demand lawsuit. The securities lawsuits have been voluntarily dismissed by the plaintiffs in those actions.</w:t>
      </w:r>
    </w:p>
    <w:p>
      <w:pPr>
        <w:spacing w:after="0" w:line="201"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w:t>
      </w:r>
    </w:p>
    <w:p>
      <w:pPr>
        <w:spacing w:after="0" w:line="212" w:lineRule="exact"/>
        <w:rPr>
          <w:sz w:val="20"/>
          <w:szCs w:val="20"/>
          <w:color w:val="auto"/>
        </w:rPr>
      </w:pPr>
    </w:p>
    <w:p>
      <w:pPr>
        <w:jc w:val="both"/>
        <w:ind w:firstLine="161"/>
        <w:spacing w:after="0" w:line="290" w:lineRule="auto"/>
        <w:rPr>
          <w:sz w:val="20"/>
          <w:szCs w:val="20"/>
          <w:color w:val="auto"/>
        </w:rPr>
      </w:pPr>
      <w:r>
        <w:rPr>
          <w:rFonts w:ascii="Arial" w:cs="Arial" w:eastAsia="Arial" w:hAnsi="Arial"/>
          <w:sz w:val="16"/>
          <w:szCs w:val="16"/>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Some of the matters may involve compensatory, punitive or other treble damage claims, environmental remediation programs or sanctions that, if granted, could require us to pay damages or make other expenditures in amounts that could not be reasonably estimated at September 30, 2021. We believe that appropriate accruals have been established for losses that are probable and can be reasonably estimated. For indirect tax-related matters we estimate our reasonably possible loss in excess of amounts accrued to be up to approximately $850 million at September 30, 2021.</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In November 2020, the National Highway Traffic Safety Administration (NHTSA) directed that we replace the airbag inflators in our</w:t>
      </w:r>
      <w:r>
        <w:rPr>
          <w:rFonts w:ascii="Arial" w:cs="Arial" w:eastAsia="Arial" w:hAnsi="Arial"/>
          <w:sz w:val="18"/>
          <w:szCs w:val="18"/>
          <w:b w:val="1"/>
          <w:bCs w:val="1"/>
          <w:color w:val="auto"/>
        </w:rPr>
        <w:t xml:space="preserve"> </w:t>
      </w:r>
      <w:r>
        <w:rPr>
          <w:rFonts w:ascii="Arial" w:cs="Arial" w:eastAsia="Arial" w:hAnsi="Arial"/>
          <w:sz w:val="18"/>
          <w:szCs w:val="18"/>
          <w:color w:val="auto"/>
        </w:rPr>
        <w:t>GMT900 vehicles, which are full-size pickup trucks and sport utility vehicles (SUVs), and we decided not to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and we believe the currently accrued amount remains reasonable.</w:t>
      </w:r>
    </w:p>
    <w:p>
      <w:pPr>
        <w:spacing w:after="0" w:line="217"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GM has recalled certain vehicles sold outside of the U.S. to replace Takata inflators in those vehicles. There are significant differences in vehicle and inflator design between the relevant vehicles sold internationally and those sold in the U.S. We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continue to gather and analyze evidence about these inflators and to share our findings with regulators. Any additional recalls relating to these inflators could be material to our results of operations and cash flows.</w:t>
      </w:r>
    </w:p>
    <w:p>
      <w:pPr>
        <w:spacing w:after="0" w:line="19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There are several putative class actions that have been filed against GM, including in the federal courts in the U.S., in the Provincial Courts in Canada, and in Mexico and Israel, arising out of allegations that airbag inflators manufactured by Takata are defective. At this stage of these proceedings, we are unable to provide an estimate of the amounts or range of possible loss.</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Chevrolet Bolt Recall </w:t>
      </w:r>
      <w:r>
        <w:rPr>
          <w:rFonts w:ascii="Arial" w:cs="Arial" w:eastAsia="Arial" w:hAnsi="Arial"/>
          <w:sz w:val="17"/>
          <w:szCs w:val="17"/>
          <w:color w:val="auto"/>
        </w:rPr>
        <w:t>In July 2021, we initiated a voluntary recall for certain 2017-2019 model year Chevrolet Bolt EVs due to the risk that two</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manufacturing defects present in the same battery cell could cause a high voltage battery fire in certain of these vehicles. Accordingly, in the three months ended June 30, 2021, we recorded a warranty accrual of $812 million. After further investigation into the manufacturing processes at our battery supplier, LG, and disassembling battery packs, we determined that the risk of battery cell defects was not confined to the initial recall population. As a result, in August 2021, we expanded the recall to include all 2017-2022 model year Chevrolet Bolt EV and EUVs and recorded an additional $1.2 billion in the three months ended September 30, 2021. In October 2021, we reached an agreement with LG, under which LG will reimburse GM for costs and expenses associated with the recall. As a result, in the three months ended September 30, 2021, we recognized a receivable of $1.9 billion, which substantially offsets the warranty charges we recognized in connection with the recall. These charges reflect our current best estimate for the cost of the recall remedy. The actual costs of the recall and GM's associated recovery from LG could be higher or lower. For 2017-2019 model year vehicles, the recall remedy will be to replace the high voltage battery modules in these vehicles with new modules. For 2020-2022 model year vehicles, the recall remedy will be to replace any defective high voltage battery modules in these vehicles with new modules.</w:t>
      </w:r>
    </w:p>
    <w:p>
      <w:pPr>
        <w:spacing w:after="0" w:line="210"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addition, putative class actions have been filed against GM in federal courts in the U.S. and in the Provincial Courts in Canada alleging that the batteries contained in the Bolt EVs included in the recall population are defective. At this stage of these proceedings, we are unable to provide an estimate of the amounts or range of possible loss.</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Opel/Vauxhall Sale </w:t>
      </w:r>
      <w:r>
        <w:rPr>
          <w:rFonts w:ascii="Arial" w:cs="Arial" w:eastAsia="Arial" w:hAnsi="Arial"/>
          <w:sz w:val="16"/>
          <w:szCs w:val="16"/>
          <w:color w:val="auto"/>
        </w:rPr>
        <w:t>In 2017, we sold the Opel and Vauxhall businesses and certain other assets in Europe (the Opel/Vauxhall Business) to PSA Group (now</w:t>
      </w:r>
      <w:r>
        <w:rPr>
          <w:rFonts w:ascii="Arial" w:cs="Arial" w:eastAsia="Arial" w:hAnsi="Arial"/>
          <w:sz w:val="16"/>
          <w:szCs w:val="16"/>
          <w:b w:val="1"/>
          <w:bCs w:val="1"/>
          <w:color w:val="auto"/>
        </w:rPr>
        <w:t xml:space="preserve"> </w:t>
      </w:r>
      <w:r>
        <w:rPr>
          <w:rFonts w:ascii="Arial" w:cs="Arial" w:eastAsia="Arial" w:hAnsi="Arial"/>
          <w:sz w:val="16"/>
          <w:szCs w:val="16"/>
          <w:color w:val="auto"/>
        </w:rPr>
        <w:t>Stellantis) under a Master Agreement (the Agreement). We also sold the European financing subsidiaries and branches (the Fincos, and together with the Opel/Vauxhall Business, the European Business) to Banque PSA Finance S.A. and BNP Paribas Personal Finance S.A. Although the sale reduced our new vehicle presence in Europe, we may still be impacted by actions taken by regulators related to vehicles sold before the sale. Our wholly owned subsidiary (the Seller) agreed to indemnify Stellantis for certain losses resulting from any inaccuracy of the representations and warranties or breaches of our covenants included in the Agreement and for certain other liabilities, including certain emissions and product liabilities. Currently, various consumer lawsuits have been filed against the Seller and Stellantis in Germany, the United Kingdom, and the Netherlands alleging that Opel and Vauxhall vehicles sold by the Seller violated foreign emissions standards. We are unable to estimate any reasonably possible loss or range of loss that may result from these actions either directly or through an indemnification claim from Stellantis. The Company entered into a guarantee for the benefit of Stellantis and pursuant to which the Company agreed to guarantee the Seller's obligation to indemnify Stellantis. Certain of these indemnification obligations are subject to time limitations, thresholds and/or caps as to the amount of required payments.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Product Liability </w:t>
      </w:r>
      <w:r>
        <w:rPr>
          <w:rFonts w:ascii="Arial" w:cs="Arial" w:eastAsia="Arial" w:hAnsi="Arial"/>
          <w:sz w:val="18"/>
          <w:szCs w:val="18"/>
          <w:color w:val="auto"/>
        </w:rPr>
        <w:t>We recorded liabilities of $620 million and $589 million in Accrued liabilities and Other liabilities at September 30, 2021 and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2020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We enter into indemnification agreements for liability claims involving products manufactured primarily by certain joint ventures.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guarantees terminate in years ranging from 2021 to 2026 or upon the occurrence of specific events or are ongoing. We believe that the related potential costs incurred are adequately covered by our recorded accruals, which are insignificant. The maximum future undiscounted payments mainly based on vehicles sold to date were $3.4 billion and $3.1 billion for these guarantees at September 30, 2021 and December 31, 2020, the majority of which relates to the indemnification agreements.</w:t>
      </w:r>
    </w:p>
    <w:p>
      <w:pPr>
        <w:spacing w:after="0" w:line="217"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degree, the amount of any potential future payments. We are also exposed to residual value guarantees associated with certain sales to rental car companies.</w:t>
      </w:r>
    </w:p>
    <w:p>
      <w:pPr>
        <w:spacing w:after="0" w:line="273"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19"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color w:val="auto"/>
        </w:rPr>
        <w:t>For interim income tax reporting, we estimate our annual effective tax rate and apply it to our year-to-date ordinary income (loss). Tax jurisdictions with a projected or year-to-date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w:t>
      </w:r>
    </w:p>
    <w:p>
      <w:pPr>
        <w:spacing w:after="0" w:line="174"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color w:val="auto"/>
        </w:rPr>
        <w:t>In the three months ended September 30, 2021, Income tax expense of $152 million was primarily due to tax expense attributable to entities included in our effective tax rate calculation, partially offset by tax benefit related to a deduction for an investment in a subsidiary. In the three months ended September 30, 2020, Income tax expense of $887 million was primarily due to tax expense attributable to entities included in our effective tax rate calculation.</w:t>
      </w:r>
    </w:p>
    <w:p>
      <w:pPr>
        <w:spacing w:after="0" w:line="174"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color w:val="auto"/>
        </w:rPr>
        <w:t>In the nine months ended September 30, 2021, Income tax expense of $2.3 billion was primarily due to tax expense attributable to entities included in our effective tax rate calculation and the establishment of a valuation allowance against Cruise deferred tax assets, partially offset by tax benefit related to a deduction for an investment in a subsidiary. In the nine months ended September 30, 2020, Income tax expense of $1.1 billion was primarily due to tax expense attributable to entities included in our effective tax rate calculation and the establishment of a valuation allowance against deferred tax assets.</w:t>
      </w:r>
    </w:p>
    <w:p>
      <w:pPr>
        <w:spacing w:after="0" w:line="182" w:lineRule="exact"/>
        <w:rPr>
          <w:sz w:val="20"/>
          <w:szCs w:val="20"/>
          <w:color w:val="auto"/>
        </w:rPr>
      </w:pPr>
    </w:p>
    <w:p>
      <w:pPr>
        <w:jc w:val="both"/>
        <w:ind w:firstLine="161"/>
        <w:spacing w:after="0" w:line="242" w:lineRule="auto"/>
        <w:rPr>
          <w:sz w:val="20"/>
          <w:szCs w:val="20"/>
          <w:color w:val="auto"/>
        </w:rPr>
      </w:pPr>
      <w:r>
        <w:rPr>
          <w:rFonts w:ascii="Arial" w:cs="Arial" w:eastAsia="Arial" w:hAnsi="Arial"/>
          <w:sz w:val="18"/>
          <w:szCs w:val="18"/>
          <w:color w:val="auto"/>
        </w:rPr>
        <w:t>In the nine months ended September 30, 2021, Cruise issued new preferred shares to investors. As a result of the issuance in January 2021, Cruise fell below the ownership threshold required for inclusion in our U.S. consolidated income tax returns, and we established a valuation allowance of $316 million against deferred tax assets. Refer to Note 16 to our condensed consolidated financial statements for additional information regarding the Cruise preferred stock issuance.</w:t>
      </w:r>
    </w:p>
    <w:p>
      <w:pPr>
        <w:spacing w:after="0" w:line="213" w:lineRule="exact"/>
        <w:rPr>
          <w:sz w:val="20"/>
          <w:szCs w:val="20"/>
          <w:color w:val="auto"/>
        </w:rPr>
      </w:pPr>
    </w:p>
    <w:p>
      <w:pPr>
        <w:jc w:val="both"/>
        <w:ind w:firstLine="161"/>
        <w:spacing w:after="0" w:line="305" w:lineRule="auto"/>
        <w:rPr>
          <w:sz w:val="20"/>
          <w:szCs w:val="20"/>
          <w:color w:val="auto"/>
        </w:rPr>
      </w:pPr>
      <w:r>
        <w:rPr>
          <w:rFonts w:ascii="Arial" w:cs="Arial" w:eastAsia="Arial" w:hAnsi="Arial"/>
          <w:sz w:val="17"/>
          <w:szCs w:val="17"/>
          <w:color w:val="auto"/>
        </w:rPr>
        <w:t>At September 30, 2021, we had $21.5 billion of net deferred tax assets consisting of net operating losses and income tax credits, capitalized research expenditures and other timing differences that are available to offset future income tax liabilities, partially offset by valuation allowances.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Restructuring and Other Initiatives</w:t>
      </w:r>
    </w:p>
    <w:p>
      <w:pPr>
        <w:spacing w:after="0" w:line="119"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ind w:right="20" w:firstLine="161"/>
        <w:spacing w:after="0" w:line="275" w:lineRule="auto"/>
        <w:rPr>
          <w:sz w:val="20"/>
          <w:szCs w:val="20"/>
          <w:color w:val="auto"/>
        </w:rPr>
      </w:pPr>
      <w:r>
        <w:rPr>
          <w:rFonts w:ascii="Arial" w:cs="Arial" w:eastAsia="Arial" w:hAnsi="Arial"/>
          <w:sz w:val="18"/>
          <w:szCs w:val="18"/>
          <w:color w:val="auto"/>
        </w:rPr>
        <w:t>The following table summarizes the reserves and charges related to restructuring and other initiatives, including postemployment benefit reserves and charges:</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September 30, 2020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September 30, 2020</w:t>
            </w:r>
          </w:p>
        </w:tc>
      </w:tr>
      <w:tr>
        <w:trPr>
          <w:trHeight w:val="223"/>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28"/>
        </w:trPr>
        <w:tc>
          <w:tcPr>
            <w:tcW w:w="5140" w:type="dxa"/>
            <w:vAlign w:val="bottom"/>
          </w:tcPr>
          <w:p>
            <w:pPr>
              <w:spacing w:after="0"/>
              <w:rPr>
                <w:sz w:val="20"/>
                <w:szCs w:val="20"/>
                <w:color w:val="auto"/>
              </w:rPr>
            </w:pPr>
            <w:r>
              <w:rPr>
                <w:rFonts w:ascii="Arial" w:cs="Arial" w:eastAsia="Arial" w:hAnsi="Arial"/>
                <w:sz w:val="18"/>
                <w:szCs w:val="18"/>
                <w:color w:val="auto"/>
              </w:rPr>
              <w:t>Additions, interest accretion and other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2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28"/>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Revisions to estimates and effect of foreign currency</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7"/>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161"/>
        <w:spacing w:after="0" w:line="268" w:lineRule="auto"/>
        <w:rPr>
          <w:sz w:val="20"/>
          <w:szCs w:val="20"/>
          <w:color w:val="auto"/>
        </w:rPr>
      </w:pPr>
      <w:r>
        <w:rPr>
          <w:rFonts w:ascii="Arial" w:cs="Arial" w:eastAsia="Arial" w:hAnsi="Arial"/>
          <w:sz w:val="17"/>
          <w:szCs w:val="17"/>
          <w:color w:val="auto"/>
        </w:rPr>
        <w:t>In the three and nine months ended September 30, 2020, restructuring and other initiatives primarily included actions in GMI related to the wind-down of Holden sales, design and engineering operations in Australia and New Zealand and the execution of definitive agreements to sell our vehicle and powertrain manufacturing facilities in Thailand. We recorded charges of $76 million in the three months ended September 30, 2020, primarily for supplier claims. We recorded charges of $657 million in the nine months ended September 30, 2020, primarily consisting of $367 million in property and intangible asset impairments, inventory provisions, sales allowances and other charges, not reflected in the table above, and $290 million in dealer restructurings and employee separation charges, which are reflected in the table above. These programs, including the execution of a binding term sheet to sell our manufacturing facility in India, had a total cost since inception of $689 million. We also recorded a $236 million charge to Income tax expense due to the establishment of a valuation allowance against deferred tax assets in Australia and New Zealand in the nine months ended September 30, 2020. We incurred $222 million in net cash outflows in the nine months ended September 30, 2020 and $254 million in net cash outflows since program inception resulting from these restructuring actions, primarily for dealer restructuring payments and employee separation payments, which includes proceeds of $143 million from the sale of our manufacturing facilities in Thailand.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 and Noncontrolling Interests</w:t>
      </w:r>
    </w:p>
    <w:p>
      <w:pPr>
        <w:spacing w:after="0" w:line="11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We had no shares of preferred stock issued and outstanding at September 30, 2021 and December 31, 2020. We had 1.5 billion and 1.4 billion shares of common stock issued and outstanding at September 30, 2021 and December 31, 2020.</w:t>
      </w:r>
    </w:p>
    <w:p>
      <w:pPr>
        <w:spacing w:after="0" w:line="196" w:lineRule="exact"/>
        <w:rPr>
          <w:sz w:val="20"/>
          <w:szCs w:val="20"/>
          <w:color w:val="auto"/>
        </w:rPr>
      </w:pPr>
    </w:p>
    <w:p>
      <w:pPr>
        <w:jc w:val="both"/>
        <w:ind w:firstLine="161"/>
        <w:spacing w:after="0" w:line="241" w:lineRule="auto"/>
        <w:rPr>
          <w:sz w:val="20"/>
          <w:szCs w:val="20"/>
          <w:color w:val="auto"/>
        </w:rPr>
      </w:pPr>
      <w:r>
        <w:rPr>
          <w:rFonts w:ascii="Arial" w:cs="Arial" w:eastAsia="Arial" w:hAnsi="Arial"/>
          <w:sz w:val="17"/>
          <w:szCs w:val="17"/>
          <w:b w:val="1"/>
          <w:bCs w:val="1"/>
          <w:i w:val="1"/>
          <w:iCs w:val="1"/>
          <w:color w:val="auto"/>
        </w:rPr>
        <w:t xml:space="preserve">Cruise Preferred Shares </w:t>
      </w:r>
      <w:r>
        <w:rPr>
          <w:rFonts w:ascii="Arial" w:cs="Arial" w:eastAsia="Arial" w:hAnsi="Arial"/>
          <w:sz w:val="17"/>
          <w:szCs w:val="17"/>
          <w:color w:val="auto"/>
        </w:rPr>
        <w:t>In the nine months ended September 30, 2021, GM Cruise Holdings LLC (Cruise Holdings) issued $2.7 billion of Class 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Shares (Cruise Class G Preferred Shares) to Microsoft Corporation (Microsoft), Walmart Inc. (Walmart) and other investors, including $1.0 billion to General Motors Holdings LLC. All proceeds related to the Cruise Class G Preferred Shares are designated exclusively for working capital and general corporate purposes of Cruise Holdings. In addition, we, Cruise Holdings and Microsoft entered into a long-term strategic relationship to accelerate the commercialization of self-driving vehicles with Microsoft being the preferred public cloud provider.</w:t>
      </w:r>
    </w:p>
    <w:p>
      <w:pPr>
        <w:spacing w:after="0" w:line="214" w:lineRule="exact"/>
        <w:rPr>
          <w:sz w:val="20"/>
          <w:szCs w:val="20"/>
          <w:color w:val="auto"/>
        </w:rPr>
      </w:pPr>
    </w:p>
    <w:p>
      <w:pPr>
        <w:jc w:val="both"/>
        <w:ind w:firstLine="161"/>
        <w:spacing w:after="0" w:line="288" w:lineRule="auto"/>
        <w:rPr>
          <w:sz w:val="20"/>
          <w:szCs w:val="20"/>
          <w:color w:val="auto"/>
        </w:rPr>
      </w:pPr>
      <w:r>
        <w:rPr>
          <w:rFonts w:ascii="Arial" w:cs="Arial" w:eastAsia="Arial" w:hAnsi="Arial"/>
          <w:sz w:val="16"/>
          <w:szCs w:val="16"/>
          <w:color w:val="auto"/>
        </w:rPr>
        <w:t>The Cruise Class G Preferred Shares participate pari passu with holders of Cruise Holdings common stock and Class F Preferred Shares (Cruise Class F Preferred Shares) in any dividends declared. Each Cruise Class G Preferred Share is entitled to one vote per Cruise Class G Preferred Share on all matters submitted for vote by or consent of the Cruise Holdings members. The holders of Cruise Class G Preferred Shares are restricted from transferring the Cruise Class G Preferred Shares for four years, without the written consent of both us and Cruise Holdings' Board of Directors. The Cruise Class G Preferred Shares convert into the class of shares to be issued to the public in an initial public offering (IPO) at specified exchange ratios. No covenants or other events of default exist that can trigger redemption of the Cruise Class G Preferred Shares. The Cruise Class G Preferred Shares are entitled to receive the greater of their carrying value or a pro-rata share of any proceeds or distributions upon the occurrence of a merger, sale, liquidation or dissolution of Cruise Holdings, and are classified as noncontrolling interests in our condensed consolidated financial statements.</w:t>
      </w:r>
    </w:p>
    <w:p>
      <w:pPr>
        <w:spacing w:after="0" w:line="195" w:lineRule="exact"/>
        <w:rPr>
          <w:sz w:val="20"/>
          <w:szCs w:val="20"/>
          <w:color w:val="auto"/>
        </w:rPr>
      </w:pPr>
    </w:p>
    <w:p>
      <w:pPr>
        <w:jc w:val="both"/>
        <w:ind w:firstLine="161"/>
        <w:spacing w:after="0" w:line="295" w:lineRule="auto"/>
        <w:rPr>
          <w:sz w:val="20"/>
          <w:szCs w:val="20"/>
          <w:color w:val="auto"/>
        </w:rPr>
      </w:pPr>
      <w:r>
        <w:rPr>
          <w:rFonts w:ascii="Arial" w:cs="Arial" w:eastAsia="Arial" w:hAnsi="Arial"/>
          <w:sz w:val="16"/>
          <w:szCs w:val="16"/>
          <w:color w:val="auto"/>
        </w:rPr>
        <w:t>Consistent with the Cruise Class G Preferred Shares, the Class A-1 Preferred Shares issued to SoftBank in 2018 (Cruise Class A-1 Preferred Shares) and Cruise Class F Preferred Shares convert into the class of shares to be issued to the public in an IPO at specified exchange ratios. Beginning on June 28, 2025, SoftBank has the option to convert all of the Cruise Class A-1 Preferred Shares into our common stock at a conversion ratio that is indexed to the fair value of Cruise Holdings at the time of conversion. In the event SoftBank exercises such option, we have the option to settle the conversion feature with our common shares or cash, and in certain situations with nonredeemable, nonconvertible preferred shares. The Cruise Class A-1 Preferred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Shares and Cruise Class F Preferred Shares are entitled to receive the greater of their carrying value or a pro-rata share of any proceeds or distributions upon the occurrence of a merger, sale, liquidation, or dissolution of Cruise Holdings.</w:t>
      </w:r>
    </w:p>
    <w:p>
      <w:pPr>
        <w:spacing w:after="0" w:line="19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b w:val="1"/>
          <w:bCs w:val="1"/>
          <w:i w:val="1"/>
          <w:iCs w:val="1"/>
          <w:color w:val="auto"/>
        </w:rPr>
        <w:t xml:space="preserve">GM Financial Preferred Stock </w:t>
      </w:r>
      <w:r>
        <w:rPr>
          <w:rFonts w:ascii="Arial" w:cs="Arial" w:eastAsia="Arial" w:hAnsi="Arial"/>
          <w:sz w:val="18"/>
          <w:szCs w:val="18"/>
          <w:color w:val="auto"/>
        </w:rPr>
        <w:t>In September 2020, GM Financial issued $500 million of Fixed-Rate Reset Cumulative Perpetual Preferred Stock,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 $0.01 par value, with a liquidation preference of $1,000 per share. The preferred stock is classified as noncontrolling interests in our condensed consolidated financial statements.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6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September 30, 2020</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September 30, 2020</w:t>
            </w:r>
          </w:p>
        </w:tc>
        <w:tc>
          <w:tcPr>
            <w:tcW w:w="0" w:type="dxa"/>
            <w:vAlign w:val="bottom"/>
          </w:tcPr>
          <w:p>
            <w:pPr>
              <w:spacing w:after="0"/>
              <w:rPr>
                <w:sz w:val="1"/>
                <w:szCs w:val="1"/>
                <w:color w:val="auto"/>
              </w:rPr>
            </w:pPr>
          </w:p>
        </w:tc>
      </w:tr>
      <w:tr>
        <w:trPr>
          <w:trHeight w:val="211"/>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Foreign Currency Translation Adjustments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line="175" w:lineRule="exact"/>
              <w:rPr>
                <w:sz w:val="20"/>
                <w:szCs w:val="20"/>
                <w:color w:val="auto"/>
              </w:rPr>
            </w:pPr>
            <w:r>
              <w:rPr>
                <w:rFonts w:ascii="Arial" w:cs="Arial" w:eastAsia="Arial" w:hAnsi="Arial"/>
                <w:sz w:val="18"/>
                <w:szCs w:val="18"/>
                <w:color w:val="auto"/>
                <w:w w:val="91"/>
              </w:rPr>
              <w:t>Other comprehensive income (loss) and noncontrolling interests, net of</w:t>
            </w: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reclassification adjustment and tax(a)(b)</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(10,466)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(8,579)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(10,654)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(8,857)</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1"/>
              </w:rPr>
              <w:t>Other comprehensive income (loss) before reclassification adjustment,</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tax(b)</w:t>
            </w: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Reclassification adjustment, net of tax(b)</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tax(b)</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2"/>
        </w:trPr>
        <w:tc>
          <w:tcPr>
            <w:tcW w:w="5200" w:type="dxa"/>
            <w:vAlign w:val="bottom"/>
          </w:tcPr>
          <w:p>
            <w:pPr>
              <w:ind w:left="20"/>
              <w:spacing w:after="0"/>
              <w:rPr>
                <w:sz w:val="20"/>
                <w:szCs w:val="20"/>
                <w:color w:val="auto"/>
              </w:rPr>
            </w:pPr>
            <w:r>
              <w:rPr>
                <w:rFonts w:ascii="Arial" w:cs="Arial" w:eastAsia="Arial" w:hAnsi="Arial"/>
                <w:sz w:val="18"/>
                <w:szCs w:val="18"/>
                <w:color w:val="auto"/>
              </w:rPr>
              <w:t>Balance at end of period(c)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(10,269)</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20" w:hanging="313"/>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noncontrolling interests and reclassification adjustment were insignificant in the three and nine months ended September 30, 2021 and 2020.</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and nine months ended September 30, 2021 and 2020.</w:t>
      </w:r>
    </w:p>
    <w:p>
      <w:pPr>
        <w:spacing w:after="0" w:line="4" w:lineRule="exact"/>
        <w:rPr>
          <w:rFonts w:ascii="Arial" w:cs="Arial" w:eastAsia="Arial" w:hAnsi="Arial"/>
          <w:sz w:val="16"/>
          <w:szCs w:val="16"/>
          <w:color w:val="auto"/>
        </w:rPr>
      </w:pPr>
    </w:p>
    <w:p>
      <w:pPr>
        <w:ind w:left="340" w:hanging="333"/>
        <w:spacing w:after="0" w:line="255" w:lineRule="auto"/>
        <w:tabs>
          <w:tab w:leader="none" w:pos="331"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Primarily consists of unamortized actuarial loss on our defined benefit plans. Refer to Note 2. Significant Accounting Policies of our 2020 Form 10-K for additional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September 30, 2020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September 30, 2020</w:t>
            </w:r>
          </w:p>
        </w:tc>
      </w:tr>
      <w:tr>
        <w:trPr>
          <w:trHeight w:val="211"/>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cumulative dividends on subsidiary preferred stock</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5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r>
      <w:tr>
        <w:trPr>
          <w:trHeight w:val="107"/>
        </w:trPr>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r>
      <w:tr>
        <w:trPr>
          <w:trHeight w:val="107"/>
        </w:trPr>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awards under stock incentive plans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5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Potentially dilutive securities(a)</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right="20" w:hanging="333"/>
        <w:spacing w:after="0" w:line="255" w:lineRule="auto"/>
        <w:tabs>
          <w:tab w:leader="none" w:pos="331"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stock options and Restricted Stock Units (RSUs) at September 30, 2021 and 2020 were excluded from the computation of diluted earnings per share (EPS) because the securities would have had an antidilutive effect.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Reporting</w:t>
      </w:r>
    </w:p>
    <w:p>
      <w:pPr>
        <w:spacing w:after="0" w:line="254"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color w:val="auto"/>
        </w:rPr>
        <w:t>We analyze the results of our business through the following reportable segments: GMNA, GMI, Cruise and GM Financial. The chief operating decision maker evaluates the operating results and performance of our automotive segments and Cruise through earnings before interest and income taxes (EBIT)-adjusted, which is presented net of noncontrolling interests. The chief operating decision maker evaluates GM Financial through earnings before income taxes (EBT)-adjusted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209"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7" w:lineRule="exact"/>
        <w:rPr>
          <w:sz w:val="20"/>
          <w:szCs w:val="20"/>
          <w:color w:val="auto"/>
        </w:rPr>
      </w:pPr>
    </w:p>
    <w:p>
      <w:pPr>
        <w:jc w:val="both"/>
        <w:ind w:firstLine="161"/>
        <w:spacing w:after="0" w:line="272" w:lineRule="auto"/>
        <w:rPr>
          <w:sz w:val="20"/>
          <w:szCs w:val="20"/>
          <w:color w:val="auto"/>
        </w:rPr>
      </w:pPr>
      <w:r>
        <w:rPr>
          <w:rFonts w:ascii="Arial" w:cs="Arial" w:eastAsia="Arial" w:hAnsi="Arial"/>
          <w:sz w:val="17"/>
          <w:szCs w:val="17"/>
          <w:color w:val="auto"/>
        </w:rPr>
        <w:t>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We provide automotive financing services through GM Financial. Cruise is our global segment responsible for the development and commercialization of autonomous vehicle technology, and includes autonomous vehicle-related engineering and other costs.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77" w:lineRule="auto"/>
        <w:rPr>
          <w:sz w:val="20"/>
          <w:szCs w:val="20"/>
          <w:color w:val="auto"/>
        </w:rPr>
      </w:pPr>
      <w:r>
        <w:rPr>
          <w:rFonts w:ascii="Arial" w:cs="Arial" w:eastAsia="Arial" w:hAnsi="Arial"/>
          <w:sz w:val="17"/>
          <w:szCs w:val="17"/>
          <w:color w:val="auto"/>
        </w:rPr>
        <w:t>Our automotive interest income and interest expense, legacy costs from the Opel/Vauxhall Business (primarily pension costs), corporate expenditures and certain nonsegment-specific revenues and expenses are recorded centrally in Corporate. Corporate assets primarily consist of cash and cash equivalents, marketable debt securities, Stellantis warrants and intercompany balances. Retained net underfunded pension liabilities related to the European Business are also recorded in Corporate. All intersegment balances and transactions have been eliminated in consolidation.</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tables summarize key financial information by segment: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300"/>
              <w:spacing w:after="0"/>
              <w:rPr>
                <w:sz w:val="20"/>
                <w:szCs w:val="20"/>
                <w:color w:val="auto"/>
              </w:rPr>
            </w:pPr>
            <w:r>
              <w:rPr>
                <w:rFonts w:ascii="Arial" w:cs="Arial" w:eastAsia="Arial" w:hAnsi="Arial"/>
                <w:sz w:val="13"/>
                <w:szCs w:val="13"/>
                <w:b w:val="1"/>
                <w:bCs w:val="1"/>
                <w:color w:val="auto"/>
                <w:w w:val="99"/>
              </w:rPr>
              <w:t>At and For the Three Months Ended September 30, 2021</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GMNA</w:t>
            </w:r>
          </w:p>
        </w:tc>
        <w:tc>
          <w:tcPr>
            <w:tcW w:w="120" w:type="dxa"/>
            <w:vAlign w:val="bottom"/>
          </w:tcPr>
          <w:p>
            <w:pPr>
              <w:spacing w:after="0"/>
              <w:rPr>
                <w:sz w:val="10"/>
                <w:szCs w:val="10"/>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GMI</w:t>
            </w:r>
          </w:p>
        </w:tc>
        <w:tc>
          <w:tcPr>
            <w:tcW w:w="12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0"/>
                <w:szCs w:val="10"/>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Cruise</w:t>
            </w: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rPr>
              <w:t>GM</w:t>
            </w:r>
          </w:p>
        </w:tc>
        <w:tc>
          <w:tcPr>
            <w:tcW w:w="17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0"/>
              </w:rPr>
              <w:t>Eliminations/Reclassifications</w:t>
            </w:r>
          </w:p>
        </w:tc>
        <w:tc>
          <w:tcPr>
            <w:tcW w:w="160" w:type="dxa"/>
            <w:vAlign w:val="bottom"/>
          </w:tcPr>
          <w:p>
            <w:pPr>
              <w:spacing w:after="0"/>
              <w:rPr>
                <w:sz w:val="10"/>
                <w:szCs w:val="10"/>
                <w:color w:val="auto"/>
              </w:rPr>
            </w:pPr>
          </w:p>
        </w:tc>
        <w:tc>
          <w:tcPr>
            <w:tcW w:w="5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20,554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23,424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3,354</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26,779</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w w:val="99"/>
              </w:rPr>
              <w:t>Earnings (loss) before interest and taxes-</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2,125</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(242)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2,112</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(286)</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1,093</w:t>
            </w:r>
          </w:p>
        </w:tc>
        <w:tc>
          <w:tcPr>
            <w:tcW w:w="100" w:type="dxa"/>
            <w:vAlign w:val="bottom"/>
          </w:tcPr>
          <w:p>
            <w:pPr>
              <w:spacing w:after="0"/>
              <w:rPr>
                <w:sz w:val="10"/>
                <w:szCs w:val="10"/>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2,922</w:t>
            </w:r>
          </w:p>
        </w:tc>
        <w:tc>
          <w:tcPr>
            <w:tcW w:w="0" w:type="dxa"/>
            <w:vAlign w:val="bottom"/>
          </w:tcPr>
          <w:p>
            <w:pPr>
              <w:spacing w:after="0"/>
              <w:rPr>
                <w:sz w:val="1"/>
                <w:szCs w:val="1"/>
                <w:color w:val="auto"/>
              </w:rPr>
            </w:pPr>
          </w:p>
        </w:tc>
      </w:tr>
      <w:tr>
        <w:trPr>
          <w:trHeight w:val="166"/>
        </w:trPr>
        <w:tc>
          <w:tcPr>
            <w:tcW w:w="240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2,538</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2,386</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2,420</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24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585</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7,000</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7,585</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1,649</w:t>
            </w: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9,234</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affiliates</w:t>
            </w:r>
          </w:p>
        </w:tc>
        <w:tc>
          <w:tcPr>
            <w:tcW w:w="12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Goodwill and intangibles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2,267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780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3,047</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739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1,340</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5,126</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114,012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31,907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86"/>
              </w:rPr>
              <w:t>(46,752)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121,120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113,741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238,557</w:t>
            </w: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1,370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1,514</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1,554</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3,081</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7" w:lineRule="exact"/>
        <w:rPr>
          <w:sz w:val="20"/>
          <w:szCs w:val="20"/>
          <w:color w:val="auto"/>
        </w:rPr>
      </w:pPr>
    </w:p>
    <w:p>
      <w:pPr>
        <w:ind w:left="280" w:hanging="273"/>
        <w:spacing w:after="0"/>
        <w:tabs>
          <w:tab w:leader="none" w:pos="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Consists of charges related to Cadillac dealer strategy in GMNA.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300"/>
              <w:spacing w:after="0"/>
              <w:rPr>
                <w:sz w:val="20"/>
                <w:szCs w:val="20"/>
                <w:color w:val="auto"/>
              </w:rPr>
            </w:pPr>
            <w:r>
              <w:rPr>
                <w:rFonts w:ascii="Arial" w:cs="Arial" w:eastAsia="Arial" w:hAnsi="Arial"/>
                <w:sz w:val="13"/>
                <w:szCs w:val="13"/>
                <w:b w:val="1"/>
                <w:bCs w:val="1"/>
                <w:color w:val="auto"/>
                <w:w w:val="99"/>
              </w:rPr>
              <w:t>At and For the Three Months Ended September 30, 2020</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GMNA</w:t>
            </w:r>
          </w:p>
        </w:tc>
        <w:tc>
          <w:tcPr>
            <w:tcW w:w="120" w:type="dxa"/>
            <w:vAlign w:val="bottom"/>
          </w:tcPr>
          <w:p>
            <w:pPr>
              <w:spacing w:after="0"/>
              <w:rPr>
                <w:sz w:val="10"/>
                <w:szCs w:val="10"/>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GMI</w:t>
            </w:r>
          </w:p>
        </w:tc>
        <w:tc>
          <w:tcPr>
            <w:tcW w:w="12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0"/>
                <w:szCs w:val="10"/>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Cruise</w:t>
            </w: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rPr>
              <w:t>GM</w:t>
            </w:r>
          </w:p>
        </w:tc>
        <w:tc>
          <w:tcPr>
            <w:tcW w:w="17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0"/>
              </w:rPr>
              <w:t>Eliminations/Reclassifications</w:t>
            </w:r>
          </w:p>
        </w:tc>
        <w:tc>
          <w:tcPr>
            <w:tcW w:w="160" w:type="dxa"/>
            <w:vAlign w:val="bottom"/>
          </w:tcPr>
          <w:p>
            <w:pPr>
              <w:spacing w:after="0"/>
              <w:rPr>
                <w:sz w:val="10"/>
                <w:szCs w:val="10"/>
                <w:color w:val="auto"/>
              </w:rPr>
            </w:pPr>
          </w:p>
        </w:tc>
        <w:tc>
          <w:tcPr>
            <w:tcW w:w="5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29,128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32,066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3,421</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35,480</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w w:val="99"/>
              </w:rPr>
              <w:t>Earnings (loss) before interest and taxes-</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4,366</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4,289</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1,207</w:t>
            </w:r>
          </w:p>
        </w:tc>
        <w:tc>
          <w:tcPr>
            <w:tcW w:w="100" w:type="dxa"/>
            <w:vAlign w:val="bottom"/>
          </w:tcPr>
          <w:p>
            <w:pPr>
              <w:spacing w:after="0"/>
              <w:rPr>
                <w:sz w:val="10"/>
                <w:szCs w:val="10"/>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5,284</w:t>
            </w:r>
          </w:p>
        </w:tc>
        <w:tc>
          <w:tcPr>
            <w:tcW w:w="0" w:type="dxa"/>
            <w:vAlign w:val="bottom"/>
          </w:tcPr>
          <w:p>
            <w:pPr>
              <w:spacing w:after="0"/>
              <w:rPr>
                <w:sz w:val="1"/>
                <w:szCs w:val="1"/>
                <w:color w:val="auto"/>
              </w:rPr>
            </w:pPr>
          </w:p>
        </w:tc>
      </w:tr>
      <w:tr>
        <w:trPr>
          <w:trHeight w:val="166"/>
        </w:trPr>
        <w:tc>
          <w:tcPr>
            <w:tcW w:w="240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4,905</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(887)</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4,018</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4,045</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24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6,374</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6,561</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1,485</w:t>
            </w: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8,046</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affiliates</w:t>
            </w:r>
          </w:p>
        </w:tc>
        <w:tc>
          <w:tcPr>
            <w:tcW w:w="12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Goodwill and intangibles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2,372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811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3,184</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724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1,337</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5,245</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111,426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45,059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86"/>
              </w:rPr>
              <w:t>(50,609)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128,241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108,926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239,671</w:t>
            </w: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1,182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1,333</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1,814</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3,158</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8"/>
        </w:trPr>
        <w:tc>
          <w:tcPr>
            <w:tcW w:w="2400" w:type="dxa"/>
            <w:vAlign w:val="bottom"/>
          </w:tcPr>
          <w:p>
            <w:pPr>
              <w:ind w:left="20"/>
              <w:spacing w:after="0"/>
              <w:rPr>
                <w:sz w:val="20"/>
                <w:szCs w:val="20"/>
                <w:color w:val="auto"/>
              </w:rPr>
            </w:pPr>
            <w:r>
              <w:rPr>
                <w:rFonts w:ascii="Arial" w:cs="Arial" w:eastAsia="Arial" w:hAnsi="Arial"/>
                <w:sz w:val="13"/>
                <w:szCs w:val="13"/>
                <w:color w:val="auto"/>
              </w:rPr>
              <w:t>Equity income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263</w:t>
            </w:r>
          </w:p>
        </w:tc>
        <w:tc>
          <w:tcPr>
            <w:tcW w:w="10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309</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39" w:lineRule="exact"/>
        <w:rPr>
          <w:sz w:val="20"/>
          <w:szCs w:val="20"/>
          <w:color w:val="auto"/>
        </w:rPr>
      </w:pPr>
    </w:p>
    <w:p>
      <w:pPr>
        <w:ind w:left="320" w:hanging="313"/>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Consists of restructuring and other charges primarily in Thailand.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11"/>
          </w:tcPr>
          <w:p>
            <w:pPr>
              <w:ind w:left="360"/>
              <w:spacing w:after="0"/>
              <w:rPr>
                <w:sz w:val="20"/>
                <w:szCs w:val="20"/>
                <w:color w:val="auto"/>
              </w:rPr>
            </w:pPr>
            <w:r>
              <w:rPr>
                <w:rFonts w:ascii="Arial" w:cs="Arial" w:eastAsia="Arial" w:hAnsi="Arial"/>
                <w:sz w:val="13"/>
                <w:szCs w:val="13"/>
                <w:b w:val="1"/>
                <w:bCs w:val="1"/>
                <w:color w:val="auto"/>
              </w:rPr>
              <w:t>At and For the Nine Months Ended September 30, 2021</w:t>
            </w: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Cruise</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rPr>
              <w:t>GM</w:t>
            </w:r>
          </w:p>
        </w:tc>
        <w:tc>
          <w:tcPr>
            <w:tcW w:w="1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1"/>
              </w:rPr>
              <w:t>Eliminations/Reclassifications</w:t>
            </w:r>
          </w:p>
        </w:tc>
        <w:tc>
          <w:tcPr>
            <w:tcW w:w="140" w:type="dxa"/>
            <w:vAlign w:val="bottom"/>
          </w:tcPr>
          <w:p>
            <w:pPr>
              <w:spacing w:after="0"/>
              <w:rPr>
                <w:sz w:val="10"/>
                <w:szCs w:val="10"/>
                <w:color w:val="auto"/>
              </w:rPr>
            </w:pPr>
          </w:p>
        </w:tc>
        <w:tc>
          <w:tcPr>
            <w:tcW w:w="5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Automotive</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sales and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74,443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8,721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83,231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10,187</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93,420</w:t>
            </w:r>
          </w:p>
        </w:tc>
        <w:tc>
          <w:tcPr>
            <w:tcW w:w="0" w:type="dxa"/>
            <w:vAlign w:val="bottom"/>
          </w:tcPr>
          <w:p>
            <w:pPr>
              <w:spacing w:after="0"/>
              <w:rPr>
                <w:sz w:val="1"/>
                <w:szCs w:val="1"/>
                <w:color w:val="auto"/>
              </w:rPr>
            </w:pPr>
          </w:p>
        </w:tc>
      </w:tr>
      <w:tr>
        <w:trPr>
          <w:trHeight w:val="121"/>
        </w:trPr>
        <w:tc>
          <w:tcPr>
            <w:tcW w:w="2380" w:type="dxa"/>
            <w:vAlign w:val="bottom"/>
          </w:tcPr>
          <w:p>
            <w:pPr>
              <w:spacing w:after="0" w:line="121" w:lineRule="exact"/>
              <w:rPr>
                <w:sz w:val="20"/>
                <w:szCs w:val="20"/>
                <w:color w:val="auto"/>
              </w:rPr>
            </w:pPr>
            <w:r>
              <w:rPr>
                <w:rFonts w:ascii="Arial" w:cs="Arial" w:eastAsia="Arial" w:hAnsi="Arial"/>
                <w:sz w:val="13"/>
                <w:szCs w:val="13"/>
                <w:color w:val="auto"/>
                <w:w w:val="99"/>
              </w:rPr>
              <w:t>Earnings (loss) before interest and taxes-</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ind w:right="17"/>
              <w:spacing w:after="0"/>
              <w:rPr>
                <w:sz w:val="20"/>
                <w:szCs w:val="20"/>
                <w:color w:val="auto"/>
              </w:rPr>
            </w:pPr>
            <w:r>
              <w:rPr>
                <w:rFonts w:ascii="Arial" w:cs="Arial" w:eastAsia="Arial" w:hAnsi="Arial"/>
                <w:sz w:val="13"/>
                <w:szCs w:val="13"/>
                <w:color w:val="auto"/>
              </w:rPr>
              <w:t>8,153</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auto"/>
              </w:rPr>
              <w:t>552</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ind w:right="17"/>
              <w:spacing w:after="0"/>
              <w:rPr>
                <w:sz w:val="20"/>
                <w:szCs w:val="20"/>
                <w:color w:val="auto"/>
              </w:rPr>
            </w:pPr>
            <w:r>
              <w:rPr>
                <w:rFonts w:ascii="Arial" w:cs="Arial" w:eastAsia="Arial" w:hAnsi="Arial"/>
                <w:sz w:val="13"/>
                <w:szCs w:val="13"/>
                <w:color w:val="auto"/>
              </w:rPr>
              <w:t>8,455</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(847)</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3,856</w:t>
            </w:r>
          </w:p>
        </w:tc>
        <w:tc>
          <w:tcPr>
            <w:tcW w:w="10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0"/>
                <w:szCs w:val="10"/>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11,456</w:t>
            </w:r>
          </w:p>
        </w:tc>
        <w:tc>
          <w:tcPr>
            <w:tcW w:w="0" w:type="dxa"/>
            <w:vAlign w:val="bottom"/>
          </w:tcPr>
          <w:p>
            <w:pPr>
              <w:spacing w:after="0"/>
              <w:rPr>
                <w:sz w:val="1"/>
                <w:szCs w:val="1"/>
                <w:color w:val="auto"/>
              </w:rPr>
            </w:pPr>
          </w:p>
        </w:tc>
      </w:tr>
      <w:tr>
        <w:trPr>
          <w:trHeight w:val="166"/>
        </w:trPr>
        <w:tc>
          <w:tcPr>
            <w:tcW w:w="2380" w:type="dxa"/>
            <w:vAlign w:val="bottom"/>
          </w:tcPr>
          <w:p>
            <w:pPr>
              <w:ind w:left="160"/>
              <w:spacing w:after="0"/>
              <w:rPr>
                <w:sz w:val="20"/>
                <w:szCs w:val="20"/>
                <w:color w:val="auto"/>
              </w:rPr>
            </w:pPr>
            <w:r>
              <w:rPr>
                <w:rFonts w:ascii="Arial" w:cs="Arial" w:eastAsia="Arial" w:hAnsi="Arial"/>
                <w:sz w:val="13"/>
                <w:szCs w:val="13"/>
                <w:color w:val="auto"/>
              </w:rPr>
              <w:t>adjusted</w:t>
            </w:r>
          </w:p>
        </w:tc>
        <w:tc>
          <w:tcPr>
            <w:tcW w:w="1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Adjustments(a)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20"/>
                <w:szCs w:val="20"/>
                <w:color w:val="auto"/>
              </w:rPr>
            </w:pPr>
            <w:r>
              <w:rPr>
                <w:rFonts w:ascii="Arial" w:cs="Arial" w:eastAsia="Arial" w:hAnsi="Arial"/>
                <w:sz w:val="13"/>
                <w:szCs w:val="13"/>
                <w:color w:val="auto"/>
              </w:rPr>
              <w:t>Automotive interest income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Automotive interest expense</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w:t>
            </w:r>
          </w:p>
        </w:tc>
        <w:tc>
          <w:tcPr>
            <w:tcW w:w="0" w:type="dxa"/>
            <w:vAlign w:val="bottom"/>
          </w:tcPr>
          <w:p>
            <w:pPr>
              <w:spacing w:after="0"/>
              <w:rPr>
                <w:sz w:val="1"/>
                <w:szCs w:val="1"/>
                <w:color w:val="auto"/>
              </w:rPr>
            </w:pPr>
          </w:p>
        </w:tc>
      </w:tr>
      <w:tr>
        <w:trPr>
          <w:trHeight w:val="121"/>
        </w:trPr>
        <w:tc>
          <w:tcPr>
            <w:tcW w:w="2380" w:type="dxa"/>
            <w:vAlign w:val="bottom"/>
          </w:tcPr>
          <w:p>
            <w:pPr>
              <w:spacing w:after="0" w:line="121" w:lineRule="exact"/>
              <w:rPr>
                <w:sz w:val="20"/>
                <w:szCs w:val="20"/>
                <w:color w:val="auto"/>
              </w:rPr>
            </w:pPr>
            <w:r>
              <w:rPr>
                <w:rFonts w:ascii="Arial" w:cs="Arial" w:eastAsia="Arial" w:hAnsi="Arial"/>
                <w:sz w:val="13"/>
                <w:szCs w:val="13"/>
                <w:color w:val="auto"/>
              </w:rPr>
              <w:t>Net (loss) attributable to noncontrolling</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68"/>
        </w:trPr>
        <w:tc>
          <w:tcPr>
            <w:tcW w:w="23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10,479</w:t>
            </w:r>
          </w:p>
        </w:tc>
        <w:tc>
          <w:tcPr>
            <w:tcW w:w="0" w:type="dxa"/>
            <w:vAlign w:val="bottom"/>
          </w:tcPr>
          <w:p>
            <w:pPr>
              <w:spacing w:after="0"/>
              <w:rPr>
                <w:sz w:val="1"/>
                <w:szCs w:val="1"/>
                <w:color w:val="auto"/>
              </w:rPr>
            </w:pPr>
          </w:p>
        </w:tc>
      </w:tr>
      <w:tr>
        <w:trPr>
          <w:trHeight w:val="168"/>
        </w:trPr>
        <w:tc>
          <w:tcPr>
            <w:tcW w:w="23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Income tax expense</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(2,300)</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8,179</w:t>
            </w:r>
          </w:p>
        </w:tc>
        <w:tc>
          <w:tcPr>
            <w:tcW w:w="0" w:type="dxa"/>
            <w:vAlign w:val="bottom"/>
          </w:tcPr>
          <w:p>
            <w:pPr>
              <w:spacing w:after="0"/>
              <w:rPr>
                <w:sz w:val="1"/>
                <w:szCs w:val="1"/>
                <w:color w:val="auto"/>
              </w:rPr>
            </w:pPr>
          </w:p>
        </w:tc>
      </w:tr>
      <w:tr>
        <w:trPr>
          <w:trHeight w:val="121"/>
        </w:trPr>
        <w:tc>
          <w:tcPr>
            <w:tcW w:w="2380" w:type="dxa"/>
            <w:vAlign w:val="bottom"/>
          </w:tcPr>
          <w:p>
            <w:pPr>
              <w:spacing w:after="0" w:line="121" w:lineRule="exact"/>
              <w:rPr>
                <w:sz w:val="20"/>
                <w:szCs w:val="20"/>
                <w:color w:val="auto"/>
              </w:rPr>
            </w:pPr>
            <w:r>
              <w:rPr>
                <w:rFonts w:ascii="Arial" w:cs="Arial" w:eastAsia="Arial" w:hAnsi="Arial"/>
                <w:sz w:val="13"/>
                <w:szCs w:val="13"/>
                <w:color w:val="auto"/>
              </w:rPr>
              <w:t>Net loss attributable to noncontrolling</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68"/>
        </w:trPr>
        <w:tc>
          <w:tcPr>
            <w:tcW w:w="23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income attributable to stockholders</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8,278</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9,110</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20"/>
                <w:szCs w:val="20"/>
                <w:color w:val="auto"/>
              </w:rPr>
            </w:pPr>
            <w:r>
              <w:rPr>
                <w:rFonts w:ascii="Arial" w:cs="Arial" w:eastAsia="Arial" w:hAnsi="Arial"/>
                <w:sz w:val="13"/>
                <w:szCs w:val="13"/>
                <w:color w:val="auto"/>
              </w:rPr>
              <w:t>Impairment charges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Equity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8" w:lineRule="exact"/>
        <w:rPr>
          <w:sz w:val="20"/>
          <w:szCs w:val="20"/>
          <w:color w:val="auto"/>
        </w:rPr>
      </w:pPr>
    </w:p>
    <w:p>
      <w:pPr>
        <w:ind w:left="340" w:right="2780" w:hanging="333"/>
        <w:spacing w:after="0" w:line="237" w:lineRule="auto"/>
        <w:tabs>
          <w:tab w:leader="none" w:pos="282"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Consists of charges related to Cadillac dealer strategy in GMNA and an adjustment related to unique events associated with recent Korea Supreme Court decisions related to our salaried workers in GMI.</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11"/>
          </w:tcPr>
          <w:p>
            <w:pPr>
              <w:ind w:left="360"/>
              <w:spacing w:after="0"/>
              <w:rPr>
                <w:sz w:val="20"/>
                <w:szCs w:val="20"/>
                <w:color w:val="auto"/>
              </w:rPr>
            </w:pPr>
            <w:r>
              <w:rPr>
                <w:rFonts w:ascii="Arial" w:cs="Arial" w:eastAsia="Arial" w:hAnsi="Arial"/>
                <w:sz w:val="13"/>
                <w:szCs w:val="13"/>
                <w:b w:val="1"/>
                <w:bCs w:val="1"/>
                <w:color w:val="auto"/>
              </w:rPr>
              <w:t>At and For the Nine Months Ended September 30, 2020</w:t>
            </w: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Cruise</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rPr>
              <w:t>GM</w:t>
            </w:r>
          </w:p>
        </w:tc>
        <w:tc>
          <w:tcPr>
            <w:tcW w:w="1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1"/>
              </w:rPr>
              <w:t>Eliminations/Reclassifications</w:t>
            </w:r>
          </w:p>
        </w:tc>
        <w:tc>
          <w:tcPr>
            <w:tcW w:w="140" w:type="dxa"/>
            <w:vAlign w:val="bottom"/>
          </w:tcPr>
          <w:p>
            <w:pPr>
              <w:spacing w:after="0"/>
              <w:rPr>
                <w:sz w:val="10"/>
                <w:szCs w:val="10"/>
                <w:color w:val="auto"/>
              </w:rPr>
            </w:pPr>
          </w:p>
        </w:tc>
        <w:tc>
          <w:tcPr>
            <w:tcW w:w="5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Automotive</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sales and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66,563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7,692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74,576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10,405</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84,967</w:t>
            </w:r>
          </w:p>
        </w:tc>
        <w:tc>
          <w:tcPr>
            <w:tcW w:w="0" w:type="dxa"/>
            <w:vAlign w:val="bottom"/>
          </w:tcPr>
          <w:p>
            <w:pPr>
              <w:spacing w:after="0"/>
              <w:rPr>
                <w:sz w:val="1"/>
                <w:szCs w:val="1"/>
                <w:color w:val="auto"/>
              </w:rPr>
            </w:pPr>
          </w:p>
        </w:tc>
      </w:tr>
      <w:tr>
        <w:trPr>
          <w:trHeight w:val="121"/>
        </w:trPr>
        <w:tc>
          <w:tcPr>
            <w:tcW w:w="2380" w:type="dxa"/>
            <w:vAlign w:val="bottom"/>
          </w:tcPr>
          <w:p>
            <w:pPr>
              <w:spacing w:after="0" w:line="121" w:lineRule="exact"/>
              <w:rPr>
                <w:sz w:val="20"/>
                <w:szCs w:val="20"/>
                <w:color w:val="auto"/>
              </w:rPr>
            </w:pPr>
            <w:r>
              <w:rPr>
                <w:rFonts w:ascii="Arial" w:cs="Arial" w:eastAsia="Arial" w:hAnsi="Arial"/>
                <w:sz w:val="13"/>
                <w:szCs w:val="13"/>
                <w:color w:val="auto"/>
                <w:w w:val="99"/>
              </w:rPr>
              <w:t>Earnings (loss) before interest and taxes-</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ind w:right="17"/>
              <w:spacing w:after="0"/>
              <w:rPr>
                <w:sz w:val="20"/>
                <w:szCs w:val="20"/>
                <w:color w:val="auto"/>
              </w:rPr>
            </w:pPr>
            <w:r>
              <w:rPr>
                <w:rFonts w:ascii="Arial" w:cs="Arial" w:eastAsia="Arial" w:hAnsi="Arial"/>
                <w:sz w:val="13"/>
                <w:szCs w:val="13"/>
                <w:color w:val="auto"/>
              </w:rPr>
              <w:t>6,459</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(811)</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(680)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ind w:right="17"/>
              <w:spacing w:after="0"/>
              <w:rPr>
                <w:sz w:val="20"/>
                <w:szCs w:val="20"/>
                <w:color w:val="auto"/>
              </w:rPr>
            </w:pPr>
            <w:r>
              <w:rPr>
                <w:rFonts w:ascii="Arial" w:cs="Arial" w:eastAsia="Arial" w:hAnsi="Arial"/>
                <w:sz w:val="13"/>
                <w:szCs w:val="13"/>
                <w:color w:val="auto"/>
              </w:rPr>
              <w:t>4,968</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(627)</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1,663</w:t>
            </w:r>
          </w:p>
        </w:tc>
        <w:tc>
          <w:tcPr>
            <w:tcW w:w="10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0"/>
                <w:szCs w:val="10"/>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5,998</w:t>
            </w:r>
          </w:p>
        </w:tc>
        <w:tc>
          <w:tcPr>
            <w:tcW w:w="0" w:type="dxa"/>
            <w:vAlign w:val="bottom"/>
          </w:tcPr>
          <w:p>
            <w:pPr>
              <w:spacing w:after="0"/>
              <w:rPr>
                <w:sz w:val="1"/>
                <w:szCs w:val="1"/>
                <w:color w:val="auto"/>
              </w:rPr>
            </w:pPr>
          </w:p>
        </w:tc>
      </w:tr>
      <w:tr>
        <w:trPr>
          <w:trHeight w:val="166"/>
        </w:trPr>
        <w:tc>
          <w:tcPr>
            <w:tcW w:w="2380" w:type="dxa"/>
            <w:vAlign w:val="bottom"/>
          </w:tcPr>
          <w:p>
            <w:pPr>
              <w:ind w:left="160"/>
              <w:spacing w:after="0"/>
              <w:rPr>
                <w:sz w:val="20"/>
                <w:szCs w:val="20"/>
                <w:color w:val="auto"/>
              </w:rPr>
            </w:pPr>
            <w:r>
              <w:rPr>
                <w:rFonts w:ascii="Arial" w:cs="Arial" w:eastAsia="Arial" w:hAnsi="Arial"/>
                <w:sz w:val="13"/>
                <w:szCs w:val="13"/>
                <w:color w:val="auto"/>
              </w:rPr>
              <w:t>adjusted</w:t>
            </w:r>
          </w:p>
        </w:tc>
        <w:tc>
          <w:tcPr>
            <w:tcW w:w="1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Adjustments(a)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20"/>
                <w:szCs w:val="20"/>
                <w:color w:val="auto"/>
              </w:rPr>
            </w:pPr>
            <w:r>
              <w:rPr>
                <w:rFonts w:ascii="Arial" w:cs="Arial" w:eastAsia="Arial" w:hAnsi="Arial"/>
                <w:sz w:val="13"/>
                <w:szCs w:val="13"/>
                <w:color w:val="auto"/>
              </w:rPr>
              <w:t>Automotive interest income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Automotive interest expense</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w:t>
            </w:r>
          </w:p>
        </w:tc>
        <w:tc>
          <w:tcPr>
            <w:tcW w:w="0" w:type="dxa"/>
            <w:vAlign w:val="bottom"/>
          </w:tcPr>
          <w:p>
            <w:pPr>
              <w:spacing w:after="0"/>
              <w:rPr>
                <w:sz w:val="1"/>
                <w:szCs w:val="1"/>
                <w:color w:val="auto"/>
              </w:rPr>
            </w:pPr>
          </w:p>
        </w:tc>
      </w:tr>
      <w:tr>
        <w:trPr>
          <w:trHeight w:val="121"/>
        </w:trPr>
        <w:tc>
          <w:tcPr>
            <w:tcW w:w="2380" w:type="dxa"/>
            <w:vAlign w:val="bottom"/>
          </w:tcPr>
          <w:p>
            <w:pPr>
              <w:spacing w:after="0" w:line="121" w:lineRule="exact"/>
              <w:rPr>
                <w:sz w:val="20"/>
                <w:szCs w:val="20"/>
                <w:color w:val="auto"/>
              </w:rPr>
            </w:pPr>
            <w:r>
              <w:rPr>
                <w:rFonts w:ascii="Arial" w:cs="Arial" w:eastAsia="Arial" w:hAnsi="Arial"/>
                <w:sz w:val="13"/>
                <w:szCs w:val="13"/>
                <w:color w:val="auto"/>
              </w:rPr>
              <w:t>Net (loss) attributable to noncontrolling</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68"/>
        </w:trPr>
        <w:tc>
          <w:tcPr>
            <w:tcW w:w="23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4,656</w:t>
            </w:r>
          </w:p>
        </w:tc>
        <w:tc>
          <w:tcPr>
            <w:tcW w:w="0" w:type="dxa"/>
            <w:vAlign w:val="bottom"/>
          </w:tcPr>
          <w:p>
            <w:pPr>
              <w:spacing w:after="0"/>
              <w:rPr>
                <w:sz w:val="1"/>
                <w:szCs w:val="1"/>
                <w:color w:val="auto"/>
              </w:rPr>
            </w:pPr>
          </w:p>
        </w:tc>
      </w:tr>
      <w:tr>
        <w:trPr>
          <w:trHeight w:val="168"/>
        </w:trPr>
        <w:tc>
          <w:tcPr>
            <w:tcW w:w="23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Income tax expense</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(1,132)</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3,524</w:t>
            </w:r>
          </w:p>
        </w:tc>
        <w:tc>
          <w:tcPr>
            <w:tcW w:w="0" w:type="dxa"/>
            <w:vAlign w:val="bottom"/>
          </w:tcPr>
          <w:p>
            <w:pPr>
              <w:spacing w:after="0"/>
              <w:rPr>
                <w:sz w:val="1"/>
                <w:szCs w:val="1"/>
                <w:color w:val="auto"/>
              </w:rPr>
            </w:pPr>
          </w:p>
        </w:tc>
      </w:tr>
      <w:tr>
        <w:trPr>
          <w:trHeight w:val="121"/>
        </w:trPr>
        <w:tc>
          <w:tcPr>
            <w:tcW w:w="2380" w:type="dxa"/>
            <w:vAlign w:val="bottom"/>
          </w:tcPr>
          <w:p>
            <w:pPr>
              <w:spacing w:after="0" w:line="121" w:lineRule="exact"/>
              <w:rPr>
                <w:sz w:val="20"/>
                <w:szCs w:val="20"/>
                <w:color w:val="auto"/>
              </w:rPr>
            </w:pPr>
            <w:r>
              <w:rPr>
                <w:rFonts w:ascii="Arial" w:cs="Arial" w:eastAsia="Arial" w:hAnsi="Arial"/>
                <w:sz w:val="13"/>
                <w:szCs w:val="13"/>
                <w:color w:val="auto"/>
              </w:rPr>
              <w:t>Net loss attributable to noncontrolling</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68"/>
        </w:trPr>
        <w:tc>
          <w:tcPr>
            <w:tcW w:w="23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income attributable to stockholders</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3,581</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4,017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9,614</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20"/>
                <w:szCs w:val="20"/>
                <w:color w:val="auto"/>
              </w:rPr>
            </w:pPr>
            <w:r>
              <w:rPr>
                <w:rFonts w:ascii="Arial" w:cs="Arial" w:eastAsia="Arial" w:hAnsi="Arial"/>
                <w:sz w:val="13"/>
                <w:szCs w:val="13"/>
                <w:color w:val="auto"/>
              </w:rPr>
              <w:t>Impairment charges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Equity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52" w:lineRule="exact"/>
        <w:rPr>
          <w:sz w:val="20"/>
          <w:szCs w:val="20"/>
          <w:color w:val="auto"/>
        </w:rPr>
      </w:pPr>
    </w:p>
    <w:p>
      <w:pPr>
        <w:ind w:left="320" w:hanging="313"/>
        <w:spacing w:after="0"/>
        <w:tabs>
          <w:tab w:leader="none" w:pos="3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Consists of restructuring and other charges in Australia, Thailand and New Zealand.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ind w:firstLine="161"/>
        <w:spacing w:after="0" w:line="264"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This Management's Discussion and Analysis of Financial Condition and Results of Operations (MD&amp;A) should be read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accompanying condensed consolidated financial statements and the notes thereto, and the audited consolidated financial statements and notes thereto included in our 2020 Form 10-K.</w:t>
      </w:r>
    </w:p>
    <w:p>
      <w:pPr>
        <w:spacing w:after="0" w:line="208"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Part 1, Item 1A. Risk Factors of our 2020 Form 10-K for a discussion of these risks and uncertainties. Except for per share amounts or as otherwise specified, dollar amounts presented within tables are stated in millions.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Non-GAAP Measures </w:t>
      </w:r>
      <w:r>
        <w:rPr>
          <w:rFonts w:ascii="Arial" w:cs="Arial" w:eastAsia="Arial" w:hAnsi="Arial"/>
          <w:sz w:val="18"/>
          <w:szCs w:val="18"/>
          <w:color w:val="auto"/>
        </w:rPr>
        <w:t>Our non-GAAP measures include: EBIT-adjusted, presented net of noncontrolling interests; EBT-adjusted for our GM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7" w:lineRule="exact"/>
        <w:rPr>
          <w:sz w:val="20"/>
          <w:szCs w:val="20"/>
          <w:color w:val="auto"/>
        </w:rPr>
      </w:pPr>
    </w:p>
    <w:p>
      <w:pPr>
        <w:jc w:val="both"/>
        <w:ind w:firstLine="161"/>
        <w:spacing w:after="0" w:line="290"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91" w:lineRule="exact"/>
        <w:rPr>
          <w:sz w:val="20"/>
          <w:szCs w:val="20"/>
          <w:color w:val="auto"/>
        </w:rPr>
      </w:pPr>
    </w:p>
    <w:p>
      <w:pPr>
        <w:jc w:val="both"/>
        <w:ind w:firstLine="161"/>
        <w:spacing w:after="0" w:line="288" w:lineRule="auto"/>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color w:val="auto"/>
        </w:rPr>
        <w:t>EBIT-adjusted is presented net of noncontrolling interests and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95"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EPS-diluted-adjusted </w:t>
      </w:r>
      <w:r>
        <w:rPr>
          <w:rFonts w:ascii="Arial" w:cs="Arial" w:eastAsia="Arial" w:hAnsi="Arial"/>
          <w:sz w:val="18"/>
          <w:szCs w:val="18"/>
          <w:color w:val="auto"/>
        </w:rPr>
        <w:t>EPS-diluted-adjusted is used by management and can be used by investors to review our consolidated diluted EPS results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21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b w:val="1"/>
          <w:bCs w:val="1"/>
          <w:i w:val="1"/>
          <w:iCs w:val="1"/>
          <w:color w:val="auto"/>
        </w:rPr>
        <w:t xml:space="preserve">ETR-adjusted </w:t>
      </w:r>
      <w:r>
        <w:rPr>
          <w:rFonts w:ascii="Arial" w:cs="Arial" w:eastAsia="Arial" w:hAnsi="Arial"/>
          <w:sz w:val="18"/>
          <w:szCs w:val="18"/>
          <w:color w:val="auto"/>
        </w:rPr>
        <w:t>ETR-adjusted is used by management and can be used by investors to review the consolidated effective tax rate for our core operations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17"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ROIC-adjusted </w:t>
      </w:r>
      <w:r>
        <w:rPr>
          <w:rFonts w:ascii="Arial" w:cs="Arial" w:eastAsia="Arial" w:hAnsi="Arial"/>
          <w:sz w:val="18"/>
          <w:szCs w:val="18"/>
          <w:color w:val="auto"/>
        </w:rPr>
        <w:t>ROIC-adjusted is used by management and can be used by investors to review our investment and capital allocation decisions. We define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OPEB liabilities; and average automotive net income tax assets during the same period.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72" w:lineRule="auto"/>
        <w:rPr>
          <w:sz w:val="20"/>
          <w:szCs w:val="20"/>
          <w:color w:val="auto"/>
        </w:rPr>
      </w:pPr>
      <w:r>
        <w:rPr>
          <w:rFonts w:ascii="Arial" w:cs="Arial" w:eastAsia="Arial" w:hAnsi="Arial"/>
          <w:sz w:val="17"/>
          <w:szCs w:val="17"/>
          <w:b w:val="1"/>
          <w:bCs w:val="1"/>
          <w:i w:val="1"/>
          <w:iCs w:val="1"/>
          <w:color w:val="auto"/>
        </w:rPr>
        <w:t xml:space="preserve">Adjusted automotive free cash flow </w:t>
      </w:r>
      <w:r>
        <w:rPr>
          <w:rFonts w:ascii="Arial" w:cs="Arial" w:eastAsia="Arial" w:hAnsi="Arial"/>
          <w:sz w:val="17"/>
          <w:szCs w:val="17"/>
          <w:color w:val="auto"/>
        </w:rPr>
        <w:t>Adjusted automotive free cash flow is used by management and can be used by investors to review the liquidity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reconciles Net income (loss) attributable to stockholders under U.S. GAAP to EBIT (loss)-adjusted: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35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Net income (loss) attributable to stockholders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8"/>
        </w:trPr>
        <w:tc>
          <w:tcPr>
            <w:tcW w:w="35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interest expense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8"/>
        </w:trPr>
        <w:tc>
          <w:tcPr>
            <w:tcW w:w="3520" w:type="dxa"/>
            <w:vAlign w:val="bottom"/>
          </w:tcPr>
          <w:p>
            <w:pPr>
              <w:ind w:left="20"/>
              <w:spacing w:after="0"/>
              <w:rPr>
                <w:sz w:val="20"/>
                <w:szCs w:val="20"/>
                <w:color w:val="auto"/>
              </w:rPr>
            </w:pPr>
            <w:r>
              <w:rPr>
                <w:rFonts w:ascii="Arial" w:cs="Arial" w:eastAsia="Arial" w:hAnsi="Arial"/>
                <w:sz w:val="18"/>
                <w:szCs w:val="18"/>
                <w:color w:val="auto"/>
              </w:rPr>
              <w:t>Automotive interest income</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20" w:type="dxa"/>
            <w:vAlign w:val="bottom"/>
          </w:tcPr>
          <w:p>
            <w:pPr>
              <w:ind w:left="140"/>
              <w:spacing w:after="0"/>
              <w:rPr>
                <w:sz w:val="20"/>
                <w:szCs w:val="20"/>
                <w:color w:val="auto"/>
              </w:rPr>
            </w:pPr>
            <w:r>
              <w:rPr>
                <w:rFonts w:ascii="Arial" w:cs="Arial" w:eastAsia="Arial" w:hAnsi="Arial"/>
                <w:sz w:val="18"/>
                <w:szCs w:val="18"/>
                <w:color w:val="auto"/>
              </w:rPr>
              <w:t>Cadillac dealer strategy(a)</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GMI restructuring(b)</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520" w:type="dxa"/>
            <w:vAlign w:val="bottom"/>
          </w:tcPr>
          <w:p>
            <w:pPr>
              <w:ind w:left="140"/>
              <w:spacing w:after="0"/>
              <w:rPr>
                <w:sz w:val="20"/>
                <w:szCs w:val="20"/>
                <w:color w:val="auto"/>
              </w:rPr>
            </w:pPr>
            <w:r>
              <w:rPr>
                <w:rFonts w:ascii="Arial" w:cs="Arial" w:eastAsia="Arial" w:hAnsi="Arial"/>
                <w:sz w:val="18"/>
                <w:szCs w:val="18"/>
                <w:color w:val="auto"/>
              </w:rPr>
              <w:t>GM Korea wage litigation(c)</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2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rPr>
              <w:t>Ignition switch recall and related legal</w:t>
            </w:r>
          </w:p>
        </w:tc>
        <w:tc>
          <w:tcPr>
            <w:tcW w:w="2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matters(d)</w:t>
            </w:r>
          </w:p>
        </w:tc>
        <w:tc>
          <w:tcPr>
            <w:tcW w:w="2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20" w:type="dxa"/>
            <w:vAlign w:val="bottom"/>
          </w:tcPr>
          <w:p>
            <w:pPr>
              <w:ind w:left="140"/>
              <w:spacing w:after="0"/>
              <w:rPr>
                <w:sz w:val="20"/>
                <w:szCs w:val="20"/>
                <w:color w:val="auto"/>
              </w:rPr>
            </w:pPr>
            <w:r>
              <w:rPr>
                <w:rFonts w:ascii="Arial" w:cs="Arial" w:eastAsia="Arial" w:hAnsi="Arial"/>
                <w:sz w:val="18"/>
                <w:szCs w:val="18"/>
                <w:color w:val="auto"/>
              </w:rPr>
              <w:t>Transformation activities(e)</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FAW-GM divestiture(f)</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2"/>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adjustments</w:t>
            </w: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7"/>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 (loss)-adjusted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18" w:lineRule="exact"/>
        <w:rPr>
          <w:sz w:val="20"/>
          <w:szCs w:val="20"/>
          <w:color w:val="auto"/>
        </w:rPr>
      </w:pPr>
    </w:p>
    <w:p>
      <w:pPr>
        <w:ind w:left="340" w:hanging="333"/>
        <w:spacing w:after="0" w:line="245" w:lineRule="auto"/>
        <w:tabs>
          <w:tab w:leader="none" w:pos="33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These adjustments were excluded because they relate to strategic activities to transition certain Cadillac dealers from the network as part of Cadillac's electric vehicle strategy.</w:t>
      </w:r>
    </w:p>
    <w:p>
      <w:pPr>
        <w:jc w:val="both"/>
        <w:ind w:left="340" w:hanging="333"/>
        <w:spacing w:after="0" w:line="24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These adjustments primarily consist of supplier claims in the three months ended September 30, 2020, inventory provisions in the three months ended June 30, 2020, asset impairments, dealer restructurings, employee separation charges and sales allowances in Australia, New Zealand and Thailand in the three months ended March 31, 2020, and employee separation charges in the three months ended December 31, 2020.</w:t>
      </w:r>
    </w:p>
    <w:p>
      <w:pPr>
        <w:spacing w:after="0" w:line="1" w:lineRule="exact"/>
        <w:rPr>
          <w:rFonts w:ascii="Arial" w:cs="Arial" w:eastAsia="Arial" w:hAnsi="Arial"/>
          <w:sz w:val="16"/>
          <w:szCs w:val="16"/>
          <w:color w:val="auto"/>
        </w:rPr>
      </w:pPr>
    </w:p>
    <w:p>
      <w:pPr>
        <w:ind w:left="320" w:hanging="313"/>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adjustment was excluded because of the unique events associated with recent Supreme Court of Korea decisions related to our salaried workers.</w:t>
      </w:r>
    </w:p>
    <w:p>
      <w:pPr>
        <w:spacing w:after="0" w:line="4" w:lineRule="exact"/>
        <w:rPr>
          <w:rFonts w:ascii="Arial" w:cs="Arial" w:eastAsia="Arial" w:hAnsi="Arial"/>
          <w:sz w:val="16"/>
          <w:szCs w:val="16"/>
          <w:color w:val="auto"/>
        </w:rPr>
      </w:pPr>
    </w:p>
    <w:p>
      <w:pPr>
        <w:ind w:left="340" w:right="20" w:hanging="333"/>
        <w:spacing w:after="0" w:line="24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adjustment was excluded because of the unique events associated with the ignition switch recall, which included various investigations, inquiries and complaints from constituents.</w:t>
      </w:r>
    </w:p>
    <w:p>
      <w:pPr>
        <w:jc w:val="both"/>
        <w:ind w:left="340" w:hanging="333"/>
        <w:spacing w:after="0" w:line="245" w:lineRule="auto"/>
        <w:tabs>
          <w:tab w:leader="none" w:pos="33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adjustment was excluded because of a strategic decision to accelerate our transformation for the future to strengthen our core business, capitalize on the future of personal mobility and drive significant cost efficiencies. The adjustments primarily consist of accelerated depreciation and employee separation charges in the three months ended December 31, 2019.</w:t>
      </w:r>
    </w:p>
    <w:p>
      <w:pPr>
        <w:ind w:left="340" w:hanging="333"/>
        <w:spacing w:after="0" w:line="25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adjustment was excluded because we divested our joint venture FAW-GM Light Duty Commercial Vehicle Co., Ltd. (FAW-GM), as a result of a strategic decision by both shareholders, allowing us to focus our resources on opportunities expected to deliver higher returns.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diluted earnings (loss) per common share under U.S. GAAP to EPS-diluted-adjusted: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5"/>
          </w:tcPr>
          <w:p>
            <w:pPr>
              <w:ind w:left="18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66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5"/>
          </w:tcPr>
          <w:p>
            <w:pPr>
              <w:ind w:left="18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680" w:type="dxa"/>
            <w:vAlign w:val="bottom"/>
            <w:gridSpan w:val="4"/>
          </w:tcPr>
          <w:p>
            <w:pPr>
              <w:ind w:left="180"/>
              <w:spacing w:after="0"/>
              <w:rPr>
                <w:sz w:val="20"/>
                <w:szCs w:val="20"/>
                <w:color w:val="auto"/>
              </w:rPr>
            </w:pPr>
            <w:r>
              <w:rPr>
                <w:rFonts w:ascii="Arial" w:cs="Arial" w:eastAsia="Arial" w:hAnsi="Arial"/>
                <w:sz w:val="14"/>
                <w:szCs w:val="14"/>
                <w:b w:val="1"/>
                <w:bCs w:val="1"/>
                <w:color w:val="auto"/>
              </w:rPr>
              <w:t>September 30, 2020</w:t>
            </w:r>
          </w:p>
        </w:tc>
      </w:tr>
      <w:tr>
        <w:trPr>
          <w:trHeight w:val="182"/>
        </w:trPr>
        <w:tc>
          <w:tcPr>
            <w:tcW w:w="36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Per Share</w:t>
            </w: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center"/>
              <w:ind w:left="196"/>
              <w:spacing w:after="0"/>
              <w:rPr>
                <w:sz w:val="20"/>
                <w:szCs w:val="20"/>
                <w:color w:val="auto"/>
              </w:rPr>
            </w:pPr>
            <w:r>
              <w:rPr>
                <w:rFonts w:ascii="Arial" w:cs="Arial" w:eastAsia="Arial" w:hAnsi="Arial"/>
                <w:sz w:val="18"/>
                <w:szCs w:val="18"/>
                <w:color w:val="auto"/>
                <w:w w:val="91"/>
              </w:rPr>
              <w:t>1.62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center"/>
              <w:ind w:left="196"/>
              <w:spacing w:after="0"/>
              <w:rPr>
                <w:sz w:val="20"/>
                <w:szCs w:val="20"/>
                <w:color w:val="auto"/>
              </w:rPr>
            </w:pPr>
            <w:r>
              <w:rPr>
                <w:rFonts w:ascii="Arial" w:cs="Arial" w:eastAsia="Arial" w:hAnsi="Arial"/>
                <w:sz w:val="18"/>
                <w:szCs w:val="18"/>
                <w:color w:val="auto"/>
                <w:w w:val="85"/>
              </w:rPr>
              <w:t>5.55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center"/>
              <w:ind w:left="193"/>
              <w:spacing w:after="0"/>
              <w:rPr>
                <w:sz w:val="20"/>
                <w:szCs w:val="20"/>
                <w:color w:val="auto"/>
              </w:rPr>
            </w:pPr>
            <w:r>
              <w:rPr>
                <w:rFonts w:ascii="Arial" w:cs="Arial" w:eastAsia="Arial" w:hAnsi="Arial"/>
                <w:sz w:val="18"/>
                <w:szCs w:val="18"/>
                <w:color w:val="auto"/>
                <w:w w:val="85"/>
              </w:rPr>
              <w:t>2.40</w:t>
            </w:r>
          </w:p>
        </w:tc>
      </w:tr>
      <w:tr>
        <w:trPr>
          <w:trHeight w:val="228"/>
        </w:trPr>
        <w:tc>
          <w:tcPr>
            <w:tcW w:w="3680" w:type="dxa"/>
            <w:vAlign w:val="bottom"/>
          </w:tcPr>
          <w:p>
            <w:pPr>
              <w:ind w:left="20"/>
              <w:spacing w:after="0"/>
              <w:rPr>
                <w:sz w:val="20"/>
                <w:szCs w:val="20"/>
                <w:color w:val="auto"/>
              </w:rPr>
            </w:pPr>
            <w:r>
              <w:rPr>
                <w:rFonts w:ascii="Arial" w:cs="Arial" w:eastAsia="Arial" w:hAnsi="Arial"/>
                <w:sz w:val="18"/>
                <w:szCs w:val="18"/>
                <w:color w:val="auto"/>
              </w:rPr>
              <w:t>Adjustments(a)</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left="216"/>
              <w:spacing w:after="0"/>
              <w:rPr>
                <w:sz w:val="20"/>
                <w:szCs w:val="20"/>
                <w:color w:val="auto"/>
              </w:rPr>
            </w:pPr>
            <w:r>
              <w:rPr>
                <w:rFonts w:ascii="Arial" w:cs="Arial" w:eastAsia="Arial" w:hAnsi="Arial"/>
                <w:sz w:val="18"/>
                <w:szCs w:val="18"/>
                <w:color w:val="auto"/>
                <w:w w:val="85"/>
              </w:rPr>
              <w:t>0.11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left="196"/>
              <w:spacing w:after="0"/>
              <w:rPr>
                <w:sz w:val="20"/>
                <w:szCs w:val="20"/>
                <w:color w:val="auto"/>
              </w:rPr>
            </w:pPr>
            <w:r>
              <w:rPr>
                <w:rFonts w:ascii="Arial" w:cs="Arial" w:eastAsia="Arial" w:hAnsi="Arial"/>
                <w:sz w:val="18"/>
                <w:szCs w:val="18"/>
                <w:color w:val="auto"/>
                <w:w w:val="85"/>
              </w:rPr>
              <w:t>0.18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left="193"/>
              <w:spacing w:after="0"/>
              <w:rPr>
                <w:sz w:val="20"/>
                <w:szCs w:val="20"/>
                <w:color w:val="auto"/>
              </w:rPr>
            </w:pPr>
            <w:r>
              <w:rPr>
                <w:rFonts w:ascii="Arial" w:cs="Arial" w:eastAsia="Arial" w:hAnsi="Arial"/>
                <w:sz w:val="18"/>
                <w:szCs w:val="18"/>
                <w:color w:val="auto"/>
                <w:w w:val="85"/>
              </w:rPr>
              <w:t>0.46</w:t>
            </w:r>
          </w:p>
        </w:tc>
      </w:tr>
      <w:tr>
        <w:trPr>
          <w:trHeight w:val="228"/>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effect on adjustment(b)</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176"/>
              <w:spacing w:after="0"/>
              <w:rPr>
                <w:sz w:val="20"/>
                <w:szCs w:val="20"/>
                <w:color w:val="auto"/>
              </w:rPr>
            </w:pPr>
            <w:r>
              <w:rPr>
                <w:rFonts w:ascii="Arial" w:cs="Arial" w:eastAsia="Arial" w:hAnsi="Arial"/>
                <w:sz w:val="18"/>
                <w:szCs w:val="18"/>
                <w:color w:val="auto"/>
                <w:w w:val="89"/>
              </w:rPr>
              <w:t>(0.03)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76"/>
              <w:spacing w:after="0"/>
              <w:rPr>
                <w:sz w:val="20"/>
                <w:szCs w:val="20"/>
                <w:color w:val="auto"/>
              </w:rPr>
            </w:pPr>
            <w:r>
              <w:rPr>
                <w:rFonts w:ascii="Arial" w:cs="Arial" w:eastAsia="Arial" w:hAnsi="Arial"/>
                <w:sz w:val="18"/>
                <w:szCs w:val="18"/>
                <w:color w:val="auto"/>
                <w:w w:val="93"/>
              </w:rPr>
              <w:t>(0.03)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3"/>
              </w:rPr>
              <w:t>(0.06)</w:t>
            </w:r>
          </w:p>
        </w:tc>
      </w:tr>
      <w:tr>
        <w:trPr>
          <w:trHeight w:val="228"/>
        </w:trPr>
        <w:tc>
          <w:tcPr>
            <w:tcW w:w="3680" w:type="dxa"/>
            <w:vAlign w:val="bottom"/>
          </w:tcPr>
          <w:p>
            <w:pPr>
              <w:ind w:left="20"/>
              <w:spacing w:after="0"/>
              <w:rPr>
                <w:sz w:val="20"/>
                <w:szCs w:val="20"/>
                <w:color w:val="auto"/>
              </w:rPr>
            </w:pPr>
            <w:r>
              <w:rPr>
                <w:rFonts w:ascii="Arial" w:cs="Arial" w:eastAsia="Arial" w:hAnsi="Arial"/>
                <w:sz w:val="18"/>
                <w:szCs w:val="18"/>
                <w:color w:val="auto"/>
              </w:rPr>
              <w:t>Tax adjustment(c)</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left="176"/>
              <w:spacing w:after="0"/>
              <w:rPr>
                <w:sz w:val="20"/>
                <w:szCs w:val="20"/>
                <w:color w:val="auto"/>
              </w:rPr>
            </w:pPr>
            <w:r>
              <w:rPr>
                <w:rFonts w:ascii="Arial" w:cs="Arial" w:eastAsia="Arial" w:hAnsi="Arial"/>
                <w:sz w:val="18"/>
                <w:szCs w:val="18"/>
                <w:color w:val="auto"/>
                <w:w w:val="89"/>
              </w:rPr>
              <w:t>(0.18)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left="196"/>
              <w:spacing w:after="0"/>
              <w:rPr>
                <w:sz w:val="20"/>
                <w:szCs w:val="20"/>
                <w:color w:val="auto"/>
              </w:rPr>
            </w:pPr>
            <w:r>
              <w:rPr>
                <w:rFonts w:ascii="Arial" w:cs="Arial" w:eastAsia="Arial" w:hAnsi="Arial"/>
                <w:sz w:val="18"/>
                <w:szCs w:val="18"/>
                <w:color w:val="auto"/>
                <w:w w:val="85"/>
              </w:rPr>
              <w:t>0.03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left="193"/>
              <w:spacing w:after="0"/>
              <w:rPr>
                <w:sz w:val="20"/>
                <w:szCs w:val="20"/>
                <w:color w:val="auto"/>
              </w:rPr>
            </w:pPr>
            <w:r>
              <w:rPr>
                <w:rFonts w:ascii="Arial" w:cs="Arial" w:eastAsia="Arial" w:hAnsi="Arial"/>
                <w:sz w:val="18"/>
                <w:szCs w:val="18"/>
                <w:color w:val="auto"/>
                <w:w w:val="85"/>
              </w:rPr>
              <w:t>0.16</w:t>
            </w:r>
          </w:p>
        </w:tc>
      </w:tr>
      <w:tr>
        <w:trPr>
          <w:trHeight w:val="247"/>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EPS-diluted-adjusted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center"/>
              <w:ind w:left="196"/>
              <w:spacing w:after="0"/>
              <w:rPr>
                <w:sz w:val="20"/>
                <w:szCs w:val="20"/>
                <w:color w:val="auto"/>
              </w:rPr>
            </w:pPr>
            <w:r>
              <w:rPr>
                <w:rFonts w:ascii="Arial" w:cs="Arial" w:eastAsia="Arial" w:hAnsi="Arial"/>
                <w:sz w:val="18"/>
                <w:szCs w:val="18"/>
                <w:color w:val="auto"/>
                <w:w w:val="91"/>
              </w:rPr>
              <w:t>1.52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center"/>
              <w:ind w:left="196"/>
              <w:spacing w:after="0"/>
              <w:rPr>
                <w:sz w:val="20"/>
                <w:szCs w:val="20"/>
                <w:color w:val="auto"/>
              </w:rPr>
            </w:pPr>
            <w:r>
              <w:rPr>
                <w:rFonts w:ascii="Arial" w:cs="Arial" w:eastAsia="Arial" w:hAnsi="Arial"/>
                <w:sz w:val="18"/>
                <w:szCs w:val="18"/>
                <w:color w:val="auto"/>
                <w:w w:val="85"/>
              </w:rPr>
              <w:t>5.73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center"/>
              <w:ind w:left="193"/>
              <w:spacing w:after="0"/>
              <w:rPr>
                <w:sz w:val="20"/>
                <w:szCs w:val="20"/>
                <w:color w:val="auto"/>
              </w:rPr>
            </w:pPr>
            <w:r>
              <w:rPr>
                <w:rFonts w:ascii="Arial" w:cs="Arial" w:eastAsia="Arial" w:hAnsi="Arial"/>
                <w:sz w:val="18"/>
                <w:szCs w:val="18"/>
                <w:color w:val="auto"/>
                <w:w w:val="85"/>
              </w:rPr>
              <w:t>2.96</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right="20" w:hanging="333"/>
        <w:spacing w:after="0" w:line="245" w:lineRule="auto"/>
        <w:tabs>
          <w:tab w:leader="none" w:pos="3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 (loss)-adjusted within this section of MD&amp;A for the details of each individual adjustment.</w:t>
      </w:r>
    </w:p>
    <w:p>
      <w:pPr>
        <w:ind w:left="320" w:hanging="313"/>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to which the adjustment relates.</w:t>
      </w:r>
    </w:p>
    <w:p>
      <w:pPr>
        <w:spacing w:after="0" w:line="4" w:lineRule="exact"/>
        <w:rPr>
          <w:rFonts w:ascii="Arial" w:cs="Arial" w:eastAsia="Arial" w:hAnsi="Arial"/>
          <w:sz w:val="16"/>
          <w:szCs w:val="16"/>
          <w:color w:val="auto"/>
        </w:rPr>
      </w:pPr>
    </w:p>
    <w:p>
      <w:pPr>
        <w:jc w:val="both"/>
        <w:ind w:left="340" w:hanging="333"/>
        <w:spacing w:after="0" w:line="248" w:lineRule="auto"/>
        <w:tabs>
          <w:tab w:leader="none" w:pos="3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These adjustments consist of tax benefit related to a deduction for an investment in a subsidiary in the three months ended September 30, 2021 and tax expense related to the establishment of a valuation allowance against Cruise deferred tax assets in the nine months ended September 30, 2021, and tax expense related to the establishment of a valuation allowance against deferred tax assets that are considered no longer realizable for GM in Australia and New Zealand for the nine months ended September 30, 2020.</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reconciles our effective tax rate under U.S. GAAP to ETR-adjusted: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7"/>
          </w:tcPr>
          <w:p>
            <w:pPr>
              <w:ind w:left="4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6"/>
                <w:szCs w:val="16"/>
                <w:color w:val="auto"/>
              </w:rPr>
            </w:pPr>
          </w:p>
        </w:tc>
        <w:tc>
          <w:tcPr>
            <w:tcW w:w="2200" w:type="dxa"/>
            <w:vAlign w:val="bottom"/>
            <w:gridSpan w:val="6"/>
          </w:tcPr>
          <w:p>
            <w:pPr>
              <w:jc w:val="right"/>
              <w:ind w:right="488"/>
              <w:spacing w:after="0"/>
              <w:rPr>
                <w:sz w:val="20"/>
                <w:szCs w:val="20"/>
                <w:color w:val="auto"/>
              </w:rPr>
            </w:pPr>
            <w:r>
              <w:rPr>
                <w:rFonts w:ascii="Arial" w:cs="Arial" w:eastAsia="Arial" w:hAnsi="Arial"/>
                <w:sz w:val="14"/>
                <w:szCs w:val="14"/>
                <w:b w:val="1"/>
                <w:bCs w:val="1"/>
                <w:color w:val="auto"/>
              </w:rPr>
              <w:t>September 30, 2020</w:t>
            </w:r>
          </w:p>
        </w:tc>
        <w:tc>
          <w:tcPr>
            <w:tcW w:w="80" w:type="dxa"/>
            <w:vAlign w:val="bottom"/>
          </w:tcPr>
          <w:p>
            <w:pPr>
              <w:spacing w:after="0"/>
              <w:rPr>
                <w:sz w:val="16"/>
                <w:szCs w:val="16"/>
                <w:color w:val="auto"/>
              </w:rPr>
            </w:pPr>
          </w:p>
        </w:tc>
        <w:tc>
          <w:tcPr>
            <w:tcW w:w="25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September 30, 2021</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20" w:type="dxa"/>
            <w:vAlign w:val="bottom"/>
            <w:gridSpan w:val="6"/>
          </w:tcPr>
          <w:p>
            <w:pPr>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16"/>
        </w:trPr>
        <w:tc>
          <w:tcPr>
            <w:tcW w:w="1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220"/>
              <w:spacing w:after="0" w:line="116"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center"/>
              <w:ind w:right="21"/>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240"/>
              <w:spacing w:after="0" w:line="116" w:lineRule="exact"/>
              <w:rPr>
                <w:sz w:val="20"/>
                <w:szCs w:val="20"/>
                <w:color w:val="auto"/>
              </w:rPr>
            </w:pPr>
            <w:r>
              <w:rPr>
                <w:rFonts w:ascii="Arial" w:cs="Arial" w:eastAsia="Arial" w:hAnsi="Arial"/>
                <w:sz w:val="13"/>
                <w:szCs w:val="13"/>
                <w:b w:val="1"/>
                <w:bCs w:val="1"/>
                <w:color w:val="auto"/>
                <w:w w:val="87"/>
              </w:rPr>
              <w:t>Income</w:t>
            </w: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83"/>
              </w:rPr>
              <w:t>Income</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85"/>
              </w:rPr>
              <w:t>before</w:t>
            </w:r>
          </w:p>
        </w:tc>
        <w:tc>
          <w:tcPr>
            <w:tcW w:w="1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6"/>
              </w:rPr>
              <w:t>Effective tax</w:t>
            </w: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85"/>
              </w:rPr>
              <w:t>before</w:t>
            </w: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8"/>
              </w:rPr>
              <w:t>Income tax</w:t>
            </w:r>
          </w:p>
        </w:tc>
        <w:tc>
          <w:tcPr>
            <w:tcW w:w="100" w:type="dxa"/>
            <w:vAlign w:val="bottom"/>
          </w:tcPr>
          <w:p>
            <w:pPr>
              <w:spacing w:after="0"/>
              <w:rPr>
                <w:sz w:val="10"/>
                <w:szCs w:val="10"/>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6"/>
              </w:rPr>
              <w:t>Effective tax</w:t>
            </w:r>
          </w:p>
        </w:tc>
        <w:tc>
          <w:tcPr>
            <w:tcW w:w="860" w:type="dxa"/>
            <w:vAlign w:val="bottom"/>
            <w:gridSpan w:val="2"/>
            <w:vMerge w:val="continue"/>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5"/>
              </w:rPr>
              <w:t>Income tax</w:t>
            </w:r>
          </w:p>
        </w:tc>
        <w:tc>
          <w:tcPr>
            <w:tcW w:w="100" w:type="dxa"/>
            <w:vAlign w:val="bottom"/>
          </w:tcPr>
          <w:p>
            <w:pPr>
              <w:spacing w:after="0"/>
              <w:rPr>
                <w:sz w:val="10"/>
                <w:szCs w:val="10"/>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6"/>
              </w:rPr>
              <w:t>Effective tax</w:t>
            </w:r>
          </w:p>
        </w:tc>
        <w:tc>
          <w:tcPr>
            <w:tcW w:w="140" w:type="dxa"/>
            <w:vAlign w:val="bottom"/>
          </w:tcPr>
          <w:p>
            <w:pPr>
              <w:spacing w:after="0"/>
              <w:rPr>
                <w:sz w:val="10"/>
                <w:szCs w:val="10"/>
                <w:color w:val="auto"/>
              </w:rPr>
            </w:pPr>
          </w:p>
        </w:tc>
        <w:tc>
          <w:tcPr>
            <w:tcW w:w="4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5"/>
              </w:rPr>
              <w:t>before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1"/>
              </w:rPr>
              <w:t>Income tax</w:t>
            </w:r>
          </w:p>
        </w:tc>
        <w:tc>
          <w:tcPr>
            <w:tcW w:w="120" w:type="dxa"/>
            <w:vAlign w:val="bottom"/>
          </w:tcPr>
          <w:p>
            <w:pPr>
              <w:spacing w:after="0"/>
              <w:rPr>
                <w:sz w:val="10"/>
                <w:szCs w:val="10"/>
                <w:color w:val="auto"/>
              </w:rPr>
            </w:pPr>
          </w:p>
        </w:tc>
        <w:tc>
          <w:tcPr>
            <w:tcW w:w="84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6"/>
              </w:rPr>
              <w:t>Effective tax</w:t>
            </w: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83"/>
              </w:rPr>
              <w:t>income</w:t>
            </w:r>
          </w:p>
        </w:tc>
        <w:tc>
          <w:tcPr>
            <w:tcW w:w="120" w:type="dxa"/>
            <w:vAlign w:val="bottom"/>
          </w:tcPr>
          <w:p>
            <w:pPr>
              <w:spacing w:after="0"/>
              <w:rPr>
                <w:sz w:val="10"/>
                <w:szCs w:val="10"/>
                <w:color w:val="auto"/>
              </w:rPr>
            </w:pPr>
          </w:p>
        </w:tc>
        <w:tc>
          <w:tcPr>
            <w:tcW w:w="500" w:type="dxa"/>
            <w:vAlign w:val="bottom"/>
          </w:tcPr>
          <w:p>
            <w:pPr>
              <w:jc w:val="center"/>
              <w:ind w:right="21"/>
              <w:spacing w:after="0" w:line="121" w:lineRule="exact"/>
              <w:rPr>
                <w:sz w:val="20"/>
                <w:szCs w:val="20"/>
                <w:color w:val="auto"/>
              </w:rPr>
            </w:pPr>
            <w:r>
              <w:rPr>
                <w:rFonts w:ascii="Arial" w:cs="Arial" w:eastAsia="Arial" w:hAnsi="Arial"/>
                <w:sz w:val="13"/>
                <w:szCs w:val="13"/>
                <w:b w:val="1"/>
                <w:bCs w:val="1"/>
                <w:color w:val="auto"/>
                <w:w w:val="84"/>
              </w:rPr>
              <w:t>tax</w:t>
            </w: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83"/>
              </w:rPr>
              <w:t>income</w:t>
            </w: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60" w:type="dxa"/>
            <w:vAlign w:val="bottom"/>
            <w:gridSpan w:val="2"/>
          </w:tcPr>
          <w:p>
            <w:pPr>
              <w:jc w:val="center"/>
              <w:ind w:right="80"/>
              <w:spacing w:after="0" w:line="121" w:lineRule="exact"/>
              <w:rPr>
                <w:sz w:val="20"/>
                <w:szCs w:val="20"/>
                <w:color w:val="auto"/>
              </w:rPr>
            </w:pPr>
            <w:r>
              <w:rPr>
                <w:rFonts w:ascii="Arial" w:cs="Arial" w:eastAsia="Arial" w:hAnsi="Arial"/>
                <w:sz w:val="13"/>
                <w:szCs w:val="13"/>
                <w:b w:val="1"/>
                <w:bCs w:val="1"/>
                <w:color w:val="auto"/>
                <w:w w:val="85"/>
              </w:rPr>
              <w:t>before</w:t>
            </w:r>
          </w:p>
        </w:tc>
        <w:tc>
          <w:tcPr>
            <w:tcW w:w="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3"/>
              </w:rPr>
              <w:t>income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taxes</w:t>
            </w: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0"/>
              </w:rPr>
              <w:t>expense</w:t>
            </w:r>
          </w:p>
        </w:tc>
        <w:tc>
          <w:tcPr>
            <w:tcW w:w="1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rate</w:t>
            </w:r>
          </w:p>
        </w:tc>
        <w:tc>
          <w:tcPr>
            <w:tcW w:w="12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8"/>
              </w:rPr>
              <w:t>taxes</w:t>
            </w:r>
          </w:p>
        </w:tc>
        <w:tc>
          <w:tcPr>
            <w:tcW w:w="10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b w:val="1"/>
                <w:bCs w:val="1"/>
                <w:color w:val="auto"/>
                <w:w w:val="76"/>
              </w:rPr>
              <w:t>expense</w:t>
            </w:r>
          </w:p>
        </w:tc>
        <w:tc>
          <w:tcPr>
            <w:tcW w:w="10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rate</w:t>
            </w: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income taxes</w:t>
            </w:r>
          </w:p>
        </w:tc>
        <w:tc>
          <w:tcPr>
            <w:tcW w:w="120" w:type="dxa"/>
            <w:vAlign w:val="bottom"/>
          </w:tcPr>
          <w:p>
            <w:pPr>
              <w:spacing w:after="0"/>
              <w:rPr>
                <w:sz w:val="14"/>
                <w:szCs w:val="14"/>
                <w:color w:val="auto"/>
              </w:rPr>
            </w:pPr>
          </w:p>
        </w:tc>
        <w:tc>
          <w:tcPr>
            <w:tcW w:w="580" w:type="dxa"/>
            <w:vAlign w:val="bottom"/>
          </w:tcPr>
          <w:p>
            <w:pPr>
              <w:jc w:val="center"/>
              <w:ind w:right="36"/>
              <w:spacing w:after="0"/>
              <w:rPr>
                <w:sz w:val="20"/>
                <w:szCs w:val="20"/>
                <w:color w:val="auto"/>
              </w:rPr>
            </w:pPr>
            <w:r>
              <w:rPr>
                <w:rFonts w:ascii="Arial" w:cs="Arial" w:eastAsia="Arial" w:hAnsi="Arial"/>
                <w:sz w:val="13"/>
                <w:szCs w:val="13"/>
                <w:b w:val="1"/>
                <w:bCs w:val="1"/>
                <w:color w:val="auto"/>
                <w:w w:val="80"/>
              </w:rPr>
              <w:t>expense</w:t>
            </w: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rate</w:t>
            </w:r>
          </w:p>
        </w:tc>
        <w:tc>
          <w:tcPr>
            <w:tcW w:w="1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78"/>
              </w:rPr>
              <w:t>taxes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b w:val="1"/>
                <w:bCs w:val="1"/>
                <w:color w:val="auto"/>
                <w:w w:val="80"/>
              </w:rPr>
              <w:t>expense</w:t>
            </w:r>
          </w:p>
        </w:tc>
        <w:tc>
          <w:tcPr>
            <w:tcW w:w="120" w:type="dxa"/>
            <w:vAlign w:val="bottom"/>
          </w:tcPr>
          <w:p>
            <w:pPr>
              <w:spacing w:after="0"/>
              <w:rPr>
                <w:sz w:val="14"/>
                <w:szCs w:val="14"/>
                <w:color w:val="auto"/>
              </w:rPr>
            </w:pPr>
          </w:p>
        </w:tc>
        <w:tc>
          <w:tcPr>
            <w:tcW w:w="840" w:type="dxa"/>
            <w:vAlign w:val="bottom"/>
          </w:tcPr>
          <w:p>
            <w:pPr>
              <w:ind w:left="300"/>
              <w:spacing w:after="0"/>
              <w:rPr>
                <w:sz w:val="20"/>
                <w:szCs w:val="20"/>
                <w:color w:val="auto"/>
              </w:rPr>
            </w:pPr>
            <w:r>
              <w:rPr>
                <w:rFonts w:ascii="Arial" w:cs="Arial" w:eastAsia="Arial" w:hAnsi="Arial"/>
                <w:sz w:val="13"/>
                <w:szCs w:val="13"/>
                <w:b w:val="1"/>
                <w:bCs w:val="1"/>
                <w:color w:val="auto"/>
              </w:rPr>
              <w:t>rate</w:t>
            </w:r>
          </w:p>
        </w:tc>
        <w:tc>
          <w:tcPr>
            <w:tcW w:w="0" w:type="dxa"/>
            <w:vAlign w:val="bottom"/>
          </w:tcPr>
          <w:p>
            <w:pPr>
              <w:spacing w:after="0"/>
              <w:rPr>
                <w:sz w:val="1"/>
                <w:szCs w:val="1"/>
                <w:color w:val="auto"/>
              </w:rPr>
            </w:pPr>
          </w:p>
        </w:tc>
      </w:tr>
      <w:tr>
        <w:trPr>
          <w:trHeight w:val="228"/>
        </w:trPr>
        <w:tc>
          <w:tcPr>
            <w:tcW w:w="1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2,538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w w:val="94"/>
              </w:rPr>
              <w:t>$ 10,479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2"/>
              </w:rPr>
              <w:t>24.3 %</w:t>
            </w:r>
          </w:p>
        </w:tc>
        <w:tc>
          <w:tcPr>
            <w:tcW w:w="0" w:type="dxa"/>
            <w:vAlign w:val="bottom"/>
          </w:tcPr>
          <w:p>
            <w:pPr>
              <w:spacing w:after="0"/>
              <w:rPr>
                <w:sz w:val="1"/>
                <w:szCs w:val="1"/>
                <w:color w:val="auto"/>
              </w:rPr>
            </w:pPr>
          </w:p>
        </w:tc>
      </w:tr>
      <w:tr>
        <w:trPr>
          <w:trHeight w:val="228"/>
        </w:trPr>
        <w:tc>
          <w:tcPr>
            <w:tcW w:w="1480" w:type="dxa"/>
            <w:vAlign w:val="bottom"/>
          </w:tcPr>
          <w:p>
            <w:pPr>
              <w:ind w:left="20"/>
              <w:spacing w:after="0"/>
              <w:rPr>
                <w:sz w:val="20"/>
                <w:szCs w:val="20"/>
                <w:color w:val="auto"/>
              </w:rPr>
            </w:pPr>
            <w:r>
              <w:rPr>
                <w:rFonts w:ascii="Arial" w:cs="Arial" w:eastAsia="Arial" w:hAnsi="Arial"/>
                <w:sz w:val="18"/>
                <w:szCs w:val="18"/>
                <w:color w:val="auto"/>
              </w:rPr>
              <w:t>Adjustments(a)</w:t>
            </w:r>
          </w:p>
        </w:tc>
        <w:tc>
          <w:tcPr>
            <w:tcW w:w="120" w:type="dxa"/>
            <w:vAlign w:val="bottom"/>
          </w:tcPr>
          <w:p>
            <w:pPr>
              <w:spacing w:after="0"/>
              <w:rPr>
                <w:sz w:val="19"/>
                <w:szCs w:val="19"/>
                <w:color w:val="auto"/>
              </w:rPr>
            </w:pPr>
          </w:p>
        </w:tc>
        <w:tc>
          <w:tcPr>
            <w:tcW w:w="560" w:type="dxa"/>
            <w:vAlign w:val="bottom"/>
          </w:tcPr>
          <w:p>
            <w:pPr>
              <w:jc w:val="right"/>
              <w:ind w:right="6"/>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Tax adjustment(b)</w:t>
            </w: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480" w:type="dxa"/>
            <w:vAlign w:val="bottom"/>
          </w:tcPr>
          <w:p>
            <w:pPr>
              <w:ind w:left="20"/>
              <w:spacing w:after="0"/>
              <w:rPr>
                <w:sz w:val="20"/>
                <w:szCs w:val="20"/>
                <w:color w:val="auto"/>
              </w:rPr>
            </w:pPr>
            <w:r>
              <w:rPr>
                <w:rFonts w:ascii="Arial" w:cs="Arial" w:eastAsia="Arial" w:hAnsi="Arial"/>
                <w:sz w:val="18"/>
                <w:szCs w:val="18"/>
                <w:color w:val="auto"/>
              </w:rPr>
              <w:t>ETR-adjusted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17.1 %</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4,981</w:t>
            </w:r>
          </w:p>
        </w:tc>
        <w:tc>
          <w:tcPr>
            <w:tcW w:w="120" w:type="dxa"/>
            <w:vAlign w:val="bottom"/>
          </w:tcPr>
          <w:p>
            <w:pPr>
              <w:spacing w:after="0"/>
              <w:rPr>
                <w:sz w:val="19"/>
                <w:szCs w:val="19"/>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18.1 %</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w w:val="94"/>
              </w:rPr>
              <w:t>$ 10,761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21.4 %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w w:val="92"/>
              </w:rPr>
              <w:t>18.4 %</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jc w:val="both"/>
        <w:ind w:left="340" w:hanging="333"/>
        <w:spacing w:after="0" w:line="245" w:lineRule="auto"/>
        <w:tabs>
          <w:tab w:leader="none" w:pos="331"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 (loss)-adjusted within this section of MD&amp;A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ind w:left="320" w:hanging="313"/>
        <w:spacing w:after="0"/>
        <w:tabs>
          <w:tab w:leader="none" w:pos="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Refer to the reconciliation of diluted earnings per common share under U.S. GAAP to EPS-diluted-adjusted within this section of MD&amp;A for adjustment details.</w:t>
      </w:r>
    </w:p>
    <w:p>
      <w:pPr>
        <w:spacing w:after="0" w:line="23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right"/>
              <w:ind w:right="1075"/>
              <w:spacing w:after="0"/>
              <w:rPr>
                <w:sz w:val="20"/>
                <w:szCs w:val="20"/>
                <w:color w:val="auto"/>
              </w:rPr>
            </w:pPr>
            <w:r>
              <w:rPr>
                <w:rFonts w:ascii="Arial" w:cs="Arial" w:eastAsia="Arial" w:hAnsi="Arial"/>
                <w:sz w:val="14"/>
                <w:szCs w:val="14"/>
                <w:b w:val="1"/>
                <w:bCs w:val="1"/>
                <w:color w:val="auto"/>
              </w:rPr>
              <w:t>Four Quarters Ended</w:t>
            </w:r>
          </w:p>
        </w:tc>
      </w:tr>
      <w:tr>
        <w:trPr>
          <w:trHeight w:val="186"/>
        </w:trPr>
        <w:tc>
          <w:tcPr>
            <w:tcW w:w="7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1580" w:type="dxa"/>
            <w:vAlign w:val="bottom"/>
          </w:tcPr>
          <w:p>
            <w:pPr>
              <w:jc w:val="right"/>
              <w:ind w:right="195"/>
              <w:spacing w:after="0"/>
              <w:rPr>
                <w:sz w:val="20"/>
                <w:szCs w:val="20"/>
                <w:color w:val="auto"/>
              </w:rPr>
            </w:pPr>
            <w:r>
              <w:rPr>
                <w:rFonts w:ascii="Arial" w:cs="Arial" w:eastAsia="Arial" w:hAnsi="Arial"/>
                <w:sz w:val="14"/>
                <w:szCs w:val="14"/>
                <w:b w:val="1"/>
                <w:bCs w:val="1"/>
                <w:color w:val="auto"/>
                <w:w w:val="97"/>
              </w:rPr>
              <w:t>September 30, 2020</w:t>
            </w:r>
          </w:p>
        </w:tc>
      </w:tr>
      <w:tr>
        <w:trPr>
          <w:trHeight w:val="223"/>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3.4</w:t>
            </w:r>
          </w:p>
        </w:tc>
      </w:tr>
      <w:tr>
        <w:trPr>
          <w:trHeight w:val="228"/>
        </w:trPr>
        <w:tc>
          <w:tcPr>
            <w:tcW w:w="7580" w:type="dxa"/>
            <w:vAlign w:val="bottom"/>
          </w:tcPr>
          <w:p>
            <w:pPr>
              <w:ind w:left="20"/>
              <w:spacing w:after="0"/>
              <w:rPr>
                <w:sz w:val="20"/>
                <w:szCs w:val="20"/>
                <w:color w:val="auto"/>
              </w:rPr>
            </w:pPr>
            <w:r>
              <w:rPr>
                <w:rFonts w:ascii="Arial" w:cs="Arial" w:eastAsia="Arial" w:hAnsi="Arial"/>
                <w:sz w:val="18"/>
                <w:szCs w:val="18"/>
                <w:color w:val="auto"/>
              </w:rPr>
              <w:t>Average equity(a)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ind w:left="104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35"/>
              <w:spacing w:after="0"/>
              <w:rPr>
                <w:sz w:val="20"/>
                <w:szCs w:val="20"/>
                <w:color w:val="auto"/>
              </w:rPr>
            </w:pPr>
            <w:r>
              <w:rPr>
                <w:rFonts w:ascii="Arial" w:cs="Arial" w:eastAsia="Arial" w:hAnsi="Arial"/>
                <w:sz w:val="18"/>
                <w:szCs w:val="18"/>
                <w:color w:val="auto"/>
              </w:rPr>
              <w:t>42.5</w:t>
            </w:r>
          </w:p>
        </w:tc>
      </w:tr>
      <w:tr>
        <w:trPr>
          <w:trHeight w:val="22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2"/>
              </w:rPr>
              <w:t>21.2 %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20" w:hanging="313"/>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Net income (loss) attributable to stockholders.</w:t>
      </w:r>
    </w:p>
    <w:p>
      <w:pPr>
        <w:spacing w:after="0" w:line="200" w:lineRule="exact"/>
        <w:rPr>
          <w:rFonts w:ascii="Arial" w:cs="Arial" w:eastAsia="Arial" w:hAnsi="Arial"/>
          <w:sz w:val="16"/>
          <w:szCs w:val="16"/>
          <w:color w:val="auto"/>
        </w:rPr>
      </w:pPr>
    </w:p>
    <w:p>
      <w:pPr>
        <w:spacing w:after="0" w:line="376"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calculation of ROIC-adjusted (dollars in billions):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Four Quarters Ended</w:t>
            </w:r>
          </w:p>
        </w:tc>
      </w:tr>
      <w:tr>
        <w:trPr>
          <w:trHeight w:val="186"/>
        </w:trPr>
        <w:tc>
          <w:tcPr>
            <w:tcW w:w="7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1580" w:type="dxa"/>
            <w:vAlign w:val="bottom"/>
          </w:tcPr>
          <w:p>
            <w:pPr>
              <w:jc w:val="right"/>
              <w:ind w:right="193"/>
              <w:spacing w:after="0"/>
              <w:rPr>
                <w:sz w:val="20"/>
                <w:szCs w:val="20"/>
                <w:color w:val="auto"/>
              </w:rPr>
            </w:pPr>
            <w:r>
              <w:rPr>
                <w:rFonts w:ascii="Arial" w:cs="Arial" w:eastAsia="Arial" w:hAnsi="Arial"/>
                <w:sz w:val="14"/>
                <w:szCs w:val="14"/>
                <w:b w:val="1"/>
                <w:bCs w:val="1"/>
                <w:color w:val="auto"/>
                <w:w w:val="97"/>
              </w:rPr>
              <w:t>September 30, 2020</w:t>
            </w:r>
          </w:p>
        </w:tc>
      </w:tr>
      <w:tr>
        <w:trPr>
          <w:trHeight w:val="223"/>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 (loss)-adjusted(a)</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6.1</w:t>
            </w:r>
          </w:p>
        </w:tc>
      </w:tr>
      <w:tr>
        <w:trPr>
          <w:trHeight w:val="228"/>
        </w:trPr>
        <w:tc>
          <w:tcPr>
            <w:tcW w:w="7580" w:type="dxa"/>
            <w:vAlign w:val="bottom"/>
          </w:tcPr>
          <w:p>
            <w:pPr>
              <w:ind w:left="20"/>
              <w:spacing w:after="0"/>
              <w:rPr>
                <w:sz w:val="20"/>
                <w:szCs w:val="20"/>
                <w:color w:val="auto"/>
              </w:rPr>
            </w:pPr>
            <w:r>
              <w:rPr>
                <w:rFonts w:ascii="Arial" w:cs="Arial" w:eastAsia="Arial" w:hAnsi="Arial"/>
                <w:sz w:val="18"/>
                <w:szCs w:val="18"/>
                <w:color w:val="auto"/>
              </w:rPr>
              <w:t>Average equity(b)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ind w:left="104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42.5</w:t>
            </w:r>
          </w:p>
        </w:tc>
      </w:tr>
      <w:tr>
        <w:trPr>
          <w:trHeight w:val="22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Average automotive debt and interest liabilities (excluding finance leases)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27.0</w:t>
            </w:r>
          </w:p>
        </w:tc>
      </w:tr>
      <w:tr>
        <w:trPr>
          <w:trHeight w:val="228"/>
        </w:trPr>
        <w:tc>
          <w:tcPr>
            <w:tcW w:w="7580" w:type="dxa"/>
            <w:vAlign w:val="bottom"/>
          </w:tcPr>
          <w:p>
            <w:pPr>
              <w:ind w:left="20"/>
              <w:spacing w:after="0"/>
              <w:rPr>
                <w:sz w:val="20"/>
                <w:szCs w:val="20"/>
                <w:color w:val="auto"/>
              </w:rPr>
            </w:pPr>
            <w:r>
              <w:rPr>
                <w:rFonts w:ascii="Arial" w:cs="Arial" w:eastAsia="Arial" w:hAnsi="Arial"/>
                <w:sz w:val="18"/>
                <w:szCs w:val="18"/>
                <w:color w:val="auto"/>
              </w:rPr>
              <w:t>Add: Average automotive net pension &amp; OPEB liability</w:t>
            </w:r>
          </w:p>
        </w:tc>
        <w:tc>
          <w:tcPr>
            <w:tcW w:w="200" w:type="dxa"/>
            <w:vAlign w:val="bottom"/>
          </w:tcPr>
          <w:p>
            <w:pPr>
              <w:spacing w:after="0"/>
              <w:rPr>
                <w:sz w:val="19"/>
                <w:szCs w:val="19"/>
                <w:color w:val="auto"/>
              </w:rPr>
            </w:pPr>
          </w:p>
        </w:tc>
        <w:tc>
          <w:tcPr>
            <w:tcW w:w="1580" w:type="dxa"/>
            <w:vAlign w:val="bottom"/>
          </w:tcPr>
          <w:p>
            <w:pPr>
              <w:ind w:left="104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17.4</w:t>
            </w:r>
          </w:p>
        </w:tc>
      </w:tr>
      <w:tr>
        <w:trPr>
          <w:trHeight w:val="22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Average automotive and other net income tax asset</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(24.1)</w:t>
            </w:r>
          </w:p>
        </w:tc>
      </w:tr>
      <w:tr>
        <w:trPr>
          <w:trHeight w:val="222"/>
        </w:trPr>
        <w:tc>
          <w:tcPr>
            <w:tcW w:w="7580" w:type="dxa"/>
            <w:vAlign w:val="bottom"/>
          </w:tcPr>
          <w:p>
            <w:pPr>
              <w:ind w:left="20"/>
              <w:spacing w:after="0"/>
              <w:rPr>
                <w:sz w:val="20"/>
                <w:szCs w:val="20"/>
                <w:color w:val="auto"/>
              </w:rPr>
            </w:pPr>
            <w:r>
              <w:rPr>
                <w:rFonts w:ascii="Arial" w:cs="Arial" w:eastAsia="Arial" w:hAnsi="Arial"/>
                <w:sz w:val="18"/>
                <w:szCs w:val="18"/>
                <w:color w:val="auto"/>
              </w:rPr>
              <w:t>ROIC-adjusted average 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62.8</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2"/>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ROIC-adjusted</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2"/>
              </w:rPr>
              <w:t>23.5 %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20" w:hanging="313"/>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 (loss)-adjusted within this section of MD&amp;A.</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EBIT (loss)-adjusted.</w:t>
      </w:r>
    </w:p>
    <w:p>
      <w:pPr>
        <w:spacing w:after="0" w:line="22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vision for the future is a world with zero crashes, zero emissions and zero congestion, which guides our growth-focused strategy to invest in</w:t>
      </w:r>
      <w:r>
        <w:rPr>
          <w:rFonts w:ascii="Arial" w:cs="Arial" w:eastAsia="Arial" w:hAnsi="Arial"/>
          <w:sz w:val="18"/>
          <w:szCs w:val="18"/>
          <w:b w:val="1"/>
          <w:bCs w:val="1"/>
          <w:color w:val="auto"/>
        </w:rPr>
        <w:t xml:space="preserve"> </w:t>
      </w:r>
      <w:r>
        <w:rPr>
          <w:rFonts w:ascii="Arial" w:cs="Arial" w:eastAsia="Arial" w:hAnsi="Arial"/>
          <w:sz w:val="18"/>
          <w:szCs w:val="18"/>
          <w:color w:val="auto"/>
        </w:rPr>
        <w:t>electric and autonomous vehicles, software-enabled services and subscriptions and new business opportunities, while strengthening our market position in profitable internal combustion engine segments (ICE), such as trucks and SUVs.</w:t>
      </w:r>
    </w:p>
    <w:p>
      <w:pPr>
        <w:spacing w:after="0" w:line="208"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We have an opportunity to grow our vehicle and financing revenue by continuing to capitalize on the strength of our franchises and scaling our electric vehicle production and customer base over the next decade. Our electric vehicle entries will be based on Ultium, our all-new dedicated battery electric platform, which we will leverage across our brands and vehicle segments ranging from high performance entries, such as the GMC Hummer EV and Cadillac LYRIQ, to mass market offerings.</w:t>
      </w:r>
    </w:p>
    <w:p>
      <w:pPr>
        <w:spacing w:after="0" w:line="212"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Our software-enabled services and subscriptions, including OnStar and our advanced driver-assistance system (ADAS), Super Cruise, as well as future offerings such as our next-generation ADAS, Ultra Cruise, provide additional opportunities for revenue growth. This growth will be enhanced by Ultifi, our end-to-end software platform, that will provide our customers with software-defined features, applications and services over-the-air.</w:t>
      </w:r>
    </w:p>
    <w:p>
      <w:pPr>
        <w:spacing w:after="0" w:line="193"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Additionally, we are incubating several new businesses with a start-up mindset that we believe will enable us to attract new customers and generate revenues in new areas, including:</w:t>
      </w:r>
    </w:p>
    <w:p>
      <w:pPr>
        <w:spacing w:after="0" w:line="197"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b w:val="1"/>
          <w:bCs w:val="1"/>
          <w:i w:val="1"/>
          <w:iCs w:val="1"/>
          <w:color w:val="auto"/>
        </w:rPr>
        <w:t xml:space="preserve">Cruise </w:t>
      </w:r>
      <w:r>
        <w:rPr>
          <w:rFonts w:ascii="Arial" w:cs="Arial" w:eastAsia="Arial" w:hAnsi="Arial"/>
          <w:sz w:val="18"/>
          <w:szCs w:val="18"/>
          <w:color w:val="auto"/>
        </w:rPr>
        <w:t>Driving leadership in the development and commercialization of autonomous vehicle technology, including the launch of the Cruise Origin AV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will be built at GM’s Factory ZERO Detroit-Hamtramck Assembly Center starting in early 2023.</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BrightDrop </w:t>
      </w:r>
      <w:r>
        <w:rPr>
          <w:rFonts w:ascii="Arial" w:cs="Arial" w:eastAsia="Arial" w:hAnsi="Arial"/>
          <w:sz w:val="18"/>
          <w:szCs w:val="18"/>
          <w:color w:val="auto"/>
        </w:rPr>
        <w:t>Building all-electric and connected, first-to-last mile delivery and logistics solutions for commercial customers.</w:t>
      </w:r>
    </w:p>
    <w:p>
      <w:pPr>
        <w:spacing w:after="0" w:line="250"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b w:val="1"/>
          <w:bCs w:val="1"/>
          <w:i w:val="1"/>
          <w:iCs w:val="1"/>
          <w:color w:val="auto"/>
        </w:rPr>
        <w:t xml:space="preserve">HYDROTEC </w:t>
      </w:r>
      <w:r>
        <w:rPr>
          <w:rFonts w:ascii="Arial" w:cs="Arial" w:eastAsia="Arial" w:hAnsi="Arial"/>
          <w:sz w:val="18"/>
          <w:szCs w:val="18"/>
          <w:color w:val="auto"/>
        </w:rPr>
        <w:t>Developing hydrogen fuel cell applications across transportations and industries, including mobile power generation, class 7/8 truck,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locomotive, aerospace and marine applications.</w:t>
      </w:r>
    </w:p>
    <w:p>
      <w:pPr>
        <w:spacing w:after="0" w:line="197"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b w:val="1"/>
          <w:bCs w:val="1"/>
          <w:i w:val="1"/>
          <w:iCs w:val="1"/>
          <w:color w:val="auto"/>
        </w:rPr>
        <w:t xml:space="preserve">OnStar Insurance Services </w:t>
      </w:r>
      <w:r>
        <w:rPr>
          <w:rFonts w:ascii="Arial" w:cs="Arial" w:eastAsia="Arial" w:hAnsi="Arial"/>
          <w:sz w:val="18"/>
          <w:szCs w:val="18"/>
          <w:color w:val="auto"/>
        </w:rPr>
        <w:t>In the future, we plan to integrate insurance products into the vehicle purchasing process and offer premiums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driving behaviors by leveraging data coming from GM vehicles.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GM Defense </w:t>
      </w:r>
      <w:r>
        <w:rPr>
          <w:rFonts w:ascii="Arial" w:cs="Arial" w:eastAsia="Arial" w:hAnsi="Arial"/>
          <w:sz w:val="18"/>
          <w:szCs w:val="18"/>
          <w:color w:val="auto"/>
        </w:rPr>
        <w:t>Providing commercially developed solutions, including purpose-built vehicles, for government and military customers.</w:t>
      </w:r>
    </w:p>
    <w:p>
      <w:pPr>
        <w:spacing w:after="0" w:line="250"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The automotive industry and GM are currently experiencing a global semiconductor supply shortage. The supply shortage has impacted, and continues to impact, multiple suppliers that incorporate semiconductors into the parts they supply to us. We expect the semiconductor supply shortage will continue to have an impact on our business for the foreseeable future. We will continue prioritizing our most popular and in-demand vehicles, including our full-size trucks, full-size SUVs, and electric vehicles. We do not expect this shortage to impact our long-term growth and electric vehicle initiatives. In June 2021, we announced plans to increase our investment in electric and autonomous vehicles from $27.0 billion to $35.0 billion, through 2025, to accelerate battery and electric vehicle assembly capacity.</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We also continue to monitor the impact of the COVID-19 pandemic, and government actions and measures taken to prevent its spread, and the potential to affect our operations. Refer to Part I, Item 1A. Risk Factors of our 2020 Form 10-K for further discussion of these risks.</w:t>
      </w:r>
    </w:p>
    <w:p>
      <w:pPr>
        <w:spacing w:after="0" w:line="19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For the year ending December 31, 2021, we expect EPS-diluted of between $5.52 and $6.52, EPS-diluted-adjusted of between $5.70 and $6.70, Net income attributable to stockholders of between $8.1 billion and $9.6 billion and EBIT-adjusted of between $11.5 billion and $13.5 billion. Due to the uncertainty of the semiconductor supply shortage, our cash flow from operations could be impacted by year end work-in-process inventory related to vehicles produced without modules. The value of the vehicles manufactured without modules held in inventory was $2.9 billion at September 30, 2021. We do not consider the potential impact of future adjustments on our expected financial results.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reconciles expected Net income attributable to stockholders under U.S. GAAP to expected EBIT-adjusted (dollars in billions):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60" w:type="dxa"/>
            <w:vAlign w:val="bottom"/>
            <w:tcBorders>
              <w:bottom w:val="single" w:sz="8" w:color="CCEEFF"/>
            </w:tcBorders>
          </w:tcPr>
          <w:p>
            <w:pPr>
              <w:spacing w:after="0"/>
              <w:rPr>
                <w:sz w:val="16"/>
                <w:szCs w:val="16"/>
                <w:color w:val="auto"/>
              </w:rPr>
            </w:pPr>
          </w:p>
        </w:tc>
        <w:tc>
          <w:tcPr>
            <w:tcW w:w="3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Year Ending December 31, 2021</w:t>
            </w:r>
          </w:p>
        </w:tc>
      </w:tr>
      <w:tr>
        <w:trPr>
          <w:trHeight w:val="228"/>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$ 8.1-9.6</w:t>
            </w:r>
          </w:p>
        </w:tc>
      </w:tr>
      <w:tr>
        <w:trPr>
          <w:trHeight w:val="228"/>
        </w:trPr>
        <w:tc>
          <w:tcPr>
            <w:tcW w:w="79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80" w:type="dxa"/>
            <w:vAlign w:val="bottom"/>
          </w:tcPr>
          <w:p>
            <w:pPr>
              <w:jc w:val="right"/>
              <w:spacing w:after="0"/>
              <w:rPr>
                <w:sz w:val="20"/>
                <w:szCs w:val="20"/>
                <w:color w:val="auto"/>
              </w:rPr>
            </w:pPr>
            <w:r>
              <w:rPr>
                <w:rFonts w:ascii="Arial" w:cs="Arial" w:eastAsia="Arial" w:hAnsi="Arial"/>
                <w:sz w:val="18"/>
                <w:szCs w:val="18"/>
                <w:color w:val="auto"/>
              </w:rPr>
              <w:t>2.3-2.8</w:t>
            </w:r>
          </w:p>
        </w:tc>
      </w:tr>
      <w:tr>
        <w:trPr>
          <w:trHeight w:val="228"/>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interest expense, net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EBIT-adjusted(b)</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$ 11.5-13.5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8" w:lineRule="exact"/>
        <w:rPr>
          <w:sz w:val="20"/>
          <w:szCs w:val="20"/>
          <w:color w:val="auto"/>
        </w:rPr>
      </w:pPr>
    </w:p>
    <w:p>
      <w:pPr>
        <w:ind w:left="340" w:right="640" w:hanging="333"/>
        <w:spacing w:after="0" w:line="245" w:lineRule="auto"/>
        <w:tabs>
          <w:tab w:leader="none" w:pos="331"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 (loss)-adjusted within the MD&amp;A for the details of each individual adjustment.</w:t>
      </w:r>
    </w:p>
    <w:p>
      <w:pPr>
        <w:ind w:left="320" w:hanging="313"/>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do not consider the potential future impact of adjustments on our expected financial results.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reconciles expected EPS-diluted under U.S. GAAP to expected EPS-diluted-adjusted</w:t>
      </w:r>
      <w:r>
        <w:rPr>
          <w:rFonts w:ascii="Arial" w:cs="Arial" w:eastAsia="Arial" w:hAnsi="Arial"/>
          <w:sz w:val="16"/>
          <w:szCs w:val="16"/>
          <w:color w:val="auto"/>
        </w:rPr>
        <w: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60" w:type="dxa"/>
            <w:vAlign w:val="bottom"/>
            <w:tcBorders>
              <w:bottom w:val="single" w:sz="8" w:color="CCEEFF"/>
            </w:tcBorders>
          </w:tcPr>
          <w:p>
            <w:pPr>
              <w:spacing w:after="0"/>
              <w:rPr>
                <w:sz w:val="16"/>
                <w:szCs w:val="16"/>
                <w:color w:val="auto"/>
              </w:rPr>
            </w:pPr>
          </w:p>
        </w:tc>
        <w:tc>
          <w:tcPr>
            <w:tcW w:w="3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Year Ending December 31, 2021</w:t>
            </w:r>
          </w:p>
        </w:tc>
      </w:tr>
      <w:tr>
        <w:trPr>
          <w:trHeight w:val="228"/>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$ 5.52-6.52</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EPS-diluted-adjusted(b)</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$ 5.70-6.70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8" w:lineRule="exact"/>
        <w:rPr>
          <w:sz w:val="20"/>
          <w:szCs w:val="20"/>
          <w:color w:val="auto"/>
        </w:rPr>
      </w:pPr>
    </w:p>
    <w:p>
      <w:pPr>
        <w:ind w:left="340" w:right="200" w:hanging="333"/>
        <w:spacing w:after="0" w:line="245" w:lineRule="auto"/>
        <w:tabs>
          <w:tab w:leader="none" w:pos="331"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Refer to the reconciliation of diluted earnings (loss) per common share under U.S. GAAP to EPS-diluted-adjusted within the MD&amp;A for the details of each individual adjustment.</w:t>
      </w:r>
    </w:p>
    <w:p>
      <w:pPr>
        <w:ind w:left="320" w:hanging="313"/>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do not consider the potential future impact of adjustments on our expected financial results.</w:t>
      </w:r>
    </w:p>
    <w:p>
      <w:pPr>
        <w:spacing w:after="0" w:line="228"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We also face continuing market, operating and regulatory challenges in several countries across the globe due to, among other factors, weak economic conditions, competitive pressures, our product portfolio offerings, heightened emissions standards, labor disruptions, foreign exchange volatility, rising material prices, evolving trade policy and political uncertainty. Refer to Part I, Item 1A. Risk Factors of our 2020 Form 10-K for a discussion of these challenges.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we continue to assess our performance and the needs of our evolving business, additional restructuring and rationalization actions could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actions could give rise to future asset impairments or other charges, which may have a material impact on our operating results.</w:t>
      </w:r>
    </w:p>
    <w:p>
      <w:pPr>
        <w:spacing w:after="0" w:line="235"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b w:val="1"/>
          <w:bCs w:val="1"/>
          <w:i w:val="1"/>
          <w:iCs w:val="1"/>
          <w:color w:val="auto"/>
        </w:rPr>
        <w:t xml:space="preserve">GMNA </w:t>
      </w:r>
      <w:r>
        <w:rPr>
          <w:rFonts w:ascii="Arial" w:cs="Arial" w:eastAsia="Arial" w:hAnsi="Arial"/>
          <w:sz w:val="18"/>
          <w:szCs w:val="18"/>
          <w:color w:val="auto"/>
        </w:rPr>
        <w:t>Industry sales in North America were 14.4 million units in the nine months ended September 30, 2021, representing an increase of 14.0%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corresponding period in 2020. U.S. industry sales were 12.0 million units in the nine months ended September 30, 2021, representing an increase of 13.4% compared to the corresponding period in 2020.</w:t>
      </w:r>
    </w:p>
    <w:p>
      <w:pPr>
        <w:spacing w:after="0" w:line="209"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Our total vehicle sales in the U.S., our largest market in North America, were 1.8 million units for market share of 14.8% in the nine months ended September 30, 2021, representing a decrease of 2.0 percentage points compared to the corresponding period in 2020.</w:t>
      </w:r>
    </w:p>
    <w:p>
      <w:pPr>
        <w:spacing w:after="0" w:line="19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expect to sustain relatively strong EBIT-adjusted margins in 2021 on the continued strength of favorable vehicle pricing and strong U.S. industry light vehicle demand, partially offset by higher costs associated with commodities, raw materials and logistics. Our outlook is dependent on the economic impact of the COVID-19 pandemic and the global semiconductor supply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shortage, both of which continue to evolve. As a result of the semiconductor supply shortage, we have experienced interruptions to our planned production schedules and temporarily suspended certain manufacturing sites to prioritize production of our most popular and in-demand products, including our full-size trucks and full-size SUVs. Additionally, we have been manufacturing vehicles, without the impacted components, representing an inventory carrying value of approximately $2.9 billion at September 30, 2021. We expect to hold these vehicles in our inventory until they are completed and sold to our dealers.</w:t>
      </w:r>
    </w:p>
    <w:p>
      <w:pPr>
        <w:spacing w:after="0" w:line="217"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b w:val="1"/>
          <w:bCs w:val="1"/>
          <w:i w:val="1"/>
          <w:iCs w:val="1"/>
          <w:color w:val="auto"/>
        </w:rPr>
        <w:t xml:space="preserve">GMI </w:t>
      </w:r>
      <w:r>
        <w:rPr>
          <w:rFonts w:ascii="Arial" w:cs="Arial" w:eastAsia="Arial" w:hAnsi="Arial"/>
          <w:sz w:val="17"/>
          <w:szCs w:val="17"/>
          <w:color w:val="auto"/>
        </w:rPr>
        <w:t>Industry sales in China were 19.2 million units in the nine months ended September 30, 2021, representing an increase of 12.4% compared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corresponding period in 2020, which was adversely impacted by the COVID-19 pandemic. Our total vehicle sales in China were 2.2 million units for market share of 11.2% in the nine months ended September 30, 2021, representing a decrease of 0.2 percentage points compared to the corresponding period in 2020. The ongoing global semiconductor supply shortage, macro-economic impact of COVID-19 and geopolitical tensions may place pressure on China's automotive industry and our vehicle sales in China. Our Automotive China JVs generated equity income of $0.9 billion in the nine months ended September 30, 2021. Although price competition, higher costs associated with commodities and raw materials and a more challenging regulatory environment related to emissions, fuel consumption and new energy vehicles will place pressure on our operations in China, we will continue to build upon our strong brands, network, and partnerships in China as well as drive improvements in vehicle mix and cost.</w:t>
      </w:r>
    </w:p>
    <w:p>
      <w:pPr>
        <w:spacing w:after="0" w:line="209"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Outside of China, industry sales were 17.4 million units in the nine months ended September 30, 2021, representing an increase of 17.4% compared to the corresponding period in 2020. Our total vehicle sales outside of China were 0.6 million units for a market share of 3.4% in the nine months ended September 30, 2021, representing a decrease of 1.4 percentage points compared to the corresponding period in 2020.</w:t>
      </w:r>
    </w:p>
    <w:p>
      <w:pPr>
        <w:spacing w:after="0" w:line="193"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b w:val="1"/>
          <w:bCs w:val="1"/>
          <w:i w:val="1"/>
          <w:iCs w:val="1"/>
          <w:color w:val="auto"/>
        </w:rPr>
        <w:t xml:space="preserve">Cruise </w:t>
      </w:r>
      <w:r>
        <w:rPr>
          <w:rFonts w:ascii="Arial" w:cs="Arial" w:eastAsia="Arial" w:hAnsi="Arial"/>
          <w:sz w:val="18"/>
          <w:szCs w:val="18"/>
          <w:color w:val="auto"/>
        </w:rPr>
        <w:t>Cruise is actively testing autonomous vehicles in the United States. Gated by safety and regulation, Cruise continues to make significant progress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towards commercialization of a network of on-demand autonomous vehicles in the United States and globally.</w:t>
      </w:r>
    </w:p>
    <w:p>
      <w:pPr>
        <w:spacing w:after="0" w:line="19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In the nine months ended September 30, 2021, Cruise Holdings issued Cruise Class G Preferred Shares in exchange for $2.7 billion from Microsoft, Walmart and other investors, including $1.0 billion from General Motors Holdings LLC. All proceeds related to the Cruise Class G Preferred Shares are designated exclusively for working capital and general corporate purposes of Cruise Holdings. In addition, Cruise Holdings and Microsoft entered into a long-term strategic relationship to accelerate the commercialization of self-driving vehicles. Refer to Note 16 to our condensed consolidated financial statements for further details.</w:t>
      </w:r>
    </w:p>
    <w:p>
      <w:pPr>
        <w:spacing w:after="0" w:line="217"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b w:val="1"/>
          <w:bCs w:val="1"/>
          <w:i w:val="1"/>
          <w:iCs w:val="1"/>
          <w:color w:val="auto"/>
        </w:rPr>
        <w:t xml:space="preserve">Vehicle Sales </w:t>
      </w:r>
      <w:r>
        <w:rPr>
          <w:rFonts w:ascii="Arial" w:cs="Arial" w:eastAsia="Arial" w:hAnsi="Arial"/>
          <w:sz w:val="16"/>
          <w:szCs w:val="16"/>
          <w:color w:val="auto"/>
        </w:rPr>
        <w:t>The principal factors that determine consumer vehicle preferences in the markets in which we operate include overall vehicle design,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available options, safety, reliability, fuel economy and functionality. Market leadership in individual countries in which we compete varies widely.</w:t>
      </w:r>
    </w:p>
    <w:p>
      <w:pPr>
        <w:spacing w:after="0" w:line="15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We present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nine months ended September 30, 2021, 29.1% of our wholesale vehicle sales volume was generated outside the U.S. The following table summarizes wholesale vehicle sales by automotive segment (vehicles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Nine Months Ended</w:t>
            </w:r>
          </w:p>
        </w:tc>
        <w:tc>
          <w:tcPr>
            <w:tcW w:w="1180" w:type="dxa"/>
            <w:vAlign w:val="bottom"/>
            <w:tcBorders>
              <w:bottom w:val="single" w:sz="8" w:color="auto"/>
            </w:tcBorders>
          </w:tcPr>
          <w:p>
            <w:pPr>
              <w:spacing w:after="0"/>
              <w:rPr>
                <w:sz w:val="16"/>
                <w:szCs w:val="16"/>
                <w:color w:val="auto"/>
              </w:rPr>
            </w:pPr>
          </w:p>
        </w:tc>
      </w:tr>
      <w:tr>
        <w:trPr>
          <w:trHeight w:val="186"/>
        </w:trPr>
        <w:tc>
          <w:tcPr>
            <w:tcW w:w="1640" w:type="dxa"/>
            <w:vAlign w:val="bottom"/>
          </w:tcPr>
          <w:p>
            <w:pPr>
              <w:spacing w:after="0"/>
              <w:rPr>
                <w:sz w:val="16"/>
                <w:szCs w:val="16"/>
                <w:color w:val="auto"/>
              </w:rPr>
            </w:pPr>
          </w:p>
        </w:tc>
        <w:tc>
          <w:tcPr>
            <w:tcW w:w="2380" w:type="dxa"/>
            <w:vAlign w:val="bottom"/>
            <w:gridSpan w:val="4"/>
          </w:tcPr>
          <w:p>
            <w:pPr>
              <w:ind w:left="540"/>
              <w:spacing w:after="0"/>
              <w:rPr>
                <w:sz w:val="20"/>
                <w:szCs w:val="20"/>
                <w:color w:val="auto"/>
              </w:rPr>
            </w:pPr>
            <w:r>
              <w:rPr>
                <w:rFonts w:ascii="Arial" w:cs="Arial" w:eastAsia="Arial" w:hAnsi="Arial"/>
                <w:sz w:val="14"/>
                <w:szCs w:val="14"/>
                <w:b w:val="1"/>
                <w:bCs w:val="1"/>
                <w:color w:val="auto"/>
              </w:rPr>
              <w:t>September 30, 2021</w:t>
            </w:r>
          </w:p>
        </w:tc>
        <w:tc>
          <w:tcPr>
            <w:tcW w:w="228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6"/>
                <w:szCs w:val="16"/>
                <w:color w:val="auto"/>
              </w:rPr>
            </w:pPr>
          </w:p>
        </w:tc>
        <w:tc>
          <w:tcPr>
            <w:tcW w:w="2400" w:type="dxa"/>
            <w:vAlign w:val="bottom"/>
            <w:gridSpan w:val="4"/>
          </w:tcPr>
          <w:p>
            <w:pPr>
              <w:ind w:left="560"/>
              <w:spacing w:after="0"/>
              <w:rPr>
                <w:sz w:val="20"/>
                <w:szCs w:val="20"/>
                <w:color w:val="auto"/>
              </w:rPr>
            </w:pPr>
            <w:r>
              <w:rPr>
                <w:rFonts w:ascii="Arial" w:cs="Arial" w:eastAsia="Arial" w:hAnsi="Arial"/>
                <w:sz w:val="14"/>
                <w:szCs w:val="14"/>
                <w:b w:val="1"/>
                <w:bCs w:val="1"/>
                <w:color w:val="auto"/>
              </w:rPr>
              <w:t>September 30, 2021</w:t>
            </w:r>
          </w:p>
        </w:tc>
        <w:tc>
          <w:tcPr>
            <w:tcW w:w="232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September 30, 2020</w:t>
            </w:r>
          </w:p>
        </w:tc>
      </w:tr>
      <w:tr>
        <w:trPr>
          <w:trHeight w:val="223"/>
        </w:trPr>
        <w:tc>
          <w:tcPr>
            <w:tcW w:w="1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79.0 %</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81.0 %</w:t>
            </w:r>
          </w:p>
        </w:tc>
      </w:tr>
      <w:tr>
        <w:trPr>
          <w:trHeight w:val="228"/>
        </w:trPr>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GMI</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17.3 %</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18.3 %</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19.0 %</w:t>
            </w:r>
          </w:p>
        </w:tc>
      </w:tr>
      <w:tr>
        <w:trPr>
          <w:trHeight w:val="247"/>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161"/>
        <w:spacing w:after="0" w:line="272" w:lineRule="auto"/>
        <w:rPr>
          <w:sz w:val="20"/>
          <w:szCs w:val="20"/>
          <w:color w:val="auto"/>
        </w:rPr>
      </w:pPr>
      <w:r>
        <w:rPr>
          <w:rFonts w:ascii="Arial" w:cs="Arial" w:eastAsia="Arial" w:hAnsi="Arial"/>
          <w:sz w:val="17"/>
          <w:szCs w:val="17"/>
          <w:color w:val="auto"/>
        </w:rPr>
        <w:t>Total vehicle sales data represents: (1) retail sales (i.e., sales to consumers who purchase new vehicles from dealers or distributors); (2) fleet sales (i.e.,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summarizes industry and GM total vehicle sales and our related competitive position by geographic region (vehicles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7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2400" w:type="dxa"/>
            <w:vAlign w:val="bottom"/>
            <w:gridSpan w:val="6"/>
          </w:tcPr>
          <w:p>
            <w:pPr>
              <w:ind w:left="560"/>
              <w:spacing w:after="0"/>
              <w:rPr>
                <w:sz w:val="20"/>
                <w:szCs w:val="20"/>
                <w:color w:val="auto"/>
              </w:rPr>
            </w:pPr>
            <w:r>
              <w:rPr>
                <w:rFonts w:ascii="Arial" w:cs="Arial" w:eastAsia="Arial" w:hAnsi="Arial"/>
                <w:sz w:val="14"/>
                <w:szCs w:val="14"/>
                <w:b w:val="1"/>
                <w:bCs w:val="1"/>
                <w:color w:val="auto"/>
              </w:rPr>
              <w:t>September 30, 2021</w:t>
            </w:r>
          </w:p>
        </w:tc>
        <w:tc>
          <w:tcPr>
            <w:tcW w:w="2400" w:type="dxa"/>
            <w:vAlign w:val="bottom"/>
            <w:gridSpan w:val="6"/>
          </w:tcPr>
          <w:p>
            <w:pPr>
              <w:ind w:left="540"/>
              <w:spacing w:after="0"/>
              <w:rPr>
                <w:sz w:val="20"/>
                <w:szCs w:val="20"/>
                <w:color w:val="auto"/>
              </w:rPr>
            </w:pPr>
            <w:r>
              <w:rPr>
                <w:rFonts w:ascii="Arial" w:cs="Arial" w:eastAsia="Arial" w:hAnsi="Arial"/>
                <w:sz w:val="14"/>
                <w:szCs w:val="14"/>
                <w:b w:val="1"/>
                <w:bCs w:val="1"/>
                <w:color w:val="auto"/>
              </w:rPr>
              <w:t>September 30, 2020</w:t>
            </w:r>
          </w:p>
        </w:tc>
        <w:tc>
          <w:tcPr>
            <w:tcW w:w="2400" w:type="dxa"/>
            <w:vAlign w:val="bottom"/>
            <w:gridSpan w:val="6"/>
          </w:tcPr>
          <w:p>
            <w:pPr>
              <w:ind w:left="560"/>
              <w:spacing w:after="0"/>
              <w:rPr>
                <w:sz w:val="20"/>
                <w:szCs w:val="20"/>
                <w:color w:val="auto"/>
              </w:rPr>
            </w:pPr>
            <w:r>
              <w:rPr>
                <w:rFonts w:ascii="Arial" w:cs="Arial" w:eastAsia="Arial" w:hAnsi="Arial"/>
                <w:sz w:val="14"/>
                <w:szCs w:val="14"/>
                <w:b w:val="1"/>
                <w:bCs w:val="1"/>
                <w:color w:val="auto"/>
              </w:rPr>
              <w:t>September 30, 2021</w:t>
            </w:r>
          </w:p>
        </w:tc>
        <w:tc>
          <w:tcPr>
            <w:tcW w:w="2320" w:type="dxa"/>
            <w:vAlign w:val="bottom"/>
            <w:gridSpan w:val="5"/>
          </w:tcPr>
          <w:p>
            <w:pPr>
              <w:jc w:val="right"/>
              <w:ind w:right="488"/>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34"/>
        </w:trPr>
        <w:tc>
          <w:tcPr>
            <w:tcW w:w="1720" w:type="dxa"/>
            <w:vAlign w:val="bottom"/>
          </w:tcPr>
          <w:p>
            <w:pPr>
              <w:spacing w:after="0"/>
              <w:rPr>
                <w:sz w:val="11"/>
                <w:szCs w:val="11"/>
                <w:color w:val="auto"/>
              </w:rPr>
            </w:pPr>
          </w:p>
        </w:tc>
        <w:tc>
          <w:tcPr>
            <w:tcW w:w="86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08"/>
              <w:spacing w:after="0" w:line="134"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1"/>
                <w:szCs w:val="11"/>
                <w:color w:val="auto"/>
              </w:rPr>
            </w:pPr>
          </w:p>
        </w:tc>
        <w:tc>
          <w:tcPr>
            <w:tcW w:w="8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2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1"/>
                <w:szCs w:val="11"/>
                <w:color w:val="auto"/>
              </w:rPr>
            </w:pPr>
          </w:p>
        </w:tc>
        <w:tc>
          <w:tcPr>
            <w:tcW w:w="8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2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1"/>
                <w:szCs w:val="11"/>
                <w:color w:val="auto"/>
              </w:rPr>
            </w:pPr>
          </w:p>
        </w:tc>
        <w:tc>
          <w:tcPr>
            <w:tcW w:w="8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2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08"/>
              <w:spacing w:after="0" w:line="134"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w:t>
            </w:r>
          </w:p>
        </w:tc>
        <w:tc>
          <w:tcPr>
            <w:tcW w:w="88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68"/>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North America</w:t>
            </w: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12.8 %</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4,005</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12,027</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14.8 %</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10,603</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16.8 %</w:t>
            </w:r>
          </w:p>
        </w:tc>
        <w:tc>
          <w:tcPr>
            <w:tcW w:w="0" w:type="dxa"/>
            <w:vAlign w:val="bottom"/>
          </w:tcPr>
          <w:p>
            <w:pPr>
              <w:spacing w:after="0"/>
              <w:rPr>
                <w:sz w:val="1"/>
                <w:szCs w:val="1"/>
                <w:color w:val="auto"/>
              </w:rPr>
            </w:pPr>
          </w:p>
        </w:tc>
      </w:tr>
      <w:tr>
        <w:trPr>
          <w:trHeight w:val="185"/>
        </w:trPr>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9.6 %</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12.3 %</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2,365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12.0 %</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13.5 %</w:t>
            </w:r>
          </w:p>
        </w:tc>
        <w:tc>
          <w:tcPr>
            <w:tcW w:w="0" w:type="dxa"/>
            <w:vAlign w:val="bottom"/>
          </w:tcPr>
          <w:p>
            <w:pPr>
              <w:spacing w:after="0"/>
              <w:rPr>
                <w:sz w:val="1"/>
                <w:szCs w:val="1"/>
                <w:color w:val="auto"/>
              </w:rPr>
            </w:pPr>
          </w:p>
        </w:tc>
      </w:tr>
      <w:tr>
        <w:trPr>
          <w:trHeight w:val="185"/>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North America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4,273</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12.2 %</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4,816</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14,392</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14.3 %</w:t>
            </w: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12,624</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0" w:type="dxa"/>
            <w:vAlign w:val="bottom"/>
          </w:tcPr>
          <w:p>
            <w:pPr>
              <w:spacing w:after="0"/>
              <w:rPr>
                <w:sz w:val="1"/>
                <w:szCs w:val="1"/>
                <w:color w:val="auto"/>
              </w:rPr>
            </w:pPr>
          </w:p>
        </w:tc>
      </w:tr>
      <w:tr>
        <w:trPr>
          <w:trHeight w:val="114"/>
        </w:trPr>
        <w:tc>
          <w:tcPr>
            <w:tcW w:w="1720" w:type="dxa"/>
            <w:vAlign w:val="bottom"/>
          </w:tcPr>
          <w:p>
            <w:pPr>
              <w:ind w:left="20"/>
              <w:spacing w:after="0" w:line="114" w:lineRule="exact"/>
              <w:rPr>
                <w:sz w:val="20"/>
                <w:szCs w:val="20"/>
                <w:color w:val="auto"/>
              </w:rPr>
            </w:pPr>
            <w:r>
              <w:rPr>
                <w:rFonts w:ascii="Arial" w:cs="Arial" w:eastAsia="Arial" w:hAnsi="Arial"/>
                <w:sz w:val="13"/>
                <w:szCs w:val="13"/>
                <w:b w:val="1"/>
                <w:bCs w:val="1"/>
                <w:color w:val="auto"/>
              </w:rPr>
              <w:t>Asia/Pacific, Middle East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80"/>
              <w:spacing w:after="0"/>
              <w:rPr>
                <w:sz w:val="20"/>
                <w:szCs w:val="20"/>
                <w:color w:val="auto"/>
              </w:rPr>
            </w:pPr>
            <w:r>
              <w:rPr>
                <w:rFonts w:ascii="Arial" w:cs="Arial" w:eastAsia="Arial" w:hAnsi="Arial"/>
                <w:sz w:val="14"/>
                <w:szCs w:val="14"/>
                <w:b w:val="1"/>
                <w:bCs w:val="1"/>
                <w:color w:val="auto"/>
              </w:rPr>
              <w:t>and Africa</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China(a)</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5,789</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10.8 %</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19,154</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11.2 %</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17,047</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11.4 %</w:t>
            </w:r>
          </w:p>
        </w:tc>
        <w:tc>
          <w:tcPr>
            <w:tcW w:w="0" w:type="dxa"/>
            <w:vAlign w:val="bottom"/>
          </w:tcPr>
          <w:p>
            <w:pPr>
              <w:spacing w:after="0"/>
              <w:rPr>
                <w:sz w:val="1"/>
                <w:szCs w:val="1"/>
                <w:color w:val="auto"/>
              </w:rPr>
            </w:pPr>
          </w:p>
        </w:tc>
      </w:tr>
      <w:tr>
        <w:trPr>
          <w:trHeight w:val="185"/>
        </w:trPr>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4,637</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4,761</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14,733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118"/>
        </w:trPr>
        <w:tc>
          <w:tcPr>
            <w:tcW w:w="172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Total Asia/Pacific, Middle</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10,426</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719</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6.9 %</w:t>
            </w: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11,471</w:t>
            </w: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33,887</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2,474</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29,760</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2,350</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0" w:type="dxa"/>
            <w:vAlign w:val="bottom"/>
          </w:tcPr>
          <w:p>
            <w:pPr>
              <w:spacing w:after="0"/>
              <w:rPr>
                <w:sz w:val="1"/>
                <w:szCs w:val="1"/>
                <w:color w:val="auto"/>
              </w:rPr>
            </w:pPr>
          </w:p>
        </w:tc>
      </w:tr>
      <w:tr>
        <w:trPr>
          <w:trHeight w:val="193"/>
        </w:trPr>
        <w:tc>
          <w:tcPr>
            <w:tcW w:w="1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East and Africa</w:t>
            </w: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South America</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15.6 %</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1,577</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10.2 %</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0" w:type="dxa"/>
            <w:vAlign w:val="bottom"/>
          </w:tcPr>
          <w:p>
            <w:pPr>
              <w:spacing w:after="0"/>
              <w:rPr>
                <w:sz w:val="1"/>
                <w:szCs w:val="1"/>
                <w:color w:val="auto"/>
              </w:rPr>
            </w:pPr>
          </w:p>
        </w:tc>
      </w:tr>
      <w:tr>
        <w:trPr>
          <w:trHeight w:val="185"/>
        </w:trPr>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8.6 %</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11.6 %</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10.4 %</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11.9 %</w:t>
            </w:r>
          </w:p>
        </w:tc>
        <w:tc>
          <w:tcPr>
            <w:tcW w:w="0" w:type="dxa"/>
            <w:vAlign w:val="bottom"/>
          </w:tcPr>
          <w:p>
            <w:pPr>
              <w:spacing w:after="0"/>
              <w:rPr>
                <w:sz w:val="1"/>
                <w:szCs w:val="1"/>
                <w:color w:val="auto"/>
              </w:rPr>
            </w:pPr>
          </w:p>
        </w:tc>
      </w:tr>
      <w:tr>
        <w:trPr>
          <w:trHeight w:val="185"/>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South America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7.8 %</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14.3 %</w:t>
            </w: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2,679</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10.3 %</w:t>
            </w: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14.7 %</w:t>
            </w:r>
          </w:p>
        </w:tc>
        <w:tc>
          <w:tcPr>
            <w:tcW w:w="0" w:type="dxa"/>
            <w:vAlign w:val="bottom"/>
          </w:tcPr>
          <w:p>
            <w:pPr>
              <w:spacing w:after="0"/>
              <w:rPr>
                <w:sz w:val="1"/>
                <w:szCs w:val="1"/>
                <w:color w:val="auto"/>
              </w:rPr>
            </w:pPr>
          </w:p>
        </w:tc>
      </w:tr>
      <w:tr>
        <w:trPr>
          <w:trHeight w:val="178"/>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Total in GM markets</w:t>
            </w:r>
          </w:p>
        </w:tc>
        <w:tc>
          <w:tcPr>
            <w:tcW w:w="760" w:type="dxa"/>
            <w:vAlign w:val="bottom"/>
          </w:tcPr>
          <w:p>
            <w:pPr>
              <w:jc w:val="right"/>
              <w:spacing w:after="0"/>
              <w:rPr>
                <w:sz w:val="20"/>
                <w:szCs w:val="20"/>
                <w:color w:val="auto"/>
              </w:rPr>
            </w:pPr>
            <w:r>
              <w:rPr>
                <w:rFonts w:ascii="Arial" w:cs="Arial" w:eastAsia="Arial" w:hAnsi="Arial"/>
                <w:sz w:val="14"/>
                <w:szCs w:val="14"/>
                <w:color w:val="auto"/>
              </w:rPr>
              <w:t>15,597</w:t>
            </w:r>
          </w:p>
        </w:tc>
        <w:tc>
          <w:tcPr>
            <w:tcW w:w="10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1,311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8.4 %</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17,145</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1,790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10.4 %</w:t>
            </w:r>
          </w:p>
        </w:tc>
        <w:tc>
          <w:tcPr>
            <w:tcW w:w="10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50,958</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4,812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9.4 %</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44,501</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4,710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10.6 %</w:t>
            </w:r>
          </w:p>
        </w:tc>
        <w:tc>
          <w:tcPr>
            <w:tcW w:w="0" w:type="dxa"/>
            <w:vAlign w:val="bottom"/>
          </w:tcPr>
          <w:p>
            <w:pPr>
              <w:spacing w:after="0"/>
              <w:rPr>
                <w:sz w:val="1"/>
                <w:szCs w:val="1"/>
                <w:color w:val="auto"/>
              </w:rPr>
            </w:pPr>
          </w:p>
        </w:tc>
      </w:tr>
      <w:tr>
        <w:trPr>
          <w:trHeight w:val="191"/>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Europe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3,748</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4,317</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11,969</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10,624</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2"/>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Total Worldwide(b)</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19,345</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21,462</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8.3 %</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62,927</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7.6 %</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55,125</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8.5 %</w:t>
            </w: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7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United States</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720" w:type="dxa"/>
            <w:vAlign w:val="bottom"/>
          </w:tcPr>
          <w:p>
            <w:pPr>
              <w:ind w:left="20"/>
              <w:spacing w:after="0"/>
              <w:rPr>
                <w:sz w:val="20"/>
                <w:szCs w:val="20"/>
                <w:color w:val="auto"/>
              </w:rPr>
            </w:pPr>
            <w:r>
              <w:rPr>
                <w:rFonts w:ascii="Arial" w:cs="Arial" w:eastAsia="Arial" w:hAnsi="Arial"/>
                <w:sz w:val="14"/>
                <w:szCs w:val="14"/>
                <w:color w:val="auto"/>
              </w:rPr>
              <w:t>Cars</w:t>
            </w:r>
          </w:p>
        </w:tc>
        <w:tc>
          <w:tcPr>
            <w:tcW w:w="760" w:type="dxa"/>
            <w:vAlign w:val="bottom"/>
          </w:tcPr>
          <w:p>
            <w:pPr>
              <w:jc w:val="right"/>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879</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7.0 %</w:t>
            </w:r>
          </w:p>
        </w:tc>
        <w:tc>
          <w:tcPr>
            <w:tcW w:w="1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2,632</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4.2 %</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2,431</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r>
        <w:trPr>
          <w:trHeight w:val="191"/>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Trucks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28.7 %</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29.8 %</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3,123</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29.8 %</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2,864</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30.2 %</w:t>
            </w:r>
          </w:p>
        </w:tc>
        <w:tc>
          <w:tcPr>
            <w:tcW w:w="0" w:type="dxa"/>
            <w:vAlign w:val="bottom"/>
          </w:tcPr>
          <w:p>
            <w:pPr>
              <w:spacing w:after="0"/>
              <w:rPr>
                <w:sz w:val="1"/>
                <w:szCs w:val="1"/>
                <w:color w:val="auto"/>
              </w:rPr>
            </w:pPr>
          </w:p>
        </w:tc>
      </w:tr>
      <w:tr>
        <w:trPr>
          <w:trHeight w:val="185"/>
        </w:trPr>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Crossovers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1,818</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8.8 %</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2,053</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13.8 %</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6,272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11.7 %</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5,308</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14.0 %</w:t>
            </w:r>
          </w:p>
        </w:tc>
        <w:tc>
          <w:tcPr>
            <w:tcW w:w="0" w:type="dxa"/>
            <w:vAlign w:val="bottom"/>
          </w:tcPr>
          <w:p>
            <w:pPr>
              <w:spacing w:after="0"/>
              <w:rPr>
                <w:sz w:val="1"/>
                <w:szCs w:val="1"/>
                <w:color w:val="auto"/>
              </w:rPr>
            </w:pPr>
          </w:p>
        </w:tc>
      </w:tr>
      <w:tr>
        <w:trPr>
          <w:trHeight w:val="21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United States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3,491</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447</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12.8 %</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4,005</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12,027</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1,777</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14.8 %</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10,603</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1,776</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16.8 %</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China(a)</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7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SGMS</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SGMW</w:t>
            </w: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349</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1,180</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China</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5,789</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624</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10.8 %</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6,710</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19,154</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2,154</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11.2 %</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17,047</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1,947</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11.4 %</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20" w:hanging="313"/>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sales by the Automotive China JVs: SAIC General Motors Sales Co., Ltd. (SGMS) and SAIC GM Wuling Automobile Co., Ltd. (SGMW).</w:t>
      </w:r>
    </w:p>
    <w:p>
      <w:pPr>
        <w:spacing w:after="0" w:line="4" w:lineRule="exact"/>
        <w:rPr>
          <w:rFonts w:ascii="Arial" w:cs="Arial" w:eastAsia="Arial" w:hAnsi="Arial"/>
          <w:sz w:val="16"/>
          <w:szCs w:val="16"/>
          <w:color w:val="auto"/>
        </w:rPr>
      </w:pPr>
    </w:p>
    <w:p>
      <w:pPr>
        <w:ind w:left="340" w:hanging="333"/>
        <w:spacing w:after="0" w:line="255"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Cuba, Iran, North Korea, Sudan and Syria are subject to broad economic sanctions. Accordingly, these countries are excluded from industry sales data and corresponding calculation of market share.</w:t>
      </w:r>
    </w:p>
    <w:p>
      <w:pPr>
        <w:spacing w:after="0" w:line="20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20" w:type="dxa"/>
            <w:vAlign w:val="bottom"/>
          </w:tcPr>
          <w:p>
            <w:pPr>
              <w:spacing w:after="0"/>
              <w:rPr>
                <w:sz w:val="16"/>
                <w:szCs w:val="16"/>
                <w:color w:val="auto"/>
              </w:rPr>
            </w:pPr>
          </w:p>
        </w:tc>
        <w:tc>
          <w:tcPr>
            <w:tcW w:w="3240" w:type="dxa"/>
            <w:vAlign w:val="bottom"/>
            <w:gridSpan w:val="4"/>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3180" w:type="dxa"/>
            <w:vAlign w:val="bottom"/>
            <w:gridSpan w:val="3"/>
          </w:tcPr>
          <w:p>
            <w:pPr>
              <w:jc w:val="right"/>
              <w:ind w:right="894"/>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4820" w:type="dxa"/>
            <w:vAlign w:val="bottom"/>
          </w:tcPr>
          <w:p>
            <w:pPr>
              <w:spacing w:after="0"/>
              <w:rPr>
                <w:sz w:val="16"/>
                <w:szCs w:val="16"/>
                <w:color w:val="auto"/>
              </w:rPr>
            </w:pPr>
          </w:p>
        </w:tc>
        <w:tc>
          <w:tcPr>
            <w:tcW w:w="16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September 30, 2021</w:t>
            </w:r>
          </w:p>
        </w:tc>
        <w:tc>
          <w:tcPr>
            <w:tcW w:w="1520" w:type="dxa"/>
            <w:vAlign w:val="bottom"/>
            <w:tcBorders>
              <w:top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6"/>
                <w:szCs w:val="16"/>
                <w:color w:val="auto"/>
              </w:rPr>
            </w:pPr>
          </w:p>
        </w:tc>
        <w:tc>
          <w:tcPr>
            <w:tcW w:w="16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September 30, 2021</w:t>
            </w:r>
          </w:p>
        </w:tc>
        <w:tc>
          <w:tcPr>
            <w:tcW w:w="1540" w:type="dxa"/>
            <w:vAlign w:val="bottom"/>
            <w:tcBorders>
              <w:top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September 30, 2020</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15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363</w:t>
            </w:r>
          </w:p>
        </w:tc>
      </w:tr>
      <w:tr>
        <w:trPr>
          <w:trHeight w:val="228"/>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GMI</w:t>
            </w:r>
          </w:p>
        </w:tc>
        <w:tc>
          <w:tcPr>
            <w:tcW w:w="15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219</w:t>
            </w:r>
          </w:p>
        </w:tc>
      </w:tr>
      <w:tr>
        <w:trPr>
          <w:trHeight w:val="24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fleet sales</w:t>
            </w:r>
          </w:p>
        </w:tc>
        <w:tc>
          <w:tcPr>
            <w:tcW w:w="15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582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Fleet sales as a percentage of total vehicle sales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r>
      <w:tr>
        <w:trPr>
          <w:trHeight w:val="659"/>
        </w:trPr>
        <w:tc>
          <w:tcPr>
            <w:tcW w:w="4820" w:type="dxa"/>
            <w:vAlign w:val="bottom"/>
          </w:tcPr>
          <w:p>
            <w:pPr>
              <w:spacing w:after="0"/>
              <w:rPr>
                <w:sz w:val="24"/>
                <w:szCs w:val="24"/>
                <w:color w:val="auto"/>
              </w:rPr>
            </w:pPr>
          </w:p>
        </w:tc>
        <w:tc>
          <w:tcPr>
            <w:tcW w:w="1520" w:type="dxa"/>
            <w:vAlign w:val="bottom"/>
          </w:tcPr>
          <w:p>
            <w:pPr>
              <w:jc w:val="right"/>
              <w:ind w:right="536"/>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56"/>
        </w:trPr>
        <w:tc>
          <w:tcPr>
            <w:tcW w:w="48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68" w:lineRule="auto"/>
        <w:rPr>
          <w:sz w:val="20"/>
          <w:szCs w:val="20"/>
          <w:color w:val="auto"/>
        </w:rPr>
      </w:pPr>
      <w:r>
        <w:rPr>
          <w:rFonts w:ascii="Arial" w:cs="Arial" w:eastAsia="Arial" w:hAnsi="Arial"/>
          <w:sz w:val="17"/>
          <w:szCs w:val="17"/>
          <w:b w:val="1"/>
          <w:bCs w:val="1"/>
          <w:i w:val="1"/>
          <w:iCs w:val="1"/>
          <w:color w:val="auto"/>
        </w:rPr>
        <w:t xml:space="preserve">GM Financial </w:t>
      </w:r>
      <w:r>
        <w:rPr>
          <w:rFonts w:ascii="Arial" w:cs="Arial" w:eastAsia="Arial" w:hAnsi="Arial"/>
          <w:sz w:val="17"/>
          <w:szCs w:val="17"/>
          <w:color w:val="auto"/>
        </w:rPr>
        <w:t>We believe that offering a comprehensive suite of financing products will generate incremental sales of our vehicles, drive incremental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GM Financial earnings and help support our sales throughout various economic cycles. GM Financial's leasing program is exposed to residual values, which are heavily dependent on used vehicle prices. Due to high used vehicle prices for the three and nine months ended September 30, 2021 compared to the same periods in 2020, prices on leased vehicles at termination generally exceeded their contractual residual values, which resulted in increased lessee or grounding dealer purchases of the leased vehicles upon lease termination. The high used vehicle prices were predominately driven by continued low new vehicle inventory, with reduced new vehicle incentive levels. For the full year 2021, GM Financial expects used vehicle prices to be higher than 2020 levels, primarily due to sustained low new vehicle inventory, with reduced new vehicle incentive levels. The increase in used vehicle prices resulted in gains on terminations of leased vehicles of $0.4 billion and $1.6 billion in GM Financial interest, operating and other expenses for the three and nine months ended September 30, 2021, and $0.7 billion and $0.9 billion in the corresponding periods in 2020. The following table summarizes the estimated residual value based on GM Financial's most recent estimates and the number of units included in GM Financial Equipment on operating leases, net by vehicle type (units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9"/>
              </w:rPr>
              <w:t>September 30, 2021</w:t>
            </w: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9"/>
              </w:rPr>
              <w:t>December 31, 2020</w:t>
            </w:r>
          </w:p>
        </w:tc>
        <w:tc>
          <w:tcPr>
            <w:tcW w:w="1520" w:type="dxa"/>
            <w:vAlign w:val="bottom"/>
            <w:tcBorders>
              <w:bottom w:val="single" w:sz="8" w:color="auto"/>
            </w:tcBorders>
          </w:tcPr>
          <w:p>
            <w:pPr>
              <w:spacing w:after="0"/>
              <w:rPr>
                <w:sz w:val="16"/>
                <w:szCs w:val="16"/>
                <w:color w:val="auto"/>
              </w:rPr>
            </w:pPr>
          </w:p>
        </w:tc>
      </w:tr>
      <w:tr>
        <w:trPr>
          <w:trHeight w:val="186"/>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Residual Value</w:t>
            </w:r>
          </w:p>
        </w:tc>
        <w:tc>
          <w:tcPr>
            <w:tcW w:w="1480" w:type="dxa"/>
            <w:vAlign w:val="bottom"/>
            <w:gridSpan w:val="2"/>
          </w:tcPr>
          <w:p>
            <w:pPr>
              <w:ind w:left="520"/>
              <w:spacing w:after="0"/>
              <w:rPr>
                <w:sz w:val="20"/>
                <w:szCs w:val="20"/>
                <w:color w:val="auto"/>
              </w:rPr>
            </w:pPr>
            <w:r>
              <w:rPr>
                <w:rFonts w:ascii="Arial" w:cs="Arial" w:eastAsia="Arial" w:hAnsi="Arial"/>
                <w:sz w:val="14"/>
                <w:szCs w:val="14"/>
                <w:b w:val="1"/>
                <w:bCs w:val="1"/>
                <w:color w:val="auto"/>
              </w:rPr>
              <w:t>Units</w:t>
            </w:r>
          </w:p>
        </w:tc>
        <w:tc>
          <w:tcPr>
            <w:tcW w:w="1520" w:type="dxa"/>
            <w:vAlign w:val="bottom"/>
          </w:tcPr>
          <w:p>
            <w:pPr>
              <w:jc w:val="right"/>
              <w:ind w:right="353"/>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Residual Value</w:t>
            </w:r>
          </w:p>
        </w:tc>
        <w:tc>
          <w:tcPr>
            <w:tcW w:w="1460" w:type="dxa"/>
            <w:vAlign w:val="bottom"/>
            <w:gridSpan w:val="2"/>
          </w:tcPr>
          <w:p>
            <w:pPr>
              <w:ind w:left="520"/>
              <w:spacing w:after="0"/>
              <w:rPr>
                <w:sz w:val="20"/>
                <w:szCs w:val="20"/>
                <w:color w:val="auto"/>
              </w:rPr>
            </w:pPr>
            <w:r>
              <w:rPr>
                <w:rFonts w:ascii="Arial" w:cs="Arial" w:eastAsia="Arial" w:hAnsi="Arial"/>
                <w:sz w:val="14"/>
                <w:szCs w:val="14"/>
                <w:b w:val="1"/>
                <w:bCs w:val="1"/>
                <w:color w:val="auto"/>
              </w:rPr>
              <w:t>Units</w:t>
            </w:r>
          </w:p>
        </w:tc>
        <w:tc>
          <w:tcPr>
            <w:tcW w:w="1520" w:type="dxa"/>
            <w:vAlign w:val="bottom"/>
          </w:tcPr>
          <w:p>
            <w:pPr>
              <w:jc w:val="right"/>
              <w:ind w:right="333"/>
              <w:spacing w:after="0"/>
              <w:rPr>
                <w:sz w:val="20"/>
                <w:szCs w:val="20"/>
                <w:color w:val="auto"/>
              </w:rPr>
            </w:pPr>
            <w:r>
              <w:rPr>
                <w:rFonts w:ascii="Arial" w:cs="Arial" w:eastAsia="Arial" w:hAnsi="Arial"/>
                <w:sz w:val="14"/>
                <w:szCs w:val="14"/>
                <w:b w:val="1"/>
                <w:bCs w:val="1"/>
                <w:color w:val="auto"/>
              </w:rPr>
              <w:t>Percentage</w:t>
            </w:r>
          </w:p>
        </w:tc>
      </w:tr>
      <w:tr>
        <w:trPr>
          <w:trHeight w:val="223"/>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Crossovers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16,829</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16,334</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65.5 %</w:t>
            </w:r>
          </w:p>
        </w:tc>
      </w:tr>
      <w:tr>
        <w:trPr>
          <w:trHeight w:val="228"/>
        </w:trPr>
        <w:tc>
          <w:tcPr>
            <w:tcW w:w="2220" w:type="dxa"/>
            <w:vAlign w:val="bottom"/>
          </w:tcPr>
          <w:p>
            <w:pPr>
              <w:ind w:left="20"/>
              <w:spacing w:after="0"/>
              <w:rPr>
                <w:sz w:val="20"/>
                <w:szCs w:val="20"/>
                <w:color w:val="auto"/>
              </w:rPr>
            </w:pPr>
            <w:r>
              <w:rPr>
                <w:rFonts w:ascii="Arial" w:cs="Arial" w:eastAsia="Arial" w:hAnsi="Arial"/>
                <w:sz w:val="18"/>
                <w:szCs w:val="18"/>
                <w:color w:val="auto"/>
              </w:rPr>
              <w:t>Trucks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7,893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18.7 %</w:t>
            </w:r>
          </w:p>
        </w:tc>
      </w:tr>
      <w:tr>
        <w:trPr>
          <w:trHeight w:val="228"/>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SUVs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8"/>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Cars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9.5 %</w:t>
            </w:r>
          </w:p>
        </w:tc>
      </w:tr>
      <w:tr>
        <w:trPr>
          <w:trHeight w:val="247"/>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92" w:lineRule="auto"/>
        <w:rPr>
          <w:sz w:val="20"/>
          <w:szCs w:val="20"/>
          <w:color w:val="auto"/>
        </w:rPr>
      </w:pPr>
      <w:r>
        <w:rPr>
          <w:rFonts w:ascii="Arial" w:cs="Arial" w:eastAsia="Arial" w:hAnsi="Arial"/>
          <w:sz w:val="16"/>
          <w:szCs w:val="16"/>
          <w:color w:val="auto"/>
        </w:rPr>
        <w:t>GM Financial's penetration of our retail sales in the U.S. was 44% in the nine months ended September 30, 2021 and 46% in the corresponding period in 2020. Penetration levels vary depending on incentive financing programs available and competing third-party financing products in the market. During the nine months ended September 30, 2020, GM Financial's penetration was positively impacted by our incentive program on 84-month, zero-percent loans. GM Financial's prime loan originations as a percentage of total loan originations in North America decreased to 72% in the nine months ended September 30, 2021 from 74% in the nine months ended September 30, 2020. In the nine months ended September 30, 2021, GM Financial's revenue consisted of leased vehicle income of 67%, retail finance charge income of 29% and commercial finance charge income of 2%.</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Consolidated Results </w:t>
      </w:r>
      <w:r>
        <w:rPr>
          <w:rFonts w:ascii="Arial" w:cs="Arial" w:eastAsia="Arial" w:hAnsi="Arial"/>
          <w:sz w:val="17"/>
          <w:szCs w:val="17"/>
          <w:color w:val="auto"/>
        </w:rPr>
        <w:t>We review changes in our results of operations under five categories: volume, mix, price, cost and other. Volume measures the impact</w:t>
      </w:r>
      <w:r>
        <w:rPr>
          <w:rFonts w:ascii="Arial" w:cs="Arial" w:eastAsia="Arial" w:hAnsi="Arial"/>
          <w:sz w:val="17"/>
          <w:szCs w:val="17"/>
          <w:b w:val="1"/>
          <w:bCs w:val="1"/>
          <w:color w:val="auto"/>
        </w:rPr>
        <w:t xml:space="preserve"> </w:t>
      </w:r>
      <w:r>
        <w:rPr>
          <w:rFonts w:ascii="Arial" w:cs="Arial" w:eastAsia="Arial" w:hAnsi="Arial"/>
          <w:sz w:val="17"/>
          <w:szCs w:val="17"/>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right="101"/>
              <w:spacing w:after="0"/>
              <w:rPr>
                <w:sz w:val="20"/>
                <w:szCs w:val="20"/>
                <w:color w:val="auto"/>
              </w:rPr>
            </w:pPr>
            <w:r>
              <w:rPr>
                <w:rFonts w:ascii="Arial" w:cs="Arial" w:eastAsia="Arial" w:hAnsi="Arial"/>
                <w:sz w:val="14"/>
                <w:szCs w:val="14"/>
                <w:b w:val="1"/>
                <w:bCs w:val="1"/>
                <w:color w:val="auto"/>
                <w:w w:val="91"/>
              </w:rPr>
              <w:t>Variance Due To</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5"/>
                <w:szCs w:val="15"/>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5"/>
                <w:szCs w:val="15"/>
                <w:color w:val="auto"/>
              </w:rPr>
            </w:pPr>
          </w:p>
        </w:tc>
        <w:tc>
          <w:tcPr>
            <w:tcW w:w="104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Favorable/</w:t>
            </w:r>
          </w:p>
        </w:tc>
        <w:tc>
          <w:tcPr>
            <w:tcW w:w="98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0"/>
              </w:rPr>
              <w:t>Volume</w:t>
            </w:r>
          </w:p>
        </w:tc>
        <w:tc>
          <w:tcPr>
            <w:tcW w:w="200" w:type="dxa"/>
            <w:vAlign w:val="bottom"/>
          </w:tcPr>
          <w:p>
            <w:pPr>
              <w:spacing w:after="0"/>
              <w:rPr>
                <w:sz w:val="15"/>
                <w:szCs w:val="15"/>
                <w:color w:val="auto"/>
              </w:rPr>
            </w:pPr>
          </w:p>
        </w:tc>
        <w:tc>
          <w:tcPr>
            <w:tcW w:w="60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15"/>
                <w:szCs w:val="15"/>
                <w:color w:val="auto"/>
              </w:rPr>
            </w:pPr>
          </w:p>
        </w:tc>
        <w:tc>
          <w:tcPr>
            <w:tcW w:w="6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5"/>
                <w:szCs w:val="15"/>
                <w:color w:val="auto"/>
              </w:rPr>
            </w:pPr>
          </w:p>
        </w:tc>
        <w:tc>
          <w:tcPr>
            <w:tcW w:w="5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(Unfavorable)</w:t>
            </w:r>
          </w:p>
        </w:tc>
        <w:tc>
          <w:tcPr>
            <w:tcW w:w="98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3"/>
          </w:tcPr>
          <w:p>
            <w:pPr>
              <w:jc w:val="center"/>
              <w:ind w:right="81"/>
              <w:spacing w:after="0"/>
              <w:rPr>
                <w:sz w:val="20"/>
                <w:szCs w:val="20"/>
                <w:color w:val="auto"/>
              </w:rPr>
            </w:pPr>
            <w:r>
              <w:rPr>
                <w:rFonts w:ascii="Arial" w:cs="Arial" w:eastAsia="Arial" w:hAnsi="Arial"/>
                <w:sz w:val="14"/>
                <w:szCs w:val="14"/>
                <w:b w:val="1"/>
                <w:bCs w:val="1"/>
                <w:color w:val="auto"/>
                <w:w w:val="93"/>
              </w:rPr>
              <w:t>(Dollars in billions)</w:t>
            </w:r>
          </w:p>
        </w:tc>
        <w:tc>
          <w:tcPr>
            <w:tcW w:w="2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GMI</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108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3"/>
              <w:spacing w:after="0"/>
              <w:rPr>
                <w:sz w:val="20"/>
                <w:szCs w:val="20"/>
                <w:color w:val="auto"/>
              </w:rPr>
            </w:pPr>
            <w:r>
              <w:rPr>
                <w:rFonts w:ascii="Arial" w:cs="Arial" w:eastAsia="Arial" w:hAnsi="Arial"/>
                <w:sz w:val="16"/>
                <w:szCs w:val="16"/>
                <w:color w:val="auto"/>
              </w:rPr>
              <w:t>0.6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23,424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32,066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(8,642)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(27.0)%</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3"/>
              <w:spacing w:after="0"/>
              <w:rPr>
                <w:sz w:val="20"/>
                <w:szCs w:val="20"/>
                <w:color w:val="auto"/>
              </w:rPr>
            </w:pPr>
            <w:r>
              <w:rPr>
                <w:rFonts w:ascii="Arial" w:cs="Arial" w:eastAsia="Arial" w:hAnsi="Arial"/>
                <w:sz w:val="16"/>
                <w:szCs w:val="16"/>
                <w:color w:val="auto"/>
              </w:rPr>
              <w:t>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Cruise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GM Financial</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Eliminations/reclassifications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24.2 %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540" w:type="dxa"/>
            <w:vAlign w:val="bottom"/>
          </w:tcPr>
          <w:p>
            <w:pPr>
              <w:ind w:left="20"/>
              <w:spacing w:after="0"/>
              <w:rPr>
                <w:sz w:val="20"/>
                <w:szCs w:val="20"/>
                <w:color w:val="auto"/>
              </w:rPr>
            </w:pPr>
            <w:r>
              <w:rPr>
                <w:rFonts w:ascii="Arial" w:cs="Arial" w:eastAsia="Arial" w:hAnsi="Arial"/>
                <w:sz w:val="16"/>
                <w:szCs w:val="16"/>
                <w:color w:val="auto"/>
              </w:rPr>
              <w:t>Total net sales and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26,779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35,480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(24.5)%</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3"/>
              <w:spacing w:after="0"/>
              <w:rPr>
                <w:sz w:val="20"/>
                <w:szCs w:val="20"/>
                <w:color w:val="auto"/>
              </w:rPr>
            </w:pPr>
            <w:r>
              <w:rPr>
                <w:rFonts w:ascii="Arial" w:cs="Arial" w:eastAsia="Arial" w:hAnsi="Arial"/>
                <w:sz w:val="16"/>
                <w:szCs w:val="16"/>
                <w:color w:val="auto"/>
              </w:rPr>
              <w:t>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679"/>
        </w:trPr>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4"/>
            <w:vMerge w:val="restart"/>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vMerge w:val="restart"/>
          </w:tcPr>
          <w:p>
            <w:pPr>
              <w:jc w:val="center"/>
              <w:ind w:right="101"/>
              <w:spacing w:after="0"/>
              <w:rPr>
                <w:sz w:val="20"/>
                <w:szCs w:val="20"/>
                <w:color w:val="auto"/>
              </w:rPr>
            </w:pPr>
            <w:r>
              <w:rPr>
                <w:rFonts w:ascii="Arial" w:cs="Arial" w:eastAsia="Arial" w:hAnsi="Arial"/>
                <w:sz w:val="14"/>
                <w:szCs w:val="14"/>
                <w:b w:val="1"/>
                <w:bCs w:val="1"/>
                <w:color w:val="auto"/>
                <w:w w:val="91"/>
              </w:rPr>
              <w:t>Variance Due To</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5"/>
                <w:szCs w:val="15"/>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5"/>
                <w:szCs w:val="15"/>
                <w:color w:val="auto"/>
              </w:rPr>
            </w:pPr>
          </w:p>
        </w:tc>
        <w:tc>
          <w:tcPr>
            <w:tcW w:w="104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Favorable/</w:t>
            </w:r>
          </w:p>
        </w:tc>
        <w:tc>
          <w:tcPr>
            <w:tcW w:w="98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0"/>
              </w:rPr>
              <w:t>Volume</w:t>
            </w:r>
          </w:p>
        </w:tc>
        <w:tc>
          <w:tcPr>
            <w:tcW w:w="200" w:type="dxa"/>
            <w:vAlign w:val="bottom"/>
          </w:tcPr>
          <w:p>
            <w:pPr>
              <w:spacing w:after="0"/>
              <w:rPr>
                <w:sz w:val="15"/>
                <w:szCs w:val="15"/>
                <w:color w:val="auto"/>
              </w:rPr>
            </w:pPr>
          </w:p>
        </w:tc>
        <w:tc>
          <w:tcPr>
            <w:tcW w:w="60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15"/>
                <w:szCs w:val="15"/>
                <w:color w:val="auto"/>
              </w:rPr>
            </w:pPr>
          </w:p>
        </w:tc>
        <w:tc>
          <w:tcPr>
            <w:tcW w:w="6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5"/>
                <w:szCs w:val="15"/>
                <w:color w:val="auto"/>
              </w:rPr>
            </w:pPr>
          </w:p>
        </w:tc>
        <w:tc>
          <w:tcPr>
            <w:tcW w:w="5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(Unfavorable)</w:t>
            </w:r>
          </w:p>
        </w:tc>
        <w:tc>
          <w:tcPr>
            <w:tcW w:w="98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3"/>
          </w:tcPr>
          <w:p>
            <w:pPr>
              <w:jc w:val="center"/>
              <w:ind w:right="81"/>
              <w:spacing w:after="0"/>
              <w:rPr>
                <w:sz w:val="20"/>
                <w:szCs w:val="20"/>
                <w:color w:val="auto"/>
              </w:rPr>
            </w:pPr>
            <w:r>
              <w:rPr>
                <w:rFonts w:ascii="Arial" w:cs="Arial" w:eastAsia="Arial" w:hAnsi="Arial"/>
                <w:sz w:val="14"/>
                <w:szCs w:val="14"/>
                <w:b w:val="1"/>
                <w:bCs w:val="1"/>
                <w:color w:val="auto"/>
                <w:w w:val="93"/>
              </w:rPr>
              <w:t>(Dollars in billions)</w:t>
            </w:r>
          </w:p>
        </w:tc>
        <w:tc>
          <w:tcPr>
            <w:tcW w:w="2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w:t>
            </w: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GMI</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1,029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13.4 %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3"/>
              <w:spacing w:after="0"/>
              <w:rPr>
                <w:sz w:val="20"/>
                <w:szCs w:val="20"/>
                <w:color w:val="auto"/>
              </w:rPr>
            </w:pPr>
            <w:r>
              <w:rPr>
                <w:rFonts w:ascii="Arial" w:cs="Arial" w:eastAsia="Arial" w:hAnsi="Arial"/>
                <w:sz w:val="16"/>
                <w:szCs w:val="16"/>
                <w:color w:val="auto"/>
              </w:rPr>
              <w:t>1.1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0.6</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83,231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74,576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8,655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11.6 %</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(7.8)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3"/>
              <w:spacing w:after="0"/>
              <w:rPr>
                <w:sz w:val="20"/>
                <w:szCs w:val="20"/>
                <w:color w:val="auto"/>
              </w:rPr>
            </w:pPr>
            <w:r>
              <w:rPr>
                <w:rFonts w:ascii="Arial" w:cs="Arial" w:eastAsia="Arial" w:hAnsi="Arial"/>
                <w:sz w:val="16"/>
                <w:szCs w:val="16"/>
                <w:color w:val="auto"/>
              </w:rPr>
              <w:t>9.3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5.7</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Cruise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GM Financial</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10,187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Eliminations/reclassifications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540" w:type="dxa"/>
            <w:vAlign w:val="bottom"/>
          </w:tcPr>
          <w:p>
            <w:pPr>
              <w:ind w:left="20"/>
              <w:spacing w:after="0"/>
              <w:rPr>
                <w:sz w:val="20"/>
                <w:szCs w:val="20"/>
                <w:color w:val="auto"/>
              </w:rPr>
            </w:pPr>
            <w:r>
              <w:rPr>
                <w:rFonts w:ascii="Arial" w:cs="Arial" w:eastAsia="Arial" w:hAnsi="Arial"/>
                <w:sz w:val="16"/>
                <w:szCs w:val="16"/>
                <w:color w:val="auto"/>
              </w:rPr>
              <w:t>Total net sales and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93,420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84,967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8,453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9.9 %</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(7.8)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3"/>
              <w:spacing w:after="0"/>
              <w:rPr>
                <w:sz w:val="20"/>
                <w:szCs w:val="20"/>
                <w:color w:val="auto"/>
              </w:rPr>
            </w:pPr>
            <w:r>
              <w:rPr>
                <w:rFonts w:ascii="Arial" w:cs="Arial" w:eastAsia="Arial" w:hAnsi="Arial"/>
                <w:sz w:val="16"/>
                <w:szCs w:val="16"/>
                <w:color w:val="auto"/>
              </w:rPr>
              <w:t>9.3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5.7</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Refer to the regional sections of this MD&amp;A for additional information on volume, mix and price.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 and Other Cost of Sales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21"/>
              <w:spacing w:after="0"/>
              <w:rPr>
                <w:sz w:val="20"/>
                <w:szCs w:val="20"/>
                <w:color w:val="auto"/>
              </w:rPr>
            </w:pPr>
            <w:r>
              <w:rPr>
                <w:rFonts w:ascii="Arial" w:cs="Arial" w:eastAsia="Arial" w:hAnsi="Arial"/>
                <w:sz w:val="14"/>
                <w:szCs w:val="14"/>
                <w:b w:val="1"/>
                <w:bCs w:val="1"/>
                <w:color w:val="auto"/>
                <w:w w:val="92"/>
              </w:rPr>
              <w:t>Variance Due To</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5"/>
                <w:szCs w:val="15"/>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5"/>
                <w:szCs w:val="15"/>
                <w:color w:val="auto"/>
              </w:rPr>
            </w:pPr>
          </w:p>
        </w:tc>
        <w:tc>
          <w:tcPr>
            <w:tcW w:w="104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Favorable/</w:t>
            </w:r>
          </w:p>
        </w:tc>
        <w:tc>
          <w:tcPr>
            <w:tcW w:w="100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0"/>
              </w:rPr>
              <w:t>Volume</w:t>
            </w:r>
          </w:p>
        </w:tc>
        <w:tc>
          <w:tcPr>
            <w:tcW w:w="220" w:type="dxa"/>
            <w:vAlign w:val="bottom"/>
          </w:tcPr>
          <w:p>
            <w:pPr>
              <w:spacing w:after="0"/>
              <w:rPr>
                <w:sz w:val="15"/>
                <w:szCs w:val="15"/>
                <w:color w:val="auto"/>
              </w:rPr>
            </w:pPr>
          </w:p>
        </w:tc>
        <w:tc>
          <w:tcPr>
            <w:tcW w:w="62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15"/>
                <w:szCs w:val="15"/>
                <w:color w:val="auto"/>
              </w:rPr>
            </w:pPr>
          </w:p>
        </w:tc>
        <w:tc>
          <w:tcPr>
            <w:tcW w:w="6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5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87"/>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3"/>
          </w:tcPr>
          <w:p>
            <w:pPr>
              <w:jc w:val="center"/>
              <w:ind w:right="121"/>
              <w:spacing w:after="0"/>
              <w:rPr>
                <w:sz w:val="20"/>
                <w:szCs w:val="20"/>
                <w:color w:val="auto"/>
              </w:rPr>
            </w:pPr>
            <w:r>
              <w:rPr>
                <w:rFonts w:ascii="Arial" w:cs="Arial" w:eastAsia="Arial" w:hAnsi="Arial"/>
                <w:sz w:val="14"/>
                <w:szCs w:val="14"/>
                <w:b w:val="1"/>
                <w:bCs w:val="1"/>
                <w:color w:val="auto"/>
                <w:w w:val="93"/>
              </w:rPr>
              <w:t>(Dollars in billions)</w:t>
            </w: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17,635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24,021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6,386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26.6 %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Arial" w:cs="Arial" w:eastAsia="Arial" w:hAnsi="Arial"/>
                <w:sz w:val="16"/>
                <w:szCs w:val="16"/>
                <w:color w:val="auto"/>
              </w:rPr>
              <w:t>GMI</w:t>
            </w:r>
          </w:p>
        </w:tc>
        <w:tc>
          <w:tcPr>
            <w:tcW w:w="1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2,702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2,859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157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5.5 %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0.6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
              <w:spacing w:after="0"/>
              <w:rPr>
                <w:sz w:val="20"/>
                <w:szCs w:val="20"/>
                <w:color w:val="auto"/>
              </w:rPr>
            </w:pPr>
            <w:r>
              <w:rPr>
                <w:rFonts w:ascii="Arial" w:cs="Arial" w:eastAsia="Arial" w:hAnsi="Arial"/>
                <w:sz w:val="16"/>
                <w:szCs w:val="16"/>
                <w:color w:val="auto"/>
              </w:rPr>
              <w:t>(0.4)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46.0 %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Arial" w:cs="Arial" w:eastAsia="Arial" w:hAnsi="Arial"/>
                <w:sz w:val="16"/>
                <w:szCs w:val="16"/>
                <w:color w:val="auto"/>
              </w:rPr>
              <w:t>Cruise</w:t>
            </w:r>
          </w:p>
        </w:tc>
        <w:tc>
          <w:tcPr>
            <w:tcW w:w="1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460" w:type="dxa"/>
            <w:vAlign w:val="bottom"/>
          </w:tcPr>
          <w:p>
            <w:pPr>
              <w:ind w:left="20"/>
              <w:spacing w:after="0" w:line="145" w:lineRule="exact"/>
              <w:rPr>
                <w:sz w:val="20"/>
                <w:szCs w:val="20"/>
                <w:color w:val="auto"/>
              </w:rPr>
            </w:pPr>
            <w:r>
              <w:rPr>
                <w:rFonts w:ascii="Arial" w:cs="Arial" w:eastAsia="Arial" w:hAnsi="Arial"/>
                <w:sz w:val="16"/>
                <w:szCs w:val="16"/>
                <w:color w:val="auto"/>
              </w:rPr>
              <w:t>Total automotive and other cost of</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ind w:right="2"/>
              <w:spacing w:after="0"/>
              <w:rPr>
                <w:sz w:val="20"/>
                <w:szCs w:val="20"/>
                <w:color w:val="auto"/>
              </w:rPr>
            </w:pPr>
            <w:r>
              <w:rPr>
                <w:rFonts w:ascii="Arial" w:cs="Arial" w:eastAsia="Arial" w:hAnsi="Arial"/>
                <w:sz w:val="16"/>
                <w:szCs w:val="16"/>
                <w:color w:val="auto"/>
              </w:rPr>
              <w:t>20,672</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ind w:right="1"/>
              <w:spacing w:after="0"/>
              <w:rPr>
                <w:sz w:val="20"/>
                <w:szCs w:val="20"/>
                <w:color w:val="auto"/>
              </w:rPr>
            </w:pPr>
            <w:r>
              <w:rPr>
                <w:rFonts w:ascii="Arial" w:cs="Arial" w:eastAsia="Arial" w:hAnsi="Arial"/>
                <w:sz w:val="16"/>
                <w:szCs w:val="16"/>
                <w:color w:val="auto"/>
              </w:rPr>
              <w:t>27,169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ind w:right="2"/>
              <w:spacing w:after="0"/>
              <w:rPr>
                <w:sz w:val="20"/>
                <w:szCs w:val="20"/>
                <w:color w:val="auto"/>
              </w:rPr>
            </w:pPr>
            <w:r>
              <w:rPr>
                <w:rFonts w:ascii="Arial" w:cs="Arial" w:eastAsia="Arial" w:hAnsi="Arial"/>
                <w:sz w:val="16"/>
                <w:szCs w:val="16"/>
                <w:color w:val="auto"/>
              </w:rPr>
              <w:t>6,497</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23.9 %</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ind w:right="22"/>
              <w:spacing w:after="0"/>
              <w:rPr>
                <w:sz w:val="20"/>
                <w:szCs w:val="20"/>
                <w:color w:val="auto"/>
              </w:rPr>
            </w:pPr>
            <w:r>
              <w:rPr>
                <w:rFonts w:ascii="Arial" w:cs="Arial" w:eastAsia="Arial" w:hAnsi="Arial"/>
                <w:sz w:val="16"/>
                <w:szCs w:val="16"/>
                <w:color w:val="auto"/>
              </w:rPr>
              <w:t>9.3</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3"/>
              <w:spacing w:after="0"/>
              <w:rPr>
                <w:sz w:val="20"/>
                <w:szCs w:val="20"/>
                <w:color w:val="auto"/>
              </w:rPr>
            </w:pPr>
            <w:r>
              <w:rPr>
                <w:rFonts w:ascii="Arial" w:cs="Arial" w:eastAsia="Arial" w:hAnsi="Arial"/>
                <w:sz w:val="16"/>
                <w:szCs w:val="16"/>
                <w:color w:val="auto"/>
              </w:rPr>
              <w:t>(1.3)</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(1.4)</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79"/>
        </w:trPr>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4"/>
            <w:vMerge w:val="restart"/>
          </w:tcPr>
          <w:p>
            <w:pPr>
              <w:jc w:val="right"/>
              <w:ind w:right="84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vMerge w:val="restart"/>
          </w:tcPr>
          <w:p>
            <w:pPr>
              <w:jc w:val="center"/>
              <w:ind w:right="121"/>
              <w:spacing w:after="0"/>
              <w:rPr>
                <w:sz w:val="20"/>
                <w:szCs w:val="20"/>
                <w:color w:val="auto"/>
              </w:rPr>
            </w:pPr>
            <w:r>
              <w:rPr>
                <w:rFonts w:ascii="Arial" w:cs="Arial" w:eastAsia="Arial" w:hAnsi="Arial"/>
                <w:sz w:val="14"/>
                <w:szCs w:val="14"/>
                <w:b w:val="1"/>
                <w:bCs w:val="1"/>
                <w:color w:val="auto"/>
                <w:w w:val="92"/>
              </w:rPr>
              <w:t>Variance Due To</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5"/>
                <w:szCs w:val="15"/>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5"/>
                <w:szCs w:val="15"/>
                <w:color w:val="auto"/>
              </w:rPr>
            </w:pPr>
          </w:p>
        </w:tc>
        <w:tc>
          <w:tcPr>
            <w:tcW w:w="104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Favorable/</w:t>
            </w:r>
          </w:p>
        </w:tc>
        <w:tc>
          <w:tcPr>
            <w:tcW w:w="100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0"/>
              </w:rPr>
              <w:t>Volume</w:t>
            </w:r>
          </w:p>
        </w:tc>
        <w:tc>
          <w:tcPr>
            <w:tcW w:w="220" w:type="dxa"/>
            <w:vAlign w:val="bottom"/>
          </w:tcPr>
          <w:p>
            <w:pPr>
              <w:spacing w:after="0"/>
              <w:rPr>
                <w:sz w:val="15"/>
                <w:szCs w:val="15"/>
                <w:color w:val="auto"/>
              </w:rPr>
            </w:pPr>
          </w:p>
        </w:tc>
        <w:tc>
          <w:tcPr>
            <w:tcW w:w="62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15"/>
                <w:szCs w:val="15"/>
                <w:color w:val="auto"/>
              </w:rPr>
            </w:pPr>
          </w:p>
        </w:tc>
        <w:tc>
          <w:tcPr>
            <w:tcW w:w="6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5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87"/>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4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3"/>
          </w:tcPr>
          <w:p>
            <w:pPr>
              <w:jc w:val="center"/>
              <w:ind w:right="121"/>
              <w:spacing w:after="0"/>
              <w:rPr>
                <w:sz w:val="20"/>
                <w:szCs w:val="20"/>
                <w:color w:val="auto"/>
              </w:rPr>
            </w:pPr>
            <w:r>
              <w:rPr>
                <w:rFonts w:ascii="Arial" w:cs="Arial" w:eastAsia="Arial" w:hAnsi="Arial"/>
                <w:sz w:val="14"/>
                <w:szCs w:val="14"/>
                <w:b w:val="1"/>
                <w:bCs w:val="1"/>
                <w:color w:val="auto"/>
                <w:w w:val="93"/>
              </w:rPr>
              <w:t>(Dollars in billions)</w:t>
            </w: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63,658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57,739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Arial" w:cs="Arial" w:eastAsia="Arial" w:hAnsi="Arial"/>
                <w:sz w:val="16"/>
                <w:szCs w:val="16"/>
                <w:color w:val="auto"/>
              </w:rPr>
              <w:t>GMI</w:t>
            </w:r>
          </w:p>
        </w:tc>
        <w:tc>
          <w:tcPr>
            <w:tcW w:w="1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8,449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8,757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308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0.7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
              <w:spacing w:after="0"/>
              <w:rPr>
                <w:sz w:val="20"/>
                <w:szCs w:val="20"/>
                <w:color w:val="auto"/>
              </w:rPr>
            </w:pPr>
            <w:r>
              <w:rPr>
                <w:rFonts w:ascii="Arial" w:cs="Arial" w:eastAsia="Arial" w:hAnsi="Arial"/>
                <w:sz w:val="16"/>
                <w:szCs w:val="16"/>
                <w:color w:val="auto"/>
              </w:rPr>
              <w:t>(0.5)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55.8 %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Arial" w:cs="Arial" w:eastAsia="Arial" w:hAnsi="Arial"/>
                <w:sz w:val="16"/>
                <w:szCs w:val="16"/>
                <w:color w:val="auto"/>
              </w:rPr>
              <w:t>Cruise</w:t>
            </w:r>
          </w:p>
        </w:tc>
        <w:tc>
          <w:tcPr>
            <w:tcW w:w="1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460" w:type="dxa"/>
            <w:vAlign w:val="bottom"/>
          </w:tcPr>
          <w:p>
            <w:pPr>
              <w:ind w:left="20"/>
              <w:spacing w:after="0" w:line="145" w:lineRule="exact"/>
              <w:rPr>
                <w:sz w:val="20"/>
                <w:szCs w:val="20"/>
                <w:color w:val="auto"/>
              </w:rPr>
            </w:pPr>
            <w:r>
              <w:rPr>
                <w:rFonts w:ascii="Arial" w:cs="Arial" w:eastAsia="Arial" w:hAnsi="Arial"/>
                <w:sz w:val="16"/>
                <w:szCs w:val="16"/>
                <w:color w:val="auto"/>
              </w:rPr>
              <w:t>Total automotive and other cost of</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ind w:right="2"/>
              <w:spacing w:after="0"/>
              <w:rPr>
                <w:sz w:val="20"/>
                <w:szCs w:val="20"/>
                <w:color w:val="auto"/>
              </w:rPr>
            </w:pPr>
            <w:r>
              <w:rPr>
                <w:rFonts w:ascii="Arial" w:cs="Arial" w:eastAsia="Arial" w:hAnsi="Arial"/>
                <w:sz w:val="16"/>
                <w:szCs w:val="16"/>
                <w:color w:val="auto"/>
              </w:rPr>
              <w:t>73,053</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ind w:right="1"/>
              <w:spacing w:after="0"/>
              <w:rPr>
                <w:sz w:val="20"/>
                <w:szCs w:val="20"/>
                <w:color w:val="auto"/>
              </w:rPr>
            </w:pPr>
            <w:r>
              <w:rPr>
                <w:rFonts w:ascii="Arial" w:cs="Arial" w:eastAsia="Arial" w:hAnsi="Arial"/>
                <w:sz w:val="16"/>
                <w:szCs w:val="16"/>
                <w:color w:val="auto"/>
              </w:rPr>
              <w:t>67,339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(5,714)</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ind w:right="22"/>
              <w:spacing w:after="0"/>
              <w:rPr>
                <w:sz w:val="20"/>
                <w:szCs w:val="20"/>
                <w:color w:val="auto"/>
              </w:rPr>
            </w:pPr>
            <w:r>
              <w:rPr>
                <w:rFonts w:ascii="Arial" w:cs="Arial" w:eastAsia="Arial" w:hAnsi="Arial"/>
                <w:sz w:val="16"/>
                <w:szCs w:val="16"/>
                <w:color w:val="auto"/>
              </w:rPr>
              <w:t>5.4</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3"/>
              <w:spacing w:after="0"/>
              <w:rPr>
                <w:sz w:val="20"/>
                <w:szCs w:val="20"/>
                <w:color w:val="auto"/>
              </w:rPr>
            </w:pPr>
            <w:r>
              <w:rPr>
                <w:rFonts w:ascii="Arial" w:cs="Arial" w:eastAsia="Arial" w:hAnsi="Arial"/>
                <w:sz w:val="16"/>
                <w:szCs w:val="16"/>
                <w:color w:val="auto"/>
              </w:rPr>
              <w:t>(4.0)</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(7.0)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firstLine="161"/>
        <w:spacing w:after="0" w:line="239" w:lineRule="auto"/>
        <w:rPr>
          <w:sz w:val="20"/>
          <w:szCs w:val="20"/>
          <w:color w:val="auto"/>
        </w:rPr>
      </w:pPr>
      <w:r>
        <w:rPr>
          <w:rFonts w:ascii="Arial" w:cs="Arial" w:eastAsia="Arial" w:hAnsi="Arial"/>
          <w:sz w:val="18"/>
          <w:szCs w:val="18"/>
          <w:color w:val="auto"/>
        </w:rPr>
        <w:t>In the three months ended September 30, 2021, increased Cost was primarily due to: (1) increased material and freight costs of $0.9 billion; (2) increased manufacturing costs of $0.5 billion primarily related to the non-recurrence of austerity measures implemented in 2020 due to the COVID-19 pandemic; (3) increased engineering costs of $0.5 billion primarily related to accelerating our electric vehicle portfolio and the non-recurrence of austerity measures implemented in 2020 due to the COVID-19 pandemic; and (4) increased costs of $0.2 billion primarily related to parts and accessories sales; partially offset by (5) a decrease in campaigns and other warranty-related costs of $0.8 billion, which includes Chevrolet Bolt recall costs of $1.2 billion and associated recoveries of $1.9 billion.</w:t>
      </w:r>
    </w:p>
    <w:p>
      <w:pPr>
        <w:spacing w:after="0" w:line="214" w:lineRule="exact"/>
        <w:rPr>
          <w:sz w:val="20"/>
          <w:szCs w:val="20"/>
          <w:color w:val="auto"/>
        </w:rPr>
      </w:pPr>
    </w:p>
    <w:p>
      <w:pPr>
        <w:jc w:val="both"/>
        <w:ind w:firstLine="161"/>
        <w:spacing w:after="0" w:line="272" w:lineRule="auto"/>
        <w:rPr>
          <w:sz w:val="20"/>
          <w:szCs w:val="20"/>
          <w:color w:val="auto"/>
        </w:rPr>
      </w:pPr>
      <w:r>
        <w:rPr>
          <w:rFonts w:ascii="Arial" w:cs="Arial" w:eastAsia="Arial" w:hAnsi="Arial"/>
          <w:sz w:val="16"/>
          <w:szCs w:val="16"/>
          <w:color w:val="auto"/>
        </w:rPr>
        <w:t>In the nine months ended September 30, 2021, increased Cost was primarily due to: (1) increased material and freight costs of $3.1 billion; (2) increased engineering costs of $1.6 billion primarily related to accelerating our electric vehicle portfolio and the suspension of production and the non-recurrence of austerity measures implemented in 2020 due to the COVID-19 pandemic; (3) increased manufacturing costs of $1.0 billion primarily related to the suspension of production and the non-recurrence of austerity measures implemented in 2020 due to the COVID-19 pandemic; (4) increased costs of $0.8 billion primarily related to parts and accessories sales; and (5) an increase in campaign and other warranty-related costs of $0.5 billion, which includes Chevrolet Bolt recall costs of $2.0 billion and associated recoveries of $1.9 billion; partially offset by (6) charges of $0.6 billion primarily related to dealer restructuring charges, property and intangible asset impairments and inventory provisions in Australia, Thailand, and New Zealand in 2020.</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Refer to the regional sections of this MD&amp;A for additional information on volume and mix.</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Automotive and other selling, general and administrative expense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w w:val="87"/>
              </w:rPr>
              <w:t>September 30,</w:t>
            </w:r>
          </w:p>
        </w:tc>
        <w:tc>
          <w:tcPr>
            <w:tcW w:w="140" w:type="dxa"/>
            <w:vAlign w:val="bottom"/>
          </w:tcPr>
          <w:p>
            <w:pPr>
              <w:spacing w:after="0"/>
              <w:rPr>
                <w:sz w:val="11"/>
                <w:szCs w:val="11"/>
                <w:color w:val="auto"/>
              </w:rPr>
            </w:pPr>
          </w:p>
        </w:tc>
        <w:tc>
          <w:tcPr>
            <w:tcW w:w="920" w:type="dxa"/>
            <w:vAlign w:val="bottom"/>
          </w:tcPr>
          <w:p>
            <w:pPr>
              <w:jc w:val="center"/>
              <w:ind w:right="51"/>
              <w:spacing w:after="0" w:line="134" w:lineRule="exact"/>
              <w:rPr>
                <w:sz w:val="20"/>
                <w:szCs w:val="20"/>
                <w:color w:val="auto"/>
              </w:rPr>
            </w:pPr>
            <w:r>
              <w:rPr>
                <w:rFonts w:ascii="Arial" w:cs="Arial" w:eastAsia="Arial" w:hAnsi="Arial"/>
                <w:sz w:val="13"/>
                <w:szCs w:val="13"/>
                <w:b w:val="1"/>
                <w:bCs w:val="1"/>
                <w:color w:val="auto"/>
                <w:w w:val="85"/>
              </w:rPr>
              <w:t>September 30,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w w:val="89"/>
              </w:rPr>
              <w:t>Favorable/</w:t>
            </w:r>
          </w:p>
        </w:tc>
        <w:tc>
          <w:tcPr>
            <w:tcW w:w="82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85"/>
              </w:rPr>
              <w:t>September 30,</w:t>
            </w:r>
          </w:p>
        </w:tc>
        <w:tc>
          <w:tcPr>
            <w:tcW w:w="120" w:type="dxa"/>
            <w:vAlign w:val="bottom"/>
          </w:tcPr>
          <w:p>
            <w:pPr>
              <w:spacing w:after="0"/>
              <w:rPr>
                <w:sz w:val="11"/>
                <w:szCs w:val="11"/>
                <w:color w:val="auto"/>
              </w:rPr>
            </w:pPr>
          </w:p>
        </w:tc>
        <w:tc>
          <w:tcPr>
            <w:tcW w:w="960" w:type="dxa"/>
            <w:vAlign w:val="bottom"/>
          </w:tcPr>
          <w:p>
            <w:pPr>
              <w:jc w:val="center"/>
              <w:ind w:right="51"/>
              <w:spacing w:after="0" w:line="134" w:lineRule="exact"/>
              <w:rPr>
                <w:sz w:val="20"/>
                <w:szCs w:val="20"/>
                <w:color w:val="auto"/>
              </w:rPr>
            </w:pPr>
            <w:r>
              <w:rPr>
                <w:rFonts w:ascii="Arial" w:cs="Arial" w:eastAsia="Arial" w:hAnsi="Arial"/>
                <w:sz w:val="13"/>
                <w:szCs w:val="13"/>
                <w:b w:val="1"/>
                <w:bCs w:val="1"/>
                <w:color w:val="auto"/>
                <w:w w:val="85"/>
              </w:rPr>
              <w:t>September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w w:val="89"/>
              </w:rPr>
              <w:t>Favorable/</w:t>
            </w:r>
          </w:p>
        </w:tc>
        <w:tc>
          <w:tcPr>
            <w:tcW w:w="840" w:type="dxa"/>
            <w:vAlign w:val="bottom"/>
            <w:vMerge w:val="restart"/>
          </w:tcPr>
          <w:p>
            <w:pPr>
              <w:jc w:val="right"/>
              <w:ind w:right="28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9"/>
        </w:trPr>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3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31"/>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(Unfavorable)</w:t>
            </w:r>
          </w:p>
        </w:tc>
        <w:tc>
          <w:tcPr>
            <w:tcW w:w="82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33"/>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5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(Unfavorable)</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4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8"/>
                <w:szCs w:val="18"/>
                <w:color w:val="auto"/>
              </w:rPr>
              <w:t>Automotive and other selling,</w:t>
            </w: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180"/>
              <w:spacing w:after="0" w:line="175"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4,908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three months ended September 30, 2021, Automotive and other selling, general and administrative expense increased primarily due to increased advertising, administrative and other costs of $0.4 billion primarily related to the non-recurrence of austerity measures implemented in 2020 due to the COVID-19 pandemic and charges of $0.2 billion related to Cadillac dealer strategy.</w:t>
      </w:r>
    </w:p>
    <w:p>
      <w:pPr>
        <w:spacing w:after="0" w:line="209" w:lineRule="exact"/>
        <w:rPr>
          <w:sz w:val="20"/>
          <w:szCs w:val="20"/>
          <w:color w:val="auto"/>
        </w:rPr>
      </w:pPr>
    </w:p>
    <w:p>
      <w:pPr>
        <w:jc w:val="both"/>
        <w:ind w:firstLine="161"/>
        <w:spacing w:after="0" w:line="268" w:lineRule="auto"/>
        <w:rPr>
          <w:sz w:val="20"/>
          <w:szCs w:val="20"/>
          <w:color w:val="auto"/>
        </w:rPr>
      </w:pPr>
      <w:r>
        <w:rPr>
          <w:rFonts w:ascii="Arial" w:cs="Arial" w:eastAsia="Arial" w:hAnsi="Arial"/>
          <w:sz w:val="17"/>
          <w:szCs w:val="17"/>
          <w:color w:val="auto"/>
        </w:rPr>
        <w:t>In the nine months ended September 30, 2021, Automotive and other selling, general and administrative expense increased primarily due to increased advertising, administrative and other costs of $0.9 billion primarily related to the suspension of production and the non-recurrence of austerity measures implemented in 2020 due to the COVID-19 pandemic and charges of $0.2 billion related to Cadillac dealer strategy.</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85"/>
              </w:rPr>
              <w:t>September 30,</w:t>
            </w:r>
          </w:p>
        </w:tc>
        <w:tc>
          <w:tcPr>
            <w:tcW w:w="120" w:type="dxa"/>
            <w:vAlign w:val="bottom"/>
          </w:tcPr>
          <w:p>
            <w:pPr>
              <w:spacing w:after="0"/>
              <w:rPr>
                <w:sz w:val="11"/>
                <w:szCs w:val="11"/>
                <w:color w:val="auto"/>
              </w:rPr>
            </w:pPr>
          </w:p>
        </w:tc>
        <w:tc>
          <w:tcPr>
            <w:tcW w:w="960" w:type="dxa"/>
            <w:vAlign w:val="bottom"/>
          </w:tcPr>
          <w:p>
            <w:pPr>
              <w:jc w:val="center"/>
              <w:ind w:right="51"/>
              <w:spacing w:after="0" w:line="134" w:lineRule="exact"/>
              <w:rPr>
                <w:sz w:val="20"/>
                <w:szCs w:val="20"/>
                <w:color w:val="auto"/>
              </w:rPr>
            </w:pPr>
            <w:r>
              <w:rPr>
                <w:rFonts w:ascii="Arial" w:cs="Arial" w:eastAsia="Arial" w:hAnsi="Arial"/>
                <w:sz w:val="13"/>
                <w:szCs w:val="13"/>
                <w:b w:val="1"/>
                <w:bCs w:val="1"/>
                <w:color w:val="auto"/>
                <w:w w:val="85"/>
              </w:rPr>
              <w:t>September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89"/>
              </w:rPr>
              <w:t>Favorable/</w:t>
            </w:r>
          </w:p>
        </w:tc>
        <w:tc>
          <w:tcPr>
            <w:tcW w:w="8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85"/>
              </w:rPr>
              <w:t>September 30,</w:t>
            </w:r>
          </w:p>
        </w:tc>
        <w:tc>
          <w:tcPr>
            <w:tcW w:w="140" w:type="dxa"/>
            <w:vAlign w:val="bottom"/>
          </w:tcPr>
          <w:p>
            <w:pPr>
              <w:spacing w:after="0"/>
              <w:rPr>
                <w:sz w:val="11"/>
                <w:szCs w:val="11"/>
                <w:color w:val="auto"/>
              </w:rPr>
            </w:pPr>
          </w:p>
        </w:tc>
        <w:tc>
          <w:tcPr>
            <w:tcW w:w="940" w:type="dxa"/>
            <w:vAlign w:val="bottom"/>
          </w:tcPr>
          <w:p>
            <w:pPr>
              <w:jc w:val="center"/>
              <w:ind w:right="51"/>
              <w:spacing w:after="0" w:line="134" w:lineRule="exact"/>
              <w:rPr>
                <w:sz w:val="20"/>
                <w:szCs w:val="20"/>
                <w:color w:val="auto"/>
              </w:rPr>
            </w:pPr>
            <w:r>
              <w:rPr>
                <w:rFonts w:ascii="Arial" w:cs="Arial" w:eastAsia="Arial" w:hAnsi="Arial"/>
                <w:sz w:val="13"/>
                <w:szCs w:val="13"/>
                <w:b w:val="1"/>
                <w:bCs w:val="1"/>
                <w:color w:val="auto"/>
                <w:w w:val="87"/>
              </w:rPr>
              <w:t>September 30,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89"/>
              </w:rPr>
              <w:t>Favorable/</w:t>
            </w:r>
          </w:p>
        </w:tc>
        <w:tc>
          <w:tcPr>
            <w:tcW w:w="8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5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5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82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3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31"/>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2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8"/>
                <w:szCs w:val="18"/>
                <w:color w:val="auto"/>
                <w:w w:val="97"/>
              </w:rPr>
              <w:t>Interest income and other non-</w:t>
            </w: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499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60.3 %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1,160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94.8 %</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both"/>
        <w:ind w:right="20" w:firstLine="161"/>
        <w:spacing w:after="0" w:line="275" w:lineRule="auto"/>
        <w:rPr>
          <w:sz w:val="20"/>
          <w:szCs w:val="20"/>
          <w:color w:val="auto"/>
        </w:rPr>
      </w:pPr>
      <w:r>
        <w:rPr>
          <w:rFonts w:ascii="Arial" w:cs="Arial" w:eastAsia="Arial" w:hAnsi="Arial"/>
          <w:sz w:val="18"/>
          <w:szCs w:val="18"/>
          <w:color w:val="auto"/>
        </w:rPr>
        <w:t>In the three months ended September 30, 2021, Interest income and other non-operating income, net increased primarily due to $0.2 billion increase in non-service pension income and favorable revaluation of investments of $0.2 billion.</w:t>
      </w:r>
    </w:p>
    <w:p>
      <w:pPr>
        <w:spacing w:after="0" w:line="197"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In the nine months ended September 30, 2021, Interest income and other non-operating income, net increased primarily due to: (1) gains of $0.3 billion in the nine months ended September 30, 2021 compared to losses of $0.2 billion in the nine months ended September 30, 2020 related to Stellantis warrants; (2) $0.5 billion increase in non-service pension income; and (3) favorable revaluation of investments of $0.2 billion.</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440"/>
              <w:spacing w:after="0"/>
              <w:rPr>
                <w:sz w:val="20"/>
                <w:szCs w:val="20"/>
                <w:color w:val="auto"/>
              </w:rPr>
            </w:pPr>
            <w:r>
              <w:rPr>
                <w:rFonts w:ascii="Arial" w:cs="Arial" w:eastAsia="Arial" w:hAnsi="Arial"/>
                <w:sz w:val="13"/>
                <w:szCs w:val="13"/>
                <w:b w:val="1"/>
                <w:bCs w:val="1"/>
                <w:color w:val="auto"/>
                <w:w w:val="96"/>
              </w:rPr>
              <w:t>Three Months Ended</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93"/>
              </w:rPr>
              <w:t>Nine Months Ended</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85"/>
              </w:rPr>
              <w:t>September 30,</w:t>
            </w: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7"/>
              </w:rPr>
              <w:t>September 30, 2020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89"/>
              </w:rPr>
              <w:t>Favorable/</w:t>
            </w:r>
          </w:p>
        </w:tc>
        <w:tc>
          <w:tcPr>
            <w:tcW w:w="8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5"/>
              </w:rPr>
              <w:t>September 30, 2021</w:t>
            </w:r>
          </w:p>
        </w:tc>
        <w:tc>
          <w:tcPr>
            <w:tcW w:w="120" w:type="dxa"/>
            <w:vAlign w:val="bottom"/>
            <w:vMerge w:val="restart"/>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5"/>
              </w:rPr>
              <w:t>September 30, 2020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89"/>
              </w:rPr>
              <w:t>Favorable/</w:t>
            </w:r>
          </w:p>
        </w:tc>
        <w:tc>
          <w:tcPr>
            <w:tcW w:w="70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2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0"/>
              </w:rPr>
              <w:t>(Unfavorable)</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0"/>
              </w:rPr>
              <w:t>(Unfavorable)</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82.9 %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87" w:lineRule="exact"/>
        <w:rPr>
          <w:sz w:val="20"/>
          <w:szCs w:val="20"/>
          <w:color w:val="auto"/>
        </w:rPr>
      </w:pPr>
    </w:p>
    <w:p>
      <w:pPr>
        <w:jc w:val="both"/>
        <w:ind w:firstLine="161"/>
        <w:spacing w:after="0" w:line="251" w:lineRule="auto"/>
        <w:rPr>
          <w:sz w:val="20"/>
          <w:szCs w:val="20"/>
          <w:color w:val="auto"/>
        </w:rPr>
      </w:pPr>
      <w:r>
        <w:rPr>
          <w:rFonts w:ascii="Arial" w:cs="Arial" w:eastAsia="Arial" w:hAnsi="Arial"/>
          <w:sz w:val="17"/>
          <w:szCs w:val="17"/>
          <w:color w:val="auto"/>
        </w:rPr>
        <w:t>In the three months ended September 30, 2021, Income tax expense decreased primarily due to a decrease in pre-tax income and tax benefit related to a deduction for an investment in a subsidiary. In the nine months ended September, 30 2021, Income tax expense increased primarily due to an increase in pre-tax income, partially offset by tax benefit related to a deduction for an investment in a subsidiary.</w:t>
      </w:r>
    </w:p>
    <w:p>
      <w:pPr>
        <w:spacing w:after="0" w:line="193" w:lineRule="exact"/>
        <w:rPr>
          <w:sz w:val="20"/>
          <w:szCs w:val="20"/>
          <w:color w:val="auto"/>
        </w:rPr>
      </w:pPr>
    </w:p>
    <w:p>
      <w:pPr>
        <w:jc w:val="both"/>
        <w:ind w:firstLine="161"/>
        <w:spacing w:after="0" w:line="244" w:lineRule="auto"/>
        <w:rPr>
          <w:sz w:val="20"/>
          <w:szCs w:val="20"/>
          <w:color w:val="auto"/>
        </w:rPr>
      </w:pPr>
      <w:r>
        <w:rPr>
          <w:rFonts w:ascii="Arial" w:cs="Arial" w:eastAsia="Arial" w:hAnsi="Arial"/>
          <w:sz w:val="18"/>
          <w:szCs w:val="18"/>
          <w:color w:val="auto"/>
        </w:rPr>
        <w:t>For the three and nine months ended September 30, 2021, our ETR-adjusted was 17.1% and 21.4%. We expect our adjusted effective tax rate to be approximately 22% for the year ending December 31, 2021.</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Refer to Note 14 to our condensed consolidated financial statements for additional information related to Income tax expense.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left="12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140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w w:val="96"/>
              </w:rPr>
              <w:t>September 30, 2021</w:t>
            </w:r>
          </w:p>
        </w:tc>
        <w:tc>
          <w:tcPr>
            <w:tcW w:w="14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September 30, 2020</w:t>
            </w:r>
          </w:p>
        </w:tc>
        <w:tc>
          <w:tcPr>
            <w:tcW w:w="2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Pr>
          <w:p>
            <w:pPr>
              <w:spacing w:after="0"/>
              <w:rPr>
                <w:sz w:val="15"/>
                <w:szCs w:val="15"/>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15"/>
                <w:szCs w:val="15"/>
                <w:color w:val="auto"/>
              </w:rPr>
            </w:pPr>
          </w:p>
        </w:tc>
        <w:tc>
          <w:tcPr>
            <w:tcW w:w="5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5"/>
                <w:szCs w:val="15"/>
                <w:color w:val="auto"/>
              </w:rPr>
            </w:pPr>
          </w:p>
        </w:tc>
        <w:tc>
          <w:tcPr>
            <w:tcW w:w="5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5"/>
                <w:szCs w:val="15"/>
                <w:color w:val="auto"/>
              </w:rPr>
            </w:pPr>
          </w:p>
        </w:tc>
        <w:tc>
          <w:tcPr>
            <w:tcW w:w="4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4"/>
          </w:tcPr>
          <w:p>
            <w:pPr>
              <w:jc w:val="center"/>
              <w:ind w:left="12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Total net sales and revenue</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20,554</w:t>
            </w:r>
          </w:p>
        </w:tc>
        <w:tc>
          <w:tcPr>
            <w:tcW w:w="72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4"/>
              </w:rPr>
              <w:t>29,128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(8,574)</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8"/>
        </w:trPr>
        <w:tc>
          <w:tcPr>
            <w:tcW w:w="216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2,125</w:t>
            </w:r>
          </w:p>
        </w:tc>
        <w:tc>
          <w:tcPr>
            <w:tcW w:w="720" w:type="dxa"/>
            <w:vAlign w:val="bottom"/>
          </w:tcPr>
          <w:p>
            <w:pPr>
              <w:jc w:val="right"/>
              <w:ind w:right="439"/>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4,366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8"/>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EBIT-adjusted margin</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423</w:t>
            </w: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799</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4"/>
            <w:vMerge w:val="restart"/>
          </w:tcPr>
          <w:p>
            <w:pPr>
              <w:jc w:val="center"/>
              <w:ind w:left="12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1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vMerge w:val="continue"/>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4"/>
            <w:vMerge w:val="continue"/>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140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w w:val="96"/>
              </w:rPr>
              <w:t>September 30, 2021</w:t>
            </w:r>
          </w:p>
        </w:tc>
        <w:tc>
          <w:tcPr>
            <w:tcW w:w="14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September 30, 2020</w:t>
            </w:r>
          </w:p>
        </w:tc>
        <w:tc>
          <w:tcPr>
            <w:tcW w:w="26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Favorable /</w:t>
            </w: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Pr>
          <w:p>
            <w:pPr>
              <w:spacing w:after="0"/>
              <w:rPr>
                <w:sz w:val="15"/>
                <w:szCs w:val="15"/>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15"/>
                <w:szCs w:val="15"/>
                <w:color w:val="auto"/>
              </w:rPr>
            </w:pPr>
          </w:p>
        </w:tc>
        <w:tc>
          <w:tcPr>
            <w:tcW w:w="5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5"/>
                <w:szCs w:val="15"/>
                <w:color w:val="auto"/>
              </w:rPr>
            </w:pPr>
          </w:p>
        </w:tc>
        <w:tc>
          <w:tcPr>
            <w:tcW w:w="5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5"/>
                <w:szCs w:val="15"/>
                <w:color w:val="auto"/>
              </w:rPr>
            </w:pPr>
          </w:p>
        </w:tc>
        <w:tc>
          <w:tcPr>
            <w:tcW w:w="4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4"/>
          </w:tcPr>
          <w:p>
            <w:pPr>
              <w:jc w:val="center"/>
              <w:ind w:left="12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Total net sales and revenue</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74,443</w:t>
            </w:r>
          </w:p>
        </w:tc>
        <w:tc>
          <w:tcPr>
            <w:tcW w:w="72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4"/>
              </w:rPr>
              <w:t>66,563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7,880</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8"/>
        </w:trPr>
        <w:tc>
          <w:tcPr>
            <w:tcW w:w="216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8,153</w:t>
            </w:r>
          </w:p>
        </w:tc>
        <w:tc>
          <w:tcPr>
            <w:tcW w:w="720" w:type="dxa"/>
            <w:vAlign w:val="bottom"/>
          </w:tcPr>
          <w:p>
            <w:pPr>
              <w:jc w:val="right"/>
              <w:ind w:right="439"/>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6,459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6"/>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26.2 %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rPr>
              <w:t>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8"/>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EBIT-adjusted margin</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1,729</w:t>
            </w: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1,905</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firstLine="161"/>
        <w:spacing w:after="0" w:line="272" w:lineRule="auto"/>
        <w:rPr>
          <w:sz w:val="20"/>
          <w:szCs w:val="20"/>
          <w:color w:val="auto"/>
        </w:rPr>
      </w:pPr>
      <w:r>
        <w:rPr>
          <w:rFonts w:ascii="Arial" w:cs="Arial" w:eastAsia="Arial" w:hAnsi="Arial"/>
          <w:sz w:val="17"/>
          <w:szCs w:val="17"/>
          <w:b w:val="1"/>
          <w:bCs w:val="1"/>
          <w:i w:val="1"/>
          <w:iCs w:val="1"/>
          <w:color w:val="auto"/>
        </w:rPr>
        <w:t xml:space="preserve">GMNA Total Net Sales and Revenue </w:t>
      </w:r>
      <w:r>
        <w:rPr>
          <w:rFonts w:ascii="Arial" w:cs="Arial" w:eastAsia="Arial" w:hAnsi="Arial"/>
          <w:sz w:val="17"/>
          <w:szCs w:val="17"/>
          <w:color w:val="auto"/>
        </w:rPr>
        <w:t>In the three months ended September 30, 2021, Total net sales and revenue decreased primarily due to: (1)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decreased net wholesale volumes due to a decrease in sales of crossover vehicles, pickup trucks, and passenger cars as a result of suspending production in 2021 due to the ongoing global semiconductor supply shortage; partially offset by (2) favorable mix associated with decreased sales of crossover vehicles and passenger cars and increased sales of full-size SUVs, partially offset by a decrease in sales of full-size pickup trucks; (3) favorable price primarily due to lower incentives as a result of low dealer inventory levels; and (4) favorable Other due to increased sales of parts and accessories and the foreign currency effect resulting from the strengthening of the Canadian Dollar and the Mexican Peso against the U.S. Dollar.</w:t>
      </w:r>
    </w:p>
    <w:p>
      <w:pPr>
        <w:spacing w:after="0" w:line="203" w:lineRule="exact"/>
        <w:rPr>
          <w:sz w:val="20"/>
          <w:szCs w:val="20"/>
          <w:color w:val="auto"/>
        </w:rPr>
      </w:pPr>
    </w:p>
    <w:p>
      <w:pPr>
        <w:jc w:val="both"/>
        <w:ind w:firstLine="161"/>
        <w:spacing w:after="0" w:line="290" w:lineRule="auto"/>
        <w:rPr>
          <w:sz w:val="20"/>
          <w:szCs w:val="20"/>
          <w:color w:val="auto"/>
        </w:rPr>
      </w:pPr>
      <w:r>
        <w:rPr>
          <w:rFonts w:ascii="Arial" w:cs="Arial" w:eastAsia="Arial" w:hAnsi="Arial"/>
          <w:sz w:val="16"/>
          <w:szCs w:val="16"/>
          <w:color w:val="auto"/>
        </w:rPr>
        <w:t>In the nine months ended September 30, 2021, Total net sales and revenue increased primarily due to: (1) favorable mix associated with decreased sales of passenger cars and crossover vehicles and increased sales of full-size pickup trucks and full-size SUVs, as a result of prioritizing semiconductor chips for our most popular and in-demand vehicles; (2) favorable price primarily due to lower incentives as a result of low dealer inventory levels and the launch of our new full-size SUVs; (3) favorable Other due to increased sales of parts and accessories and the foreign currency effect resulting from the strengthening of the Canadian Dollar and the Mexican Peso against the U.S. Dollar; partially offset by (4) decreased net wholesale volumes due to a decrease in sales of crossover vehicles and passenger cars, partially offset by increased sales of full-size SUVs and full-size pickup trucks. The impact on production in 2021 due to the ongoing global semiconductor supply shortage exceeds the impact of production suspensions in 2020 due to the COVID-19 pandemic.</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 xml:space="preserve">GMNA EBIT-Adjusted </w:t>
      </w:r>
      <w:r>
        <w:rPr>
          <w:rFonts w:ascii="Arial" w:cs="Arial" w:eastAsia="Arial" w:hAnsi="Arial"/>
          <w:sz w:val="16"/>
          <w:szCs w:val="16"/>
          <w:color w:val="auto"/>
        </w:rPr>
        <w:t>In the three months ended September 30, 2021, EBIT-adjusted decreased primarily due to: (1) decreased net wholesale volumes;</w:t>
      </w:r>
    </w:p>
    <w:p>
      <w:pPr>
        <w:spacing w:after="0" w:line="46" w:lineRule="exact"/>
        <w:rPr>
          <w:sz w:val="20"/>
          <w:szCs w:val="20"/>
          <w:color w:val="auto"/>
        </w:rPr>
      </w:pPr>
    </w:p>
    <w:p>
      <w:pPr>
        <w:jc w:val="both"/>
        <w:ind w:firstLine="7"/>
        <w:spacing w:after="0" w:line="290" w:lineRule="auto"/>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unfavorable Cost due to increased material and freight cost of $0.8 billion, increased engineering cost of $0.4 billion including accelerating our electric vehicle portfolio, increased manufacturing and advertising costs primarily related to the non-recurrence of austerity measures implemented in 2020 due to the COVID-19 pandemic, partially offset by decreased campaigns and other warranty-related costs of $0.8 billion, including the Chevrolet Bolt recall and associated recoveries; partially offset by (3) favorable price; (4) favorable mix associated with decreased sales of crossover vehicles and passenger cars, partially offset by a decrease in sales of full-size pickup trucks and; (5) favorable Other due to favorable revaluation of investments.</w:t>
      </w:r>
    </w:p>
    <w:p>
      <w:pPr>
        <w:spacing w:after="0" w:line="191"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In the nine months ended September 30, 2021, EBIT- adjusted increased primarily due to: (1) favorable price; (2) favorable mix; (3) favorable Other due to the foreign currency effect resulting from the strengthening of the Canadian Dollar and the Mexican Peso against the U.S. Dollar and favorable revaluation of investments; partially offset by (4) unfavorable Cost due to increased material and freight cost of $2.8 billion, increased engineering cost of $1.3 billion including accelerating our electric vehicle portfolio, increased manufacturing and advertising costs primarily related to the suspension of production and the non-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recurrence of austerity measures implemented in 2020 due to the COVID-19 pandemic, and increased campaigns and other warranty-related costs of $0.4 billion, including the Chevrolet Bolt recall and associated recoveries, partially offset by increased non-service pension income and; (5) decreased net wholesale volumes.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left="14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38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6"/>
              </w:rPr>
              <w:t>September 30, 2021</w:t>
            </w:r>
          </w:p>
        </w:tc>
        <w:tc>
          <w:tcPr>
            <w:tcW w:w="14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September 30, 2020</w:t>
            </w:r>
          </w:p>
        </w:tc>
        <w:tc>
          <w:tcPr>
            <w:tcW w:w="2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9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Pr>
          <w:p>
            <w:pPr>
              <w:spacing w:after="0"/>
              <w:rPr>
                <w:sz w:val="15"/>
                <w:szCs w:val="15"/>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15"/>
                <w:szCs w:val="15"/>
                <w:color w:val="auto"/>
              </w:rPr>
            </w:pPr>
          </w:p>
        </w:tc>
        <w:tc>
          <w:tcPr>
            <w:tcW w:w="5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5"/>
                <w:szCs w:val="15"/>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4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9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4"/>
          </w:tcPr>
          <w:p>
            <w:pPr>
              <w:jc w:val="center"/>
              <w:ind w:left="14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Total net sales and revenue</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2,843</w:t>
            </w:r>
          </w:p>
        </w:tc>
        <w:tc>
          <w:tcPr>
            <w:tcW w:w="74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229</w:t>
            </w:r>
          </w:p>
        </w:tc>
        <w:tc>
          <w:tcPr>
            <w:tcW w:w="740" w:type="dxa"/>
            <w:vAlign w:val="bottom"/>
          </w:tcPr>
          <w:p>
            <w:pPr>
              <w:jc w:val="right"/>
              <w:ind w:right="436"/>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EBIT-adjusted margin</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line="175" w:lineRule="exact"/>
              <w:rPr>
                <w:sz w:val="20"/>
                <w:szCs w:val="20"/>
                <w:color w:val="auto"/>
              </w:rPr>
            </w:pPr>
            <w:r>
              <w:rPr>
                <w:rFonts w:ascii="Arial" w:cs="Arial" w:eastAsia="Arial" w:hAnsi="Arial"/>
                <w:sz w:val="18"/>
                <w:szCs w:val="18"/>
                <w:i w:val="1"/>
                <w:iCs w:val="1"/>
                <w:color w:val="auto"/>
                <w:w w:val="96"/>
              </w:rPr>
              <w:t>Equity income — Automotive</w:t>
            </w:r>
          </w:p>
        </w:tc>
        <w:tc>
          <w:tcPr>
            <w:tcW w:w="420" w:type="dxa"/>
            <w:vAlign w:val="bottom"/>
            <w:vMerge w:val="restart"/>
          </w:tcPr>
          <w:p>
            <w:pPr>
              <w:jc w:val="right"/>
              <w:ind w:right="214"/>
              <w:spacing w:after="0"/>
              <w:rPr>
                <w:sz w:val="20"/>
                <w:szCs w:val="20"/>
                <w:color w:val="auto"/>
              </w:rPr>
            </w:pPr>
            <w:r>
              <w:rPr>
                <w:rFonts w:ascii="Arial" w:cs="Arial" w:eastAsia="Arial" w:hAnsi="Arial"/>
                <w:sz w:val="18"/>
                <w:szCs w:val="18"/>
                <w:i w:val="1"/>
                <w:iCs w:val="1"/>
                <w:color w:val="auto"/>
                <w:w w:val="99"/>
              </w:rPr>
              <w:t>$</w:t>
            </w:r>
          </w:p>
        </w:tc>
        <w:tc>
          <w:tcPr>
            <w:tcW w:w="960" w:type="dxa"/>
            <w:vAlign w:val="bottom"/>
            <w:vMerge w:val="restart"/>
          </w:tcPr>
          <w:p>
            <w:pPr>
              <w:jc w:val="right"/>
              <w:ind w:right="133"/>
              <w:spacing w:after="0"/>
              <w:rPr>
                <w:sz w:val="20"/>
                <w:szCs w:val="20"/>
                <w:color w:val="auto"/>
              </w:rPr>
            </w:pPr>
            <w:r>
              <w:rPr>
                <w:rFonts w:ascii="Arial" w:cs="Arial" w:eastAsia="Arial" w:hAnsi="Arial"/>
                <w:sz w:val="18"/>
                <w:szCs w:val="18"/>
                <w:i w:val="1"/>
                <w:iCs w:val="1"/>
                <w:color w:val="auto"/>
              </w:rPr>
              <w:t>270</w:t>
            </w:r>
          </w:p>
        </w:tc>
        <w:tc>
          <w:tcPr>
            <w:tcW w:w="740" w:type="dxa"/>
            <w:vAlign w:val="bottom"/>
            <w:vMerge w:val="restart"/>
          </w:tcPr>
          <w:p>
            <w:pPr>
              <w:jc w:val="right"/>
              <w:ind w:right="436"/>
              <w:spacing w:after="0"/>
              <w:rPr>
                <w:sz w:val="20"/>
                <w:szCs w:val="20"/>
                <w:color w:val="auto"/>
              </w:rPr>
            </w:pPr>
            <w:r>
              <w:rPr>
                <w:rFonts w:ascii="Arial" w:cs="Arial" w:eastAsia="Arial" w:hAnsi="Arial"/>
                <w:sz w:val="18"/>
                <w:szCs w:val="18"/>
                <w:i w:val="1"/>
                <w:iCs w:val="1"/>
                <w:color w:val="auto"/>
              </w:rPr>
              <w:t>$</w:t>
            </w:r>
          </w:p>
        </w:tc>
        <w:tc>
          <w:tcPr>
            <w:tcW w:w="740" w:type="dxa"/>
            <w:vAlign w:val="bottom"/>
            <w:vMerge w:val="restart"/>
          </w:tcPr>
          <w:p>
            <w:pPr>
              <w:jc w:val="right"/>
              <w:ind w:right="130"/>
              <w:spacing w:after="0"/>
              <w:rPr>
                <w:sz w:val="20"/>
                <w:szCs w:val="20"/>
                <w:color w:val="auto"/>
              </w:rPr>
            </w:pPr>
            <w:r>
              <w:rPr>
                <w:rFonts w:ascii="Arial" w:cs="Arial" w:eastAsia="Arial" w:hAnsi="Arial"/>
                <w:sz w:val="18"/>
                <w:szCs w:val="18"/>
                <w:i w:val="1"/>
                <w:iCs w:val="1"/>
                <w:color w:val="auto"/>
              </w:rPr>
              <w:t>262</w:t>
            </w:r>
          </w:p>
        </w:tc>
        <w:tc>
          <w:tcPr>
            <w:tcW w:w="2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vMerge w:val="restart"/>
          </w:tcPr>
          <w:p>
            <w:pPr>
              <w:jc w:val="right"/>
              <w:ind w:right="135"/>
              <w:spacing w:after="0"/>
              <w:rPr>
                <w:sz w:val="20"/>
                <w:szCs w:val="20"/>
                <w:color w:val="auto"/>
              </w:rPr>
            </w:pPr>
            <w:r>
              <w:rPr>
                <w:rFonts w:ascii="Arial" w:cs="Arial" w:eastAsia="Arial" w:hAnsi="Arial"/>
                <w:sz w:val="18"/>
                <w:szCs w:val="18"/>
                <w:i w:val="1"/>
                <w:iCs w:val="1"/>
                <w:color w:val="auto"/>
              </w:rPr>
              <w:t>8</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3.1 %</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60" w:type="dxa"/>
            <w:vAlign w:val="bottom"/>
          </w:tcPr>
          <w:p>
            <w:pPr>
              <w:ind w:left="180"/>
              <w:spacing w:after="0"/>
              <w:rPr>
                <w:sz w:val="20"/>
                <w:szCs w:val="20"/>
                <w:color w:val="auto"/>
              </w:rPr>
            </w:pPr>
            <w:r>
              <w:rPr>
                <w:rFonts w:ascii="Arial" w:cs="Arial" w:eastAsia="Arial" w:hAnsi="Arial"/>
                <w:sz w:val="18"/>
                <w:szCs w:val="18"/>
                <w:i w:val="1"/>
                <w:iCs w:val="1"/>
                <w:color w:val="auto"/>
              </w:rPr>
              <w:t>China</w:t>
            </w:r>
          </w:p>
        </w:tc>
        <w:tc>
          <w:tcPr>
            <w:tcW w:w="4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i w:val="1"/>
                <w:iCs w:val="1"/>
                <w:color w:val="auto"/>
              </w:rPr>
              <w:t>EBIT (loss)-adjusted —</w:t>
            </w:r>
          </w:p>
        </w:tc>
        <w:tc>
          <w:tcPr>
            <w:tcW w:w="420" w:type="dxa"/>
            <w:vAlign w:val="bottom"/>
            <w:vMerge w:val="restart"/>
            <w:shd w:val="clear" w:color="auto" w:fill="CCEEFF"/>
          </w:tcPr>
          <w:p>
            <w:pPr>
              <w:jc w:val="right"/>
              <w:ind w:right="214"/>
              <w:spacing w:after="0"/>
              <w:rPr>
                <w:sz w:val="20"/>
                <w:szCs w:val="20"/>
                <w:color w:val="auto"/>
              </w:rPr>
            </w:pPr>
            <w:r>
              <w:rPr>
                <w:rFonts w:ascii="Arial" w:cs="Arial" w:eastAsia="Arial" w:hAnsi="Arial"/>
                <w:sz w:val="18"/>
                <w:szCs w:val="18"/>
                <w:i w:val="1"/>
                <w:iCs w:val="1"/>
                <w:color w:val="auto"/>
                <w:w w:val="99"/>
              </w:rPr>
              <w:t>$</w:t>
            </w:r>
          </w:p>
        </w:tc>
        <w:tc>
          <w:tcPr>
            <w:tcW w:w="96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i w:val="1"/>
                <w:iCs w:val="1"/>
                <w:color w:val="auto"/>
              </w:rPr>
              <w:t>(41)</w:t>
            </w:r>
          </w:p>
        </w:tc>
        <w:tc>
          <w:tcPr>
            <w:tcW w:w="740" w:type="dxa"/>
            <w:vAlign w:val="bottom"/>
            <w:vMerge w:val="restart"/>
            <w:shd w:val="clear" w:color="auto" w:fill="CCEEFF"/>
          </w:tcPr>
          <w:p>
            <w:pPr>
              <w:jc w:val="right"/>
              <w:ind w:right="436"/>
              <w:spacing w:after="0"/>
              <w:rPr>
                <w:sz w:val="20"/>
                <w:szCs w:val="20"/>
                <w:color w:val="auto"/>
              </w:rPr>
            </w:pPr>
            <w:r>
              <w:rPr>
                <w:rFonts w:ascii="Arial" w:cs="Arial" w:eastAsia="Arial" w:hAnsi="Arial"/>
                <w:sz w:val="18"/>
                <w:szCs w:val="18"/>
                <w:i w:val="1"/>
                <w:iCs w:val="1"/>
                <w:color w:val="auto"/>
              </w:rPr>
              <w:t>$</w:t>
            </w:r>
          </w:p>
        </w:tc>
        <w:tc>
          <w:tcPr>
            <w:tcW w:w="7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(252)</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i w:val="1"/>
                <w:iCs w:val="1"/>
                <w:color w:val="auto"/>
              </w:rPr>
              <w:t>211</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83.7 %</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excluding Equity income</w:t>
            </w:r>
          </w:p>
        </w:tc>
        <w:tc>
          <w:tcPr>
            <w:tcW w:w="4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113</w:t>
            </w: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260" w:type="dxa"/>
            <w:vAlign w:val="bottom"/>
          </w:tcPr>
          <w:p>
            <w:pPr>
              <w:spacing w:after="0"/>
              <w:rPr>
                <w:sz w:val="20"/>
                <w:szCs w:val="20"/>
                <w:color w:val="auto"/>
              </w:rPr>
            </w:pPr>
            <w:r>
              <w:rPr>
                <w:rFonts w:ascii="Arial" w:cs="Arial" w:eastAsia="Arial" w:hAnsi="Arial"/>
                <w:sz w:val="16"/>
                <w:szCs w:val="16"/>
                <w:color w:val="auto"/>
              </w:rPr>
              <w:t>__________</w:t>
            </w: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260" w:type="dxa"/>
            <w:vAlign w:val="bottom"/>
          </w:tcPr>
          <w:p>
            <w:pPr>
              <w:spacing w:after="0"/>
              <w:rPr>
                <w:sz w:val="20"/>
                <w:szCs w:val="20"/>
                <w:color w:val="auto"/>
              </w:rPr>
            </w:pPr>
            <w:r>
              <w:rPr>
                <w:rFonts w:ascii="Arial" w:cs="Arial" w:eastAsia="Arial" w:hAnsi="Arial"/>
                <w:sz w:val="16"/>
                <w:szCs w:val="16"/>
                <w:color w:val="auto"/>
              </w:rPr>
              <w:t>n.m. = not meaningful</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4"/>
            <w:vMerge w:val="restart"/>
          </w:tcPr>
          <w:p>
            <w:pPr>
              <w:jc w:val="center"/>
              <w:ind w:left="14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38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6"/>
              </w:rPr>
              <w:t>September 30, 2021</w:t>
            </w:r>
          </w:p>
        </w:tc>
        <w:tc>
          <w:tcPr>
            <w:tcW w:w="14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September 30, 2020</w:t>
            </w:r>
          </w:p>
        </w:tc>
        <w:tc>
          <w:tcPr>
            <w:tcW w:w="2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9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Pr>
          <w:p>
            <w:pPr>
              <w:spacing w:after="0"/>
              <w:rPr>
                <w:sz w:val="15"/>
                <w:szCs w:val="15"/>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15"/>
                <w:szCs w:val="15"/>
                <w:color w:val="auto"/>
              </w:rPr>
            </w:pPr>
          </w:p>
        </w:tc>
        <w:tc>
          <w:tcPr>
            <w:tcW w:w="5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5"/>
                <w:szCs w:val="15"/>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4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9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4"/>
          </w:tcPr>
          <w:p>
            <w:pPr>
              <w:jc w:val="center"/>
              <w:ind w:left="14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Total net sales and revenue</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8,721</w:t>
            </w:r>
          </w:p>
        </w:tc>
        <w:tc>
          <w:tcPr>
            <w:tcW w:w="7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7,692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420" w:type="dxa"/>
            <w:vAlign w:val="bottom"/>
          </w:tcPr>
          <w:p>
            <w:pPr>
              <w:jc w:val="right"/>
              <w:ind w:right="234"/>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3"/>
              <w:spacing w:after="0"/>
              <w:rPr>
                <w:sz w:val="20"/>
                <w:szCs w:val="20"/>
                <w:color w:val="auto"/>
              </w:rPr>
            </w:pPr>
            <w:r>
              <w:rPr>
                <w:rFonts w:ascii="Arial" w:cs="Arial" w:eastAsia="Arial" w:hAnsi="Arial"/>
                <w:sz w:val="18"/>
                <w:szCs w:val="18"/>
                <w:color w:val="auto"/>
              </w:rPr>
              <w:t>552</w:t>
            </w:r>
          </w:p>
        </w:tc>
        <w:tc>
          <w:tcPr>
            <w:tcW w:w="740" w:type="dxa"/>
            <w:vAlign w:val="bottom"/>
          </w:tcPr>
          <w:p>
            <w:pPr>
              <w:jc w:val="right"/>
              <w:ind w:right="456"/>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(811)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9"/>
                <w:szCs w:val="19"/>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rPr>
              <w:t>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6"/>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EBIT (loss)-adjusted margin</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line="175" w:lineRule="exact"/>
              <w:rPr>
                <w:sz w:val="20"/>
                <w:szCs w:val="20"/>
                <w:color w:val="auto"/>
              </w:rPr>
            </w:pPr>
            <w:r>
              <w:rPr>
                <w:rFonts w:ascii="Arial" w:cs="Arial" w:eastAsia="Arial" w:hAnsi="Arial"/>
                <w:sz w:val="18"/>
                <w:szCs w:val="18"/>
                <w:i w:val="1"/>
                <w:iCs w:val="1"/>
                <w:color w:val="auto"/>
                <w:w w:val="96"/>
              </w:rPr>
              <w:t>Equity income — Automotive</w:t>
            </w:r>
          </w:p>
        </w:tc>
        <w:tc>
          <w:tcPr>
            <w:tcW w:w="420" w:type="dxa"/>
            <w:vAlign w:val="bottom"/>
            <w:vMerge w:val="restart"/>
          </w:tcPr>
          <w:p>
            <w:pPr>
              <w:jc w:val="right"/>
              <w:ind w:right="234"/>
              <w:spacing w:after="0"/>
              <w:rPr>
                <w:sz w:val="20"/>
                <w:szCs w:val="20"/>
                <w:color w:val="auto"/>
              </w:rPr>
            </w:pPr>
            <w:r>
              <w:rPr>
                <w:rFonts w:ascii="Arial" w:cs="Arial" w:eastAsia="Arial" w:hAnsi="Arial"/>
                <w:sz w:val="18"/>
                <w:szCs w:val="18"/>
                <w:i w:val="1"/>
                <w:iCs w:val="1"/>
                <w:color w:val="auto"/>
                <w:w w:val="79"/>
              </w:rPr>
              <w:t>$</w:t>
            </w:r>
          </w:p>
        </w:tc>
        <w:tc>
          <w:tcPr>
            <w:tcW w:w="960" w:type="dxa"/>
            <w:vAlign w:val="bottom"/>
            <w:vMerge w:val="restart"/>
          </w:tcPr>
          <w:p>
            <w:pPr>
              <w:jc w:val="right"/>
              <w:ind w:right="153"/>
              <w:spacing w:after="0"/>
              <w:rPr>
                <w:sz w:val="20"/>
                <w:szCs w:val="20"/>
                <w:color w:val="auto"/>
              </w:rPr>
            </w:pPr>
            <w:r>
              <w:rPr>
                <w:rFonts w:ascii="Arial" w:cs="Arial" w:eastAsia="Arial" w:hAnsi="Arial"/>
                <w:sz w:val="18"/>
                <w:szCs w:val="18"/>
                <w:i w:val="1"/>
                <w:iCs w:val="1"/>
                <w:color w:val="auto"/>
              </w:rPr>
              <w:t>854</w:t>
            </w:r>
          </w:p>
        </w:tc>
        <w:tc>
          <w:tcPr>
            <w:tcW w:w="740" w:type="dxa"/>
            <w:vAlign w:val="bottom"/>
            <w:vMerge w:val="restart"/>
          </w:tcPr>
          <w:p>
            <w:pPr>
              <w:jc w:val="right"/>
              <w:ind w:right="456"/>
              <w:spacing w:after="0"/>
              <w:rPr>
                <w:sz w:val="20"/>
                <w:szCs w:val="20"/>
                <w:color w:val="auto"/>
              </w:rPr>
            </w:pPr>
            <w:r>
              <w:rPr>
                <w:rFonts w:ascii="Arial" w:cs="Arial" w:eastAsia="Arial" w:hAnsi="Arial"/>
                <w:sz w:val="18"/>
                <w:szCs w:val="18"/>
                <w:i w:val="1"/>
                <w:iCs w:val="1"/>
                <w:color w:val="auto"/>
              </w:rPr>
              <w:t>$</w:t>
            </w:r>
          </w:p>
        </w:tc>
        <w:tc>
          <w:tcPr>
            <w:tcW w:w="740" w:type="dxa"/>
            <w:vAlign w:val="bottom"/>
            <w:vMerge w:val="restart"/>
          </w:tcPr>
          <w:p>
            <w:pPr>
              <w:jc w:val="right"/>
              <w:ind w:right="130"/>
              <w:spacing w:after="0"/>
              <w:rPr>
                <w:sz w:val="20"/>
                <w:szCs w:val="20"/>
                <w:color w:val="auto"/>
              </w:rPr>
            </w:pPr>
            <w:r>
              <w:rPr>
                <w:rFonts w:ascii="Arial" w:cs="Arial" w:eastAsia="Arial" w:hAnsi="Arial"/>
                <w:sz w:val="18"/>
                <w:szCs w:val="18"/>
                <w:i w:val="1"/>
                <w:iCs w:val="1"/>
                <w:color w:val="auto"/>
              </w:rPr>
              <w:t>264</w:t>
            </w:r>
          </w:p>
        </w:tc>
        <w:tc>
          <w:tcPr>
            <w:tcW w:w="2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vMerge w:val="restart"/>
          </w:tcPr>
          <w:p>
            <w:pPr>
              <w:jc w:val="right"/>
              <w:ind w:right="135"/>
              <w:spacing w:after="0"/>
              <w:rPr>
                <w:sz w:val="20"/>
                <w:szCs w:val="20"/>
                <w:color w:val="auto"/>
              </w:rPr>
            </w:pPr>
            <w:r>
              <w:rPr>
                <w:rFonts w:ascii="Arial" w:cs="Arial" w:eastAsia="Arial" w:hAnsi="Arial"/>
                <w:sz w:val="18"/>
                <w:szCs w:val="18"/>
                <w:i w:val="1"/>
                <w:iCs w:val="1"/>
                <w:color w:val="auto"/>
              </w:rPr>
              <w:t>590</w:t>
            </w:r>
          </w:p>
        </w:tc>
        <w:tc>
          <w:tcPr>
            <w:tcW w:w="100" w:type="dxa"/>
            <w:vAlign w:val="bottom"/>
          </w:tcPr>
          <w:p>
            <w:pPr>
              <w:spacing w:after="0"/>
              <w:rPr>
                <w:sz w:val="15"/>
                <w:szCs w:val="15"/>
                <w:color w:val="auto"/>
              </w:rPr>
            </w:pPr>
          </w:p>
        </w:tc>
        <w:tc>
          <w:tcPr>
            <w:tcW w:w="10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8"/>
                <w:szCs w:val="18"/>
                <w:i w:val="1"/>
                <w:iCs w:val="1"/>
                <w:color w:val="auto"/>
              </w:rPr>
              <w:t>n.m.</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60" w:type="dxa"/>
            <w:vAlign w:val="bottom"/>
          </w:tcPr>
          <w:p>
            <w:pPr>
              <w:ind w:left="180"/>
              <w:spacing w:after="0"/>
              <w:rPr>
                <w:sz w:val="20"/>
                <w:szCs w:val="20"/>
                <w:color w:val="auto"/>
              </w:rPr>
            </w:pPr>
            <w:r>
              <w:rPr>
                <w:rFonts w:ascii="Arial" w:cs="Arial" w:eastAsia="Arial" w:hAnsi="Arial"/>
                <w:sz w:val="18"/>
                <w:szCs w:val="18"/>
                <w:i w:val="1"/>
                <w:iCs w:val="1"/>
                <w:color w:val="auto"/>
              </w:rPr>
              <w:t>China</w:t>
            </w:r>
          </w:p>
        </w:tc>
        <w:tc>
          <w:tcPr>
            <w:tcW w:w="4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i w:val="1"/>
                <w:iCs w:val="1"/>
                <w:color w:val="auto"/>
              </w:rPr>
              <w:t>EBIT (loss)-adjusted —</w:t>
            </w:r>
          </w:p>
        </w:tc>
        <w:tc>
          <w:tcPr>
            <w:tcW w:w="420" w:type="dxa"/>
            <w:vAlign w:val="bottom"/>
            <w:vMerge w:val="restart"/>
            <w:shd w:val="clear" w:color="auto" w:fill="CCEEFF"/>
          </w:tcPr>
          <w:p>
            <w:pPr>
              <w:jc w:val="right"/>
              <w:ind w:right="234"/>
              <w:spacing w:after="0"/>
              <w:rPr>
                <w:sz w:val="20"/>
                <w:szCs w:val="20"/>
                <w:color w:val="auto"/>
              </w:rPr>
            </w:pPr>
            <w:r>
              <w:rPr>
                <w:rFonts w:ascii="Arial" w:cs="Arial" w:eastAsia="Arial" w:hAnsi="Arial"/>
                <w:sz w:val="18"/>
                <w:szCs w:val="18"/>
                <w:i w:val="1"/>
                <w:iCs w:val="1"/>
                <w:color w:val="auto"/>
                <w:w w:val="79"/>
              </w:rPr>
              <w:t>$</w:t>
            </w:r>
          </w:p>
        </w:tc>
        <w:tc>
          <w:tcPr>
            <w:tcW w:w="96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i w:val="1"/>
                <w:iCs w:val="1"/>
                <w:color w:val="auto"/>
              </w:rPr>
              <w:t>(302)</w:t>
            </w:r>
          </w:p>
        </w:tc>
        <w:tc>
          <w:tcPr>
            <w:tcW w:w="740" w:type="dxa"/>
            <w:vAlign w:val="bottom"/>
            <w:vMerge w:val="restart"/>
            <w:shd w:val="clear" w:color="auto" w:fill="CCEEFF"/>
          </w:tcPr>
          <w:p>
            <w:pPr>
              <w:jc w:val="right"/>
              <w:ind w:right="456"/>
              <w:spacing w:after="0"/>
              <w:rPr>
                <w:sz w:val="20"/>
                <w:szCs w:val="20"/>
                <w:color w:val="auto"/>
              </w:rPr>
            </w:pPr>
            <w:r>
              <w:rPr>
                <w:rFonts w:ascii="Arial" w:cs="Arial" w:eastAsia="Arial" w:hAnsi="Arial"/>
                <w:sz w:val="18"/>
                <w:szCs w:val="18"/>
                <w:i w:val="1"/>
                <w:iCs w:val="1"/>
                <w:color w:val="auto"/>
              </w:rPr>
              <w:t>$</w:t>
            </w:r>
          </w:p>
        </w:tc>
        <w:tc>
          <w:tcPr>
            <w:tcW w:w="7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4"/>
              </w:rPr>
              <w:t>(1,075)</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i w:val="1"/>
                <w:iCs w:val="1"/>
                <w:color w:val="auto"/>
              </w:rPr>
              <w:t>773</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71.9 %</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excluding Equity income</w:t>
            </w:r>
          </w:p>
        </w:tc>
        <w:tc>
          <w:tcPr>
            <w:tcW w:w="4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388</w:t>
            </w: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447</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28"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 (loss)-adjusted above.</w:t>
      </w:r>
    </w:p>
    <w:p>
      <w:pPr>
        <w:spacing w:after="0" w:line="184" w:lineRule="exact"/>
        <w:rPr>
          <w:sz w:val="20"/>
          <w:szCs w:val="20"/>
          <w:color w:val="auto"/>
        </w:rPr>
      </w:pPr>
    </w:p>
    <w:p>
      <w:pPr>
        <w:jc w:val="both"/>
        <w:ind w:firstLine="161"/>
        <w:spacing w:after="0" w:line="230" w:lineRule="auto"/>
        <w:rPr>
          <w:sz w:val="20"/>
          <w:szCs w:val="20"/>
          <w:color w:val="auto"/>
        </w:rPr>
      </w:pPr>
      <w:r>
        <w:rPr>
          <w:rFonts w:ascii="Arial" w:cs="Arial" w:eastAsia="Arial" w:hAnsi="Arial"/>
          <w:sz w:val="18"/>
          <w:szCs w:val="18"/>
          <w:b w:val="1"/>
          <w:bCs w:val="1"/>
          <w:i w:val="1"/>
          <w:iCs w:val="1"/>
          <w:color w:val="auto"/>
        </w:rPr>
        <w:t xml:space="preserve">GMI Total Net Sales and Revenue </w:t>
      </w:r>
      <w:r>
        <w:rPr>
          <w:rFonts w:ascii="Arial" w:cs="Arial" w:eastAsia="Arial" w:hAnsi="Arial"/>
          <w:sz w:val="18"/>
          <w:szCs w:val="18"/>
          <w:color w:val="auto"/>
        </w:rPr>
        <w:t>In the three months ended September 30, 2021, Total net sales and revenue increased primarily due to: (1) favorable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mix in South America, Asia/Pacific and the Middle East; (2) favorable pricing across multiple vehicle lines in Brazil and Argentina; and (3) favorable Other primarily due to increased components, parts and accessories sales; partially offset by (4) decreased wholesale volumes due to the semiconductor supply shortage.</w:t>
      </w:r>
    </w:p>
    <w:p>
      <w:pPr>
        <w:spacing w:after="0" w:line="201" w:lineRule="exact"/>
        <w:rPr>
          <w:sz w:val="20"/>
          <w:szCs w:val="20"/>
          <w:color w:val="auto"/>
        </w:rPr>
      </w:pPr>
    </w:p>
    <w:p>
      <w:pPr>
        <w:jc w:val="both"/>
        <w:ind w:firstLine="161"/>
        <w:spacing w:after="0" w:line="227" w:lineRule="auto"/>
        <w:rPr>
          <w:sz w:val="20"/>
          <w:szCs w:val="20"/>
          <w:color w:val="auto"/>
        </w:rPr>
      </w:pPr>
      <w:r>
        <w:rPr>
          <w:rFonts w:ascii="Arial" w:cs="Arial" w:eastAsia="Arial" w:hAnsi="Arial"/>
          <w:sz w:val="18"/>
          <w:szCs w:val="18"/>
          <w:color w:val="auto"/>
        </w:rPr>
        <w:t>In the nine months ended September 30, 2021, Total net sales and revenue increased primarily due to: (1) favorable mix in South America, Asia/Pacific and the Middle East; (2) favorable pricing across multiple vehicle lines in Brazil and Argentina; and (3) favorable Other primarily due to increased components, parts and accessories sales, partially offset by the foreign currency effect resulting from the weakening of various currencies against the U.S. dollar; partially offset by (4) decreased wholesale volumes primarily due to the semiconductor supply shortage and the wind-down of our vehicle sales operations in Australia, New Zealand and Thailand.</w:t>
      </w:r>
    </w:p>
    <w:p>
      <w:pPr>
        <w:spacing w:after="0" w:line="204" w:lineRule="exact"/>
        <w:rPr>
          <w:sz w:val="20"/>
          <w:szCs w:val="20"/>
          <w:color w:val="auto"/>
        </w:rPr>
      </w:pPr>
    </w:p>
    <w:p>
      <w:pPr>
        <w:jc w:val="both"/>
        <w:ind w:firstLine="161"/>
        <w:spacing w:after="0" w:line="244" w:lineRule="auto"/>
        <w:rPr>
          <w:sz w:val="20"/>
          <w:szCs w:val="20"/>
          <w:color w:val="auto"/>
        </w:rPr>
      </w:pPr>
      <w:r>
        <w:rPr>
          <w:rFonts w:ascii="Arial" w:cs="Arial" w:eastAsia="Arial" w:hAnsi="Arial"/>
          <w:sz w:val="18"/>
          <w:szCs w:val="18"/>
          <w:b w:val="1"/>
          <w:bCs w:val="1"/>
          <w:i w:val="1"/>
          <w:iCs w:val="1"/>
          <w:color w:val="auto"/>
        </w:rPr>
        <w:t xml:space="preserve">GMI EBIT (Loss)-Adjusted </w:t>
      </w:r>
      <w:r>
        <w:rPr>
          <w:rFonts w:ascii="Arial" w:cs="Arial" w:eastAsia="Arial" w:hAnsi="Arial"/>
          <w:sz w:val="18"/>
          <w:szCs w:val="18"/>
          <w:color w:val="auto"/>
        </w:rPr>
        <w:t>In the three months ended September 30, 2021, EBIT-adjusted increased primarily due to: (1) favorable mix; and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favorable price; partially offset by (3) decreased wholesale volumes.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nine months ended September 30, 2021, EBIT-adjusted increased primarily due to: (1) favorable mix; (2) favorable price; and (3) favorable Other primarily due to increased equity income; partially offset by (4) unfavorable Cost primarily due to increased material costs; and (5) decreased wholesale volumes.</w:t>
      </w:r>
    </w:p>
    <w:p>
      <w:pPr>
        <w:spacing w:after="0" w:line="209"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In the coming years we plan to leverage our global architectures to increase the number of product offerings under the Buick, Chevrolet and Cadillac brands in China and continue to grow our business under the local Baojun and Wuling brands. We operate in the Chinese market through a number of joint ventures and maintaining strong relationships with our joint venture partners is an important part of our China growth strategy.</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certain key operational and financial data for the Automotive China JVs (vehicles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6"/>
              </w:rPr>
              <w:t>Nine Months Ended</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gridSpan w:val="6"/>
          </w:tcPr>
          <w:p>
            <w:pPr>
              <w:ind w:left="100"/>
              <w:spacing w:after="0"/>
              <w:rPr>
                <w:sz w:val="20"/>
                <w:szCs w:val="20"/>
                <w:color w:val="auto"/>
              </w:rPr>
            </w:pPr>
            <w:r>
              <w:rPr>
                <w:rFonts w:ascii="Arial" w:cs="Arial" w:eastAsia="Arial" w:hAnsi="Arial"/>
                <w:sz w:val="14"/>
                <w:szCs w:val="14"/>
                <w:b w:val="1"/>
                <w:bCs w:val="1"/>
                <w:color w:val="auto"/>
                <w:w w:val="99"/>
              </w:rPr>
              <w:t>September 30, 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w w:val="90"/>
              </w:rPr>
              <w:t>September 30, 2020</w:t>
            </w:r>
          </w:p>
        </w:tc>
        <w:tc>
          <w:tcPr>
            <w:tcW w:w="100" w:type="dxa"/>
            <w:vAlign w:val="bottom"/>
          </w:tcPr>
          <w:p>
            <w:pPr>
              <w:spacing w:after="0"/>
              <w:rPr>
                <w:sz w:val="16"/>
                <w:szCs w:val="16"/>
                <w:color w:val="auto"/>
              </w:rPr>
            </w:pPr>
          </w:p>
        </w:tc>
        <w:tc>
          <w:tcPr>
            <w:tcW w:w="1540" w:type="dxa"/>
            <w:vAlign w:val="bottom"/>
            <w:gridSpan w:val="4"/>
          </w:tcPr>
          <w:p>
            <w:pPr>
              <w:ind w:left="120"/>
              <w:spacing w:after="0"/>
              <w:rPr>
                <w:sz w:val="20"/>
                <w:szCs w:val="20"/>
                <w:color w:val="auto"/>
              </w:rPr>
            </w:pPr>
            <w:r>
              <w:rPr>
                <w:rFonts w:ascii="Arial" w:cs="Arial" w:eastAsia="Arial" w:hAnsi="Arial"/>
                <w:sz w:val="14"/>
                <w:szCs w:val="14"/>
                <w:b w:val="1"/>
                <w:bCs w:val="1"/>
                <w:color w:val="auto"/>
              </w:rPr>
              <w:t>September 30, 2021</w:t>
            </w:r>
          </w:p>
        </w:tc>
        <w:tc>
          <w:tcPr>
            <w:tcW w:w="144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w w:val="99"/>
              </w:rPr>
              <w:t>September 30, 2020</w:t>
            </w:r>
          </w:p>
        </w:tc>
        <w:tc>
          <w:tcPr>
            <w:tcW w:w="0" w:type="dxa"/>
            <w:vAlign w:val="bottom"/>
          </w:tcPr>
          <w:p>
            <w:pPr>
              <w:spacing w:after="0"/>
              <w:rPr>
                <w:sz w:val="1"/>
                <w:szCs w:val="1"/>
                <w:color w:val="auto"/>
              </w:rPr>
            </w:pPr>
          </w:p>
        </w:tc>
      </w:tr>
      <w:tr>
        <w:trPr>
          <w:trHeight w:val="156"/>
        </w:trPr>
        <w:tc>
          <w:tcPr>
            <w:tcW w:w="5200" w:type="dxa"/>
            <w:vAlign w:val="bottom"/>
            <w:tcBorders>
              <w:top w:val="single" w:sz="8" w:color="CCEEFF"/>
            </w:tcBorders>
            <w:gridSpan w:val="9"/>
            <w:shd w:val="clear" w:color="auto" w:fill="CCEEFF"/>
          </w:tcPr>
          <w:p>
            <w:pPr>
              <w:ind w:left="20"/>
              <w:spacing w:after="0" w:line="156" w:lineRule="exact"/>
              <w:rPr>
                <w:sz w:val="20"/>
                <w:szCs w:val="20"/>
                <w:color w:val="auto"/>
              </w:rPr>
            </w:pPr>
            <w:r>
              <w:rPr>
                <w:rFonts w:ascii="Arial" w:cs="Arial" w:eastAsia="Arial" w:hAnsi="Arial"/>
                <w:sz w:val="18"/>
                <w:szCs w:val="18"/>
                <w:color w:val="auto"/>
                <w:w w:val="90"/>
              </w:rPr>
              <w:t>Wholesale vehicle sales, including vehicles exported to markets outside</w:t>
            </w:r>
          </w:p>
        </w:tc>
        <w:tc>
          <w:tcPr>
            <w:tcW w:w="2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705</w:t>
            </w: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w w:val="99"/>
              </w:rPr>
              <w:t>848</w:t>
            </w: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2,000</w:t>
            </w: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28"/>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China</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960" w:type="dxa"/>
            <w:vAlign w:val="bottom"/>
            <w:gridSpan w:val="2"/>
          </w:tcPr>
          <w:p>
            <w:pPr>
              <w:ind w:left="20"/>
              <w:spacing w:after="0"/>
              <w:rPr>
                <w:sz w:val="20"/>
                <w:szCs w:val="20"/>
                <w:color w:val="auto"/>
              </w:rPr>
            </w:pPr>
            <w:r>
              <w:rPr>
                <w:rFonts w:ascii="Arial" w:cs="Arial" w:eastAsia="Arial" w:hAnsi="Arial"/>
                <w:sz w:val="18"/>
                <w:szCs w:val="18"/>
                <w:color w:val="auto"/>
                <w:w w:val="86"/>
              </w:rPr>
              <w:t>Total net sales and revenue</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10,321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8"/>
              <w:spacing w:after="0"/>
              <w:rPr>
                <w:sz w:val="20"/>
                <w:szCs w:val="20"/>
                <w:color w:val="auto"/>
              </w:rPr>
            </w:pPr>
            <w:r>
              <w:rPr>
                <w:rFonts w:ascii="Arial" w:cs="Arial" w:eastAsia="Arial" w:hAnsi="Arial"/>
                <w:sz w:val="18"/>
                <w:szCs w:val="18"/>
                <w:color w:val="auto"/>
              </w:rPr>
              <w:t>11,029</w:t>
            </w:r>
          </w:p>
        </w:tc>
        <w:tc>
          <w:tcPr>
            <w:tcW w:w="100" w:type="dxa"/>
            <w:vAlign w:val="bottom"/>
          </w:tcPr>
          <w:p>
            <w:pPr>
              <w:spacing w:after="0"/>
              <w:rPr>
                <w:sz w:val="19"/>
                <w:szCs w:val="19"/>
                <w:color w:val="auto"/>
              </w:rPr>
            </w:pP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
              <w:spacing w:after="0"/>
              <w:rPr>
                <w:sz w:val="20"/>
                <w:szCs w:val="20"/>
                <w:color w:val="auto"/>
              </w:rPr>
            </w:pPr>
            <w:r>
              <w:rPr>
                <w:rFonts w:ascii="Arial" w:cs="Arial" w:eastAsia="Arial" w:hAnsi="Arial"/>
                <w:sz w:val="18"/>
                <w:szCs w:val="18"/>
                <w:color w:val="auto"/>
              </w:rPr>
              <w:t>29,150</w:t>
            </w:r>
          </w:p>
        </w:tc>
        <w:tc>
          <w:tcPr>
            <w:tcW w:w="100" w:type="dxa"/>
            <w:vAlign w:val="bottom"/>
          </w:tcPr>
          <w:p>
            <w:pPr>
              <w:spacing w:after="0"/>
              <w:rPr>
                <w:sz w:val="19"/>
                <w:szCs w:val="19"/>
                <w:color w:val="auto"/>
              </w:rPr>
            </w:pPr>
          </w:p>
        </w:tc>
        <w:tc>
          <w:tcPr>
            <w:tcW w:w="520" w:type="dxa"/>
            <w:vAlign w:val="bottom"/>
          </w:tcPr>
          <w:p>
            <w:pPr>
              <w:jc w:val="right"/>
              <w:ind w:right="318"/>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24,589</w:t>
            </w:r>
          </w:p>
        </w:tc>
        <w:tc>
          <w:tcPr>
            <w:tcW w:w="0" w:type="dxa"/>
            <w:vAlign w:val="bottom"/>
          </w:tcPr>
          <w:p>
            <w:pPr>
              <w:spacing w:after="0"/>
              <w:rPr>
                <w:sz w:val="1"/>
                <w:szCs w:val="1"/>
                <w:color w:val="auto"/>
              </w:rPr>
            </w:pPr>
          </w:p>
        </w:tc>
      </w:tr>
      <w:tr>
        <w:trPr>
          <w:trHeight w:val="228"/>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535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538"/>
        </w:trPr>
        <w:tc>
          <w:tcPr>
            <w:tcW w:w="1840" w:type="dxa"/>
            <w:vAlign w:val="bottom"/>
          </w:tcPr>
          <w:p>
            <w:pPr>
              <w:spacing w:after="0"/>
              <w:rPr>
                <w:sz w:val="20"/>
                <w:szCs w:val="20"/>
                <w:color w:val="auto"/>
              </w:rPr>
            </w:pPr>
            <w:r>
              <w:rPr>
                <w:rFonts w:ascii="Arial" w:cs="Arial" w:eastAsia="Arial" w:hAnsi="Arial"/>
                <w:sz w:val="18"/>
                <w:szCs w:val="18"/>
                <w:b w:val="1"/>
                <w:bCs w:val="1"/>
                <w:color w:val="auto"/>
              </w:rPr>
              <w:t>Cruise</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gridSpan w:val="4"/>
            <w:vMerge w:val="restart"/>
          </w:tcPr>
          <w:p>
            <w:pPr>
              <w:jc w:val="right"/>
              <w:ind w:right="48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gridSpan w:val="5"/>
            <w:vMerge w:val="restart"/>
          </w:tcPr>
          <w:p>
            <w:pPr>
              <w:jc w:val="right"/>
              <w:ind w:right="519"/>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1"/>
                <w:szCs w:val="11"/>
                <w:color w:val="auto"/>
              </w:rPr>
            </w:pPr>
          </w:p>
        </w:tc>
        <w:tc>
          <w:tcPr>
            <w:tcW w:w="102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Favorable /</w:t>
            </w:r>
          </w:p>
        </w:tc>
        <w:tc>
          <w:tcPr>
            <w:tcW w:w="82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1"/>
                <w:szCs w:val="11"/>
                <w:color w:val="auto"/>
              </w:rPr>
            </w:pPr>
          </w:p>
        </w:tc>
        <w:tc>
          <w:tcPr>
            <w:tcW w:w="1160" w:type="dxa"/>
            <w:vAlign w:val="bottom"/>
            <w:gridSpan w:val="3"/>
          </w:tcPr>
          <w:p>
            <w:pPr>
              <w:jc w:val="right"/>
              <w:ind w:right="59"/>
              <w:spacing w:after="0" w:line="135"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1"/>
                <w:szCs w:val="11"/>
                <w:color w:val="auto"/>
              </w:rPr>
            </w:pPr>
          </w:p>
        </w:tc>
        <w:tc>
          <w:tcPr>
            <w:tcW w:w="1280" w:type="dxa"/>
            <w:vAlign w:val="bottom"/>
            <w:gridSpan w:val="4"/>
          </w:tcPr>
          <w:p>
            <w:pPr>
              <w:ind w:left="240"/>
              <w:spacing w:after="0" w:line="135" w:lineRule="exact"/>
              <w:rPr>
                <w:sz w:val="20"/>
                <w:szCs w:val="20"/>
                <w:color w:val="auto"/>
              </w:rPr>
            </w:pPr>
            <w:r>
              <w:rPr>
                <w:rFonts w:ascii="Arial" w:cs="Arial" w:eastAsia="Arial" w:hAnsi="Arial"/>
                <w:sz w:val="14"/>
                <w:szCs w:val="14"/>
                <w:b w:val="1"/>
                <w:bCs w:val="1"/>
                <w:color w:val="auto"/>
              </w:rPr>
              <w:t>Favorable /</w:t>
            </w:r>
          </w:p>
        </w:tc>
        <w:tc>
          <w:tcPr>
            <w:tcW w:w="8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18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44"/>
              <w:spacing w:after="0"/>
              <w:rPr>
                <w:sz w:val="20"/>
                <w:szCs w:val="20"/>
                <w:color w:val="auto"/>
              </w:rPr>
            </w:pPr>
            <w:r>
              <w:rPr>
                <w:rFonts w:ascii="Arial" w:cs="Arial" w:eastAsia="Arial" w:hAnsi="Arial"/>
                <w:sz w:val="14"/>
                <w:szCs w:val="14"/>
                <w:b w:val="1"/>
                <w:bCs w:val="1"/>
                <w:color w:val="auto"/>
                <w:w w:val="95"/>
              </w:rPr>
              <w:t>(Unfavorable)</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14"/>
                <w:szCs w:val="14"/>
                <w:b w:val="1"/>
                <w:bCs w:val="1"/>
                <w:color w:val="auto"/>
              </w:rPr>
              <w:t>(Unfavorable)</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rPr>
              <w:t>Total net sales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40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680" w:type="dxa"/>
            <w:vAlign w:val="bottom"/>
            <w:gridSpan w:val="2"/>
            <w:vMerge w:val="restart"/>
            <w:shd w:val="clear" w:color="auto" w:fill="CCEEFF"/>
          </w:tcPr>
          <w:p>
            <w:pPr>
              <w:jc w:val="right"/>
              <w:ind w:right="40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1"/>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revenue(a)</w:t>
            </w:r>
          </w:p>
        </w:tc>
        <w:tc>
          <w:tcPr>
            <w:tcW w:w="1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4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40" w:type="dxa"/>
            <w:vAlign w:val="bottom"/>
          </w:tcPr>
          <w:p>
            <w:pPr>
              <w:ind w:left="20"/>
              <w:spacing w:after="0"/>
              <w:rPr>
                <w:sz w:val="20"/>
                <w:szCs w:val="20"/>
                <w:color w:val="auto"/>
              </w:rPr>
            </w:pPr>
            <w:r>
              <w:rPr>
                <w:rFonts w:ascii="Arial" w:cs="Arial" w:eastAsia="Arial" w:hAnsi="Arial"/>
                <w:sz w:val="16"/>
                <w:szCs w:val="16"/>
                <w:color w:val="auto"/>
              </w:rPr>
              <w:t>EBIT (loss)-adjusted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740"/>
              <w:spacing w:after="0"/>
              <w:rPr>
                <w:sz w:val="20"/>
                <w:szCs w:val="20"/>
                <w:color w:val="auto"/>
              </w:rPr>
            </w:pPr>
            <w:r>
              <w:rPr>
                <w:rFonts w:ascii="Arial" w:cs="Arial" w:eastAsia="Arial" w:hAnsi="Arial"/>
                <w:sz w:val="16"/>
                <w:szCs w:val="16"/>
                <w:color w:val="auto"/>
                <w:w w:val="91"/>
              </w:rPr>
              <w:t>(82)</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(847)</w:t>
            </w:r>
          </w:p>
        </w:tc>
        <w:tc>
          <w:tcPr>
            <w:tcW w:w="40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(627)</w:t>
            </w:r>
          </w:p>
        </w:tc>
        <w:tc>
          <w:tcPr>
            <w:tcW w:w="680" w:type="dxa"/>
            <w:vAlign w:val="bottom"/>
            <w:gridSpan w:val="2"/>
          </w:tcPr>
          <w:p>
            <w:pPr>
              <w:jc w:val="right"/>
              <w:ind w:right="40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line="255" w:lineRule="auto"/>
        <w:tabs>
          <w:tab w:leader="none" w:pos="331"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Primarily reclassified to Interest income and other non-operating income, net in our condensed consolidated income statements in the three and nine months ended September 30, 2021 and 2020.</w:t>
      </w:r>
    </w:p>
    <w:p>
      <w:pPr>
        <w:spacing w:after="0" w:line="209" w:lineRule="exact"/>
        <w:rPr>
          <w:sz w:val="20"/>
          <w:szCs w:val="20"/>
          <w:color w:val="auto"/>
        </w:rPr>
      </w:pPr>
    </w:p>
    <w:p>
      <w:pPr>
        <w:jc w:val="both"/>
        <w:ind w:firstLine="161"/>
        <w:spacing w:after="0" w:line="252" w:lineRule="auto"/>
        <w:rPr>
          <w:sz w:val="20"/>
          <w:szCs w:val="20"/>
          <w:color w:val="auto"/>
        </w:rPr>
      </w:pPr>
      <w:r>
        <w:rPr>
          <w:rFonts w:ascii="Arial" w:cs="Arial" w:eastAsia="Arial" w:hAnsi="Arial"/>
          <w:sz w:val="18"/>
          <w:szCs w:val="18"/>
          <w:b w:val="1"/>
          <w:bCs w:val="1"/>
          <w:i w:val="1"/>
          <w:iCs w:val="1"/>
          <w:color w:val="auto"/>
        </w:rPr>
        <w:t xml:space="preserve">Cruise EBIT (Loss)-Adjusted </w:t>
      </w:r>
      <w:r>
        <w:rPr>
          <w:rFonts w:ascii="Arial" w:cs="Arial" w:eastAsia="Arial" w:hAnsi="Arial"/>
          <w:sz w:val="16"/>
          <w:szCs w:val="16"/>
          <w:color w:val="auto"/>
        </w:rPr>
        <w:t>In the three and nine months ended September 30, 2021, EBIT (loss)-adjusted increased primarily due to an increase in development</w:t>
      </w:r>
      <w:r>
        <w:rPr>
          <w:rFonts w:ascii="Arial" w:cs="Arial" w:eastAsia="Arial" w:hAnsi="Arial"/>
          <w:sz w:val="18"/>
          <w:szCs w:val="18"/>
          <w:b w:val="1"/>
          <w:bCs w:val="1"/>
          <w:i w:val="1"/>
          <w:iCs w:val="1"/>
          <w:color w:val="auto"/>
        </w:rPr>
        <w:t xml:space="preserve"> </w:t>
      </w:r>
      <w:r>
        <w:rPr>
          <w:rFonts w:ascii="Arial" w:cs="Arial" w:eastAsia="Arial" w:hAnsi="Arial"/>
          <w:sz w:val="16"/>
          <w:szCs w:val="16"/>
          <w:color w:val="auto"/>
        </w:rPr>
        <w:t>costs as we progress towards the commercialization of a network of on-demand autonomous vehicles in the U.S.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56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1"/>
                <w:szCs w:val="11"/>
                <w:color w:val="auto"/>
              </w:rPr>
            </w:pPr>
          </w:p>
        </w:tc>
        <w:tc>
          <w:tcPr>
            <w:tcW w:w="1080" w:type="dxa"/>
            <w:vAlign w:val="bottom"/>
          </w:tcPr>
          <w:p>
            <w:pPr>
              <w:jc w:val="right"/>
              <w:ind w:right="102"/>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Increase/</w:t>
            </w:r>
          </w:p>
        </w:tc>
        <w:tc>
          <w:tcPr>
            <w:tcW w:w="7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1"/>
                <w:szCs w:val="11"/>
                <w:color w:val="auto"/>
              </w:rPr>
            </w:pPr>
          </w:p>
        </w:tc>
        <w:tc>
          <w:tcPr>
            <w:tcW w:w="1060" w:type="dxa"/>
            <w:vAlign w:val="bottom"/>
          </w:tcPr>
          <w:p>
            <w:pPr>
              <w:jc w:val="right"/>
              <w:ind w:right="82"/>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Increase/</w:t>
            </w:r>
          </w:p>
        </w:tc>
        <w:tc>
          <w:tcPr>
            <w:tcW w:w="80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16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3,354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3,421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10,187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10,405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2"/>
        </w:trPr>
        <w:tc>
          <w:tcPr>
            <w:tcW w:w="1780" w:type="dxa"/>
            <w:vAlign w:val="bottom"/>
            <w:gridSpan w:val="2"/>
          </w:tcPr>
          <w:p>
            <w:pPr>
              <w:ind w:left="20"/>
              <w:spacing w:after="0"/>
              <w:rPr>
                <w:sz w:val="20"/>
                <w:szCs w:val="20"/>
                <w:color w:val="auto"/>
              </w:rPr>
            </w:pPr>
            <w:r>
              <w:rPr>
                <w:rFonts w:ascii="Arial" w:cs="Arial" w:eastAsia="Arial" w:hAnsi="Arial"/>
                <w:sz w:val="16"/>
                <w:szCs w:val="16"/>
                <w:color w:val="auto"/>
                <w:w w:val="93"/>
              </w:rPr>
              <w:t>Provision for loan losses $</w:t>
            </w: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31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88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n.m.</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23"/>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42"/>
              <w:spacing w:after="0"/>
              <w:rPr>
                <w:sz w:val="20"/>
                <w:szCs w:val="20"/>
                <w:color w:val="auto"/>
              </w:rPr>
            </w:pPr>
            <w:r>
              <w:rPr>
                <w:rFonts w:ascii="Arial" w:cs="Arial" w:eastAsia="Arial" w:hAnsi="Arial"/>
                <w:sz w:val="16"/>
                <w:szCs w:val="16"/>
                <w:color w:val="auto"/>
              </w:rPr>
              <w:t>824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18"/>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EBT-adjusted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1,093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1,207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3,856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1,663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2,193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5"/>
        </w:trPr>
        <w:tc>
          <w:tcPr>
            <w:tcW w:w="1660" w:type="dxa"/>
            <w:vAlign w:val="bottom"/>
          </w:tcPr>
          <w:p>
            <w:pPr>
              <w:ind w:left="20"/>
              <w:spacing w:after="0" w:line="165" w:lineRule="exact"/>
              <w:rPr>
                <w:sz w:val="20"/>
                <w:szCs w:val="20"/>
                <w:color w:val="auto"/>
              </w:rPr>
            </w:pPr>
            <w:r>
              <w:rPr>
                <w:rFonts w:ascii="Arial" w:cs="Arial" w:eastAsia="Arial" w:hAnsi="Arial"/>
                <w:sz w:val="16"/>
                <w:szCs w:val="16"/>
                <w:color w:val="auto"/>
              </w:rPr>
              <w:t>Average debt</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60" w:type="dxa"/>
            <w:vAlign w:val="bottom"/>
          </w:tcPr>
          <w:p>
            <w:pPr>
              <w:ind w:left="180"/>
              <w:spacing w:after="0" w:line="161" w:lineRule="exact"/>
              <w:rPr>
                <w:sz w:val="20"/>
                <w:szCs w:val="20"/>
                <w:color w:val="auto"/>
              </w:rPr>
            </w:pPr>
            <w:r>
              <w:rPr>
                <w:rFonts w:ascii="Arial" w:cs="Arial" w:eastAsia="Arial" w:hAnsi="Arial"/>
                <w:sz w:val="16"/>
                <w:szCs w:val="16"/>
                <w:color w:val="auto"/>
                <w:w w:val="93"/>
              </w:rPr>
              <w:t>outstanding (dollars in</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ind w:right="123"/>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ind w:right="122"/>
              <w:spacing w:after="0"/>
              <w:rPr>
                <w:sz w:val="20"/>
                <w:szCs w:val="20"/>
                <w:color w:val="auto"/>
              </w:rPr>
            </w:pPr>
            <w:r>
              <w:rPr>
                <w:rFonts w:ascii="Arial" w:cs="Arial" w:eastAsia="Arial" w:hAnsi="Arial"/>
                <w:sz w:val="16"/>
                <w:szCs w:val="16"/>
                <w:color w:val="auto"/>
              </w:rPr>
              <w:t>90.2</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22"/>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5.0 %</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ind w:right="123"/>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ind w:right="142"/>
              <w:spacing w:after="0"/>
              <w:rPr>
                <w:sz w:val="20"/>
                <w:szCs w:val="20"/>
                <w:color w:val="auto"/>
              </w:rPr>
            </w:pPr>
            <w:r>
              <w:rPr>
                <w:rFonts w:ascii="Arial" w:cs="Arial" w:eastAsia="Arial" w:hAnsi="Arial"/>
                <w:sz w:val="16"/>
                <w:szCs w:val="16"/>
                <w:color w:val="auto"/>
              </w:rPr>
              <w:t>91.6</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122"/>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09"/>
        </w:trPr>
        <w:tc>
          <w:tcPr>
            <w:tcW w:w="1660" w:type="dxa"/>
            <w:vAlign w:val="bottom"/>
          </w:tcPr>
          <w:p>
            <w:pPr>
              <w:ind w:left="180"/>
              <w:spacing w:after="0"/>
              <w:rPr>
                <w:sz w:val="20"/>
                <w:szCs w:val="20"/>
                <w:color w:val="auto"/>
              </w:rPr>
            </w:pPr>
            <w:r>
              <w:rPr>
                <w:rFonts w:ascii="Arial" w:cs="Arial" w:eastAsia="Arial" w:hAnsi="Arial"/>
                <w:sz w:val="16"/>
                <w:szCs w:val="16"/>
                <w:color w:val="auto"/>
              </w:rPr>
              <w:t>billions)</w:t>
            </w:r>
          </w:p>
        </w:tc>
        <w:tc>
          <w:tcPr>
            <w:tcW w:w="1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6"/>
              </w:rPr>
              <w:t>Effective rate of interest</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paid</w:t>
            </w: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GM Financial Revenue </w:t>
      </w:r>
      <w:r>
        <w:rPr>
          <w:rFonts w:ascii="Arial" w:cs="Arial" w:eastAsia="Arial" w:hAnsi="Arial"/>
          <w:sz w:val="18"/>
          <w:szCs w:val="18"/>
          <w:color w:val="auto"/>
        </w:rPr>
        <w:t>In the three months ended September 30, 2021, total revenue decreased by an insignificant amount.</w:t>
      </w:r>
    </w:p>
    <w:p>
      <w:pPr>
        <w:spacing w:after="0" w:line="250" w:lineRule="exact"/>
        <w:rPr>
          <w:sz w:val="20"/>
          <w:szCs w:val="20"/>
          <w:color w:val="auto"/>
        </w:rPr>
      </w:pPr>
    </w:p>
    <w:p>
      <w:pPr>
        <w:jc w:val="both"/>
        <w:ind w:firstLine="161"/>
        <w:spacing w:after="0" w:line="246" w:lineRule="auto"/>
        <w:rPr>
          <w:sz w:val="20"/>
          <w:szCs w:val="20"/>
          <w:color w:val="auto"/>
        </w:rPr>
      </w:pPr>
      <w:r>
        <w:rPr>
          <w:rFonts w:ascii="Arial" w:cs="Arial" w:eastAsia="Arial" w:hAnsi="Arial"/>
          <w:sz w:val="18"/>
          <w:szCs w:val="18"/>
          <w:color w:val="auto"/>
        </w:rPr>
        <w:t>In the nine months ended September 30, 2021, total revenue decreased primarily due to decreased leased vehicle income of $0.3 billion primarily due to a decline in the average balance of the leased vehicles portfolio; partially offset by increased finance charge income of $0.1 billion primarily due to growth in the retail finance receivables portfolio.</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46" w:lineRule="auto"/>
        <w:rPr>
          <w:sz w:val="20"/>
          <w:szCs w:val="20"/>
          <w:color w:val="auto"/>
        </w:rPr>
      </w:pPr>
      <w:r>
        <w:rPr>
          <w:rFonts w:ascii="Arial" w:cs="Arial" w:eastAsia="Arial" w:hAnsi="Arial"/>
          <w:sz w:val="18"/>
          <w:szCs w:val="18"/>
          <w:b w:val="1"/>
          <w:bCs w:val="1"/>
          <w:i w:val="1"/>
          <w:iCs w:val="1"/>
          <w:color w:val="auto"/>
        </w:rPr>
        <w:t xml:space="preserve">GM Financial EBT-Adjusted </w:t>
      </w:r>
      <w:r>
        <w:rPr>
          <w:rFonts w:ascii="Arial" w:cs="Arial" w:eastAsia="Arial" w:hAnsi="Arial"/>
          <w:sz w:val="18"/>
          <w:szCs w:val="18"/>
          <w:color w:val="auto"/>
        </w:rPr>
        <w:t>In the three months ended September 30, 2021, EBT-adjusted decreased primarily due to an increased provision for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losses of $0.1 billion primarily due to increased loan originations volume in the U.S. and a smaller improvement to the recovery rate outlook during the three months ended September 30, 2021 compared to the same period in 2020.</w:t>
      </w:r>
    </w:p>
    <w:p>
      <w:pPr>
        <w:spacing w:after="0" w:line="210"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7"/>
          <w:szCs w:val="17"/>
          <w:color w:val="auto"/>
        </w:rPr>
        <w:t>In the nine months ended September 30, 2021, EBT-adjusted increased primarily due to: (1) increased leased vehicle income net of leased vehicle expenses of $1.1 billion primarily due to decreased depreciation on leased vehicles resulting from increased residual value estimates and a decrease in the size of the portfolio, as well as increased lease termination gains, due to the increase in used vehicle prices; (2) decreased provision for loan losses of $0.7 billion primarily due to a reduction in the reserve levels established at the onset of the COVID-19 pandemic as a result of actual credit performance that was better than forecasted and favorable expectations for future charge-offs and recoveries, reflecting improved economic conditions, partially offset by reserves established for loans originated during the nine months ended September 30, 2021; and (3) decreased interest expense of $0.3 billion due to decreased credit spreads on GM Financial debt, partially offset by an increase in the average debt outstanding. GM Financial interest, operating and other expenses includes a $0.1 billion loss on extinguishment of debt.</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color w:val="auto"/>
        </w:rPr>
        <w:t>We believe our current levels of cash, cash equivalents, marketable debt securities, available borrowing capacity under</w:t>
      </w:r>
      <w:r>
        <w:rPr>
          <w:rFonts w:ascii="Arial" w:cs="Arial" w:eastAsia="Arial" w:hAnsi="Arial"/>
          <w:sz w:val="18"/>
          <w:szCs w:val="18"/>
          <w:b w:val="1"/>
          <w:bCs w:val="1"/>
          <w:color w:val="auto"/>
        </w:rPr>
        <w:t xml:space="preserve"> </w:t>
      </w:r>
      <w:r>
        <w:rPr>
          <w:rFonts w:ascii="Arial" w:cs="Arial" w:eastAsia="Arial" w:hAnsi="Arial"/>
          <w:sz w:val="18"/>
          <w:szCs w:val="18"/>
          <w:color w:val="auto"/>
        </w:rPr>
        <w:t>our revolving credit facilities and other liquidity actions currently available to us are sufficient to meet our liquidity requirements.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203" w:lineRule="exact"/>
        <w:rPr>
          <w:sz w:val="20"/>
          <w:szCs w:val="20"/>
          <w:color w:val="auto"/>
        </w:rPr>
      </w:pPr>
    </w:p>
    <w:p>
      <w:pPr>
        <w:jc w:val="both"/>
        <w:ind w:firstLine="161"/>
        <w:spacing w:after="0" w:line="237" w:lineRule="auto"/>
        <w:rPr>
          <w:sz w:val="20"/>
          <w:szCs w:val="20"/>
          <w:color w:val="auto"/>
        </w:rPr>
      </w:pPr>
      <w:r>
        <w:rPr>
          <w:rFonts w:ascii="Arial" w:cs="Arial" w:eastAsia="Arial" w:hAnsi="Arial"/>
          <w:sz w:val="18"/>
          <w:szCs w:val="18"/>
          <w:color w:val="auto"/>
        </w:rPr>
        <w:t>Our known current material uses of cash include, among other possible demands: (1) capital spending and our investments in Ultium Cells LLC, our battery joint venture, of approximately $9.0 billion to $10.0 billion annually over the medium term in addition to payments for engineering and product development activities; (2) payments associated with previously announced vehicle recalls and any other recall-related contingencies; and (3) payments to service debt and other long-term obligations, including discretionary and mandatory contributions to our pension plans. Our material future uses of cash, which may vary from time to time based on market conditions and other factors, are focused on the three objectives of our capital allocation program: (1) grow our business at an average target ROIC-adjusted rate of 20% or greater; (2) maintain a strong investment-grade balance sheet, including a target average automotive cash balance of $18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216"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and Part I, Item 1A. Risk Factors of our 2020 Form 10-K, some of which are outside of our control.</w:t>
      </w:r>
    </w:p>
    <w:p>
      <w:pPr>
        <w:spacing w:after="0" w:line="197"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and investments with joint venture partners as well as strategic alliances that we believe would generate significant advantages and substantially strengthen our business.</w:t>
      </w:r>
    </w:p>
    <w:p>
      <w:pPr>
        <w:spacing w:after="0" w:line="212"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from GM Financial, dividends issued by GM Financial to Automotive, tax payments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 xml:space="preserve">Automotive Liquidity </w:t>
      </w:r>
      <w:r>
        <w:rPr>
          <w:rFonts w:ascii="Arial" w:cs="Arial" w:eastAsia="Arial" w:hAnsi="Arial"/>
          <w:sz w:val="17"/>
          <w:szCs w:val="17"/>
          <w:color w:val="auto"/>
        </w:rPr>
        <w:t>Total available liquidity includes cash, cash equivalents, marketable debt securities and funds available under credit facilities.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available liquidity is subject to seasonal fluctuations and includes balances held by various business units and subsidiaries worldwide that are needed to fund their operations. We have not significantly changed the management of our liquidity, including our allocation of available liquidity, our portfolio composition and our investment guidelines since December 31, 2020. Refer to Part II, Item 7. MD&amp;A of our 2020 Form 10-K.</w:t>
      </w:r>
    </w:p>
    <w:p>
      <w:pPr>
        <w:spacing w:after="0" w:line="198" w:lineRule="exact"/>
        <w:rPr>
          <w:sz w:val="20"/>
          <w:szCs w:val="20"/>
          <w:color w:val="auto"/>
        </w:rPr>
      </w:pPr>
    </w:p>
    <w:p>
      <w:pPr>
        <w:jc w:val="both"/>
        <w:ind w:firstLine="161"/>
        <w:spacing w:after="0" w:line="246"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Our Automotive borrowing capacity under credit facilities totaled $17.5 billion at September 30, 2021 and $18.5 billion at December 31, 2020. Total Automotive borrowing capacity under our credit facilities does not include our 364-day, $2.0 billion facility allocated for</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exclusive use by GM Financial. We did not have any borrowings against our primary facilities, but had letters of credit outstanding under our sub-facility of $0.3 billion at September 30, 2021 and December 31, 2020.</w:t>
      </w:r>
    </w:p>
    <w:p>
      <w:pPr>
        <w:spacing w:after="0" w:line="198" w:lineRule="exact"/>
        <w:rPr>
          <w:sz w:val="20"/>
          <w:szCs w:val="20"/>
          <w:color w:val="auto"/>
        </w:rPr>
      </w:pPr>
    </w:p>
    <w:p>
      <w:pPr>
        <w:jc w:val="both"/>
        <w:ind w:firstLine="161"/>
        <w:spacing w:after="0" w:line="292" w:lineRule="auto"/>
        <w:rPr>
          <w:sz w:val="20"/>
          <w:szCs w:val="20"/>
          <w:color w:val="auto"/>
        </w:rPr>
      </w:pPr>
      <w:r>
        <w:rPr>
          <w:rFonts w:ascii="Arial" w:cs="Arial" w:eastAsia="Arial" w:hAnsi="Arial"/>
          <w:sz w:val="16"/>
          <w:szCs w:val="16"/>
          <w:color w:val="auto"/>
        </w:rPr>
        <w:t>In April 2021, we increased the total borrowing capacity of our five-year, $10.5 billion facility to $11.2 billion and extended the termination date for a $9.9 billion portion of the five-year facility by three years, now set to mature on April 18, 2026. The termination date of April 18, 2023 for the remaining portion of the five-year facility remains unchanged. We also renewed and increased the total borrowing capacity of our three-year, $4.0 billion facility to $4.3 billion, which now matures on April 7, 2024, and renewed our 364-day, $2.0 billion facility allocated for exclusive use by GM Financial, which now matures on April 6, 2022. We also terminated our 364-day, $2.0 billion revolving credit facility, entered into in May 2020. Additionally, the prior restrictions on share repurchases and dividends on our common shares were removed upon entrance into the renewed three-year, $4.3 billion facility.</w:t>
      </w:r>
    </w:p>
    <w:p>
      <w:pPr>
        <w:spacing w:after="0" w:line="189" w:lineRule="exact"/>
        <w:rPr>
          <w:sz w:val="20"/>
          <w:szCs w:val="20"/>
          <w:color w:val="auto"/>
        </w:rPr>
      </w:pPr>
    </w:p>
    <w:p>
      <w:pPr>
        <w:jc w:val="both"/>
        <w:ind w:firstLine="161"/>
        <w:spacing w:after="0" w:line="274" w:lineRule="auto"/>
        <w:rPr>
          <w:sz w:val="20"/>
          <w:szCs w:val="20"/>
          <w:color w:val="auto"/>
        </w:rPr>
      </w:pPr>
      <w:r>
        <w:rPr>
          <w:rFonts w:ascii="Arial" w:cs="Arial" w:eastAsia="Arial" w:hAnsi="Arial"/>
          <w:sz w:val="17"/>
          <w:szCs w:val="17"/>
          <w:color w:val="auto"/>
        </w:rPr>
        <w:t>If available capacity permits, GM Financial continues to have access to our automotive credit facilities, except for the three-year, $2.0 billion transformation facility that matures in January 2022. GM Financial did not have borrowings outstanding against any of these facilities at September 30, 2021 and December 31, 2020. We had intercompany loans from GM Financial of $0.2 billion and $0.4 billion at September 30, 2021 and December 31, 2020, which primarily consisted of commercial loans to dealers we consolidate. We did not have intercompany loans to GM Financial at September 30, 2021 and December 31, 2020. Refer to Note 4 to our condensed consolidated financial statements for additional information.</w:t>
      </w:r>
    </w:p>
    <w:p>
      <w:pPr>
        <w:spacing w:after="0" w:line="201"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color w:val="auto"/>
        </w:rPr>
        <w:t>GM Financial's Board of Directors declared and paid dividends of $0.6 billion and $1.8 billion on its common stock in the three and nine months ended September 30, 2021 and $0.8 billion in the nine months ended September 30, 2020. Current dividend levels are reflective of record GM Financial earnings supported by strong residual values, favorable credit performance and improved economic conditions. Future dividends from GM Financial will depend on several factors including business and economic conditions, its financial condition, earnings, liquidity requirements and leverage ratio.</w:t>
      </w:r>
    </w:p>
    <w:p>
      <w:pPr>
        <w:spacing w:after="0" w:line="182"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Several of our loan facilities, including our revolving credit facilities, require compliance with certain financial and operational covenants as well as regular reporting to lenders. We have reviewed our covenants in effect as of September 30, 2021 and determined we are in compliance and expect to remain in compliance in the future.</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our available liquidity (dollars in billions):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2020</w:t>
            </w:r>
          </w:p>
        </w:tc>
      </w:tr>
      <w:tr>
        <w:trPr>
          <w:trHeight w:val="228"/>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Marketable debt securities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cash, cash equivalents and marketable debt securities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Cruise cash and cash equivalents(a)</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Cruise marketable debt securities(a)</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2"/>
        </w:trPr>
        <w:tc>
          <w:tcPr>
            <w:tcW w:w="7820" w:type="dxa"/>
            <w:vAlign w:val="bottom"/>
          </w:tcPr>
          <w:p>
            <w:pPr>
              <w:ind w:left="20"/>
              <w:spacing w:after="0"/>
              <w:rPr>
                <w:sz w:val="20"/>
                <w:szCs w:val="20"/>
                <w:color w:val="auto"/>
              </w:rPr>
            </w:pPr>
            <w:r>
              <w:rPr>
                <w:rFonts w:ascii="Arial" w:cs="Arial" w:eastAsia="Arial" w:hAnsi="Arial"/>
                <w:sz w:val="18"/>
                <w:szCs w:val="18"/>
                <w:color w:val="auto"/>
              </w:rPr>
              <w:t>Available liquidity</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under credit facilities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2"/>
        </w:trPr>
        <w:tc>
          <w:tcPr>
            <w:tcW w:w="7820" w:type="dxa"/>
            <w:vAlign w:val="bottom"/>
          </w:tcPr>
          <w:p>
            <w:pPr>
              <w:ind w:left="20"/>
              <w:spacing w:after="0"/>
              <w:rPr>
                <w:sz w:val="20"/>
                <w:szCs w:val="20"/>
                <w:color w:val="auto"/>
              </w:rPr>
            </w:pPr>
            <w:r>
              <w:rPr>
                <w:rFonts w:ascii="Arial" w:cs="Arial" w:eastAsia="Arial" w:hAnsi="Arial"/>
                <w:sz w:val="18"/>
                <w:szCs w:val="18"/>
                <w:color w:val="auto"/>
              </w:rPr>
              <w:t>Total available liquidity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Amounts are designated exclusively for the use of Cruise.</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changes in our Automotive available liquidity (excluding Cruise, dollars in billions):</w:t>
      </w:r>
    </w:p>
    <w:p>
      <w:pPr>
        <w:spacing w:after="0" w:line="123" w:lineRule="exact"/>
        <w:rPr>
          <w:sz w:val="20"/>
          <w:szCs w:val="20"/>
          <w:color w:val="auto"/>
        </w:rPr>
      </w:pPr>
    </w:p>
    <w:p>
      <w:pPr>
        <w:ind w:left="9800"/>
        <w:spacing w:after="0"/>
        <w:rPr>
          <w:sz w:val="20"/>
          <w:szCs w:val="20"/>
          <w:color w:val="auto"/>
        </w:rPr>
      </w:pPr>
      <w:r>
        <w:rPr>
          <w:rFonts w:ascii="Arial" w:cs="Arial" w:eastAsia="Arial" w:hAnsi="Arial"/>
          <w:sz w:val="14"/>
          <w:szCs w:val="14"/>
          <w:b w:val="1"/>
          <w:bCs w:val="1"/>
          <w:color w:val="auto"/>
        </w:rPr>
        <w:t>Nine Months Ended</w:t>
      </w:r>
    </w:p>
    <w:p>
      <w:pPr>
        <w:ind w:left="9820"/>
        <w:spacing w:after="0"/>
        <w:rPr>
          <w:sz w:val="20"/>
          <w:szCs w:val="20"/>
          <w:color w:val="auto"/>
        </w:rPr>
      </w:pPr>
      <w:r>
        <w:rPr>
          <w:rFonts w:ascii="Arial" w:cs="Arial" w:eastAsia="Arial" w:hAnsi="Arial"/>
          <w:sz w:val="14"/>
          <w:szCs w:val="14"/>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2955" cy="1536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cash flow</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447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GM investment in Cruise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 of senior unsecured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447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Decrease in available credit facilities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non-operating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708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change in automotive available liquidity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1334" w:hanging="1334"/>
        <w:spacing w:after="0"/>
        <w:tabs>
          <w:tab w:leader="none" w:pos="13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0.3</w:t>
      </w:r>
    </w:p>
    <w:p>
      <w:pPr>
        <w:spacing w:after="0" w:line="22" w:lineRule="exact"/>
        <w:rPr>
          <w:rFonts w:ascii="Arial" w:cs="Arial" w:eastAsia="Arial" w:hAnsi="Arial"/>
          <w:sz w:val="18"/>
          <w:szCs w:val="18"/>
          <w:color w:val="auto"/>
        </w:rPr>
      </w:pPr>
    </w:p>
    <w:p>
      <w:pPr>
        <w:ind w:left="1274"/>
        <w:spacing w:after="0"/>
        <w:rPr>
          <w:rFonts w:ascii="Arial" w:cs="Arial" w:eastAsia="Arial" w:hAnsi="Arial"/>
          <w:sz w:val="18"/>
          <w:szCs w:val="18"/>
          <w:color w:val="auto"/>
        </w:rPr>
      </w:pPr>
      <w:r>
        <w:rPr>
          <w:rFonts w:ascii="Arial" w:cs="Arial" w:eastAsia="Arial" w:hAnsi="Arial"/>
          <w:sz w:val="16"/>
          <w:szCs w:val="16"/>
          <w:color w:val="auto"/>
        </w:rPr>
        <w:t>(4.2)</w:t>
      </w:r>
    </w:p>
    <w:p>
      <w:pPr>
        <w:spacing w:after="0" w:line="44" w:lineRule="exact"/>
        <w:rPr>
          <w:rFonts w:ascii="Arial" w:cs="Arial" w:eastAsia="Arial" w:hAnsi="Arial"/>
          <w:sz w:val="18"/>
          <w:szCs w:val="18"/>
          <w:color w:val="auto"/>
        </w:rPr>
      </w:pPr>
    </w:p>
    <w:p>
      <w:pPr>
        <w:ind w:left="1274"/>
        <w:spacing w:after="0"/>
        <w:rPr>
          <w:rFonts w:ascii="Arial" w:cs="Arial" w:eastAsia="Arial" w:hAnsi="Arial"/>
          <w:sz w:val="18"/>
          <w:szCs w:val="18"/>
          <w:color w:val="auto"/>
        </w:rPr>
      </w:pPr>
      <w:r>
        <w:rPr>
          <w:rFonts w:ascii="Arial" w:cs="Arial" w:eastAsia="Arial" w:hAnsi="Arial"/>
          <w:sz w:val="16"/>
          <w:szCs w:val="16"/>
          <w:color w:val="auto"/>
        </w:rPr>
        <w:t>(1.0)</w:t>
      </w:r>
    </w:p>
    <w:p>
      <w:pPr>
        <w:spacing w:after="0" w:line="44" w:lineRule="exact"/>
        <w:rPr>
          <w:rFonts w:ascii="Arial" w:cs="Arial" w:eastAsia="Arial" w:hAnsi="Arial"/>
          <w:sz w:val="18"/>
          <w:szCs w:val="18"/>
          <w:color w:val="auto"/>
        </w:rPr>
      </w:pPr>
    </w:p>
    <w:p>
      <w:pPr>
        <w:ind w:left="1274"/>
        <w:spacing w:after="0"/>
        <w:rPr>
          <w:rFonts w:ascii="Arial" w:cs="Arial" w:eastAsia="Arial" w:hAnsi="Arial"/>
          <w:sz w:val="18"/>
          <w:szCs w:val="18"/>
          <w:color w:val="auto"/>
        </w:rPr>
      </w:pPr>
      <w:r>
        <w:rPr>
          <w:rFonts w:ascii="Arial" w:cs="Arial" w:eastAsia="Arial" w:hAnsi="Arial"/>
          <w:sz w:val="16"/>
          <w:szCs w:val="16"/>
          <w:color w:val="auto"/>
        </w:rPr>
        <w:t>(0.5)</w:t>
      </w:r>
    </w:p>
    <w:p>
      <w:pPr>
        <w:spacing w:after="0" w:line="44" w:lineRule="exact"/>
        <w:rPr>
          <w:rFonts w:ascii="Arial" w:cs="Arial" w:eastAsia="Arial" w:hAnsi="Arial"/>
          <w:sz w:val="18"/>
          <w:szCs w:val="18"/>
          <w:color w:val="auto"/>
        </w:rPr>
      </w:pPr>
    </w:p>
    <w:p>
      <w:pPr>
        <w:ind w:left="1274"/>
        <w:spacing w:after="0"/>
        <w:rPr>
          <w:rFonts w:ascii="Arial" w:cs="Arial" w:eastAsia="Arial" w:hAnsi="Arial"/>
          <w:sz w:val="18"/>
          <w:szCs w:val="18"/>
          <w:color w:val="auto"/>
        </w:rPr>
      </w:pPr>
      <w:r>
        <w:rPr>
          <w:rFonts w:ascii="Arial" w:cs="Arial" w:eastAsia="Arial" w:hAnsi="Arial"/>
          <w:sz w:val="16"/>
          <w:szCs w:val="16"/>
          <w:color w:val="auto"/>
        </w:rPr>
        <w:t>(1.0)</w:t>
      </w:r>
    </w:p>
    <w:p>
      <w:pPr>
        <w:spacing w:after="0" w:line="44" w:lineRule="exact"/>
        <w:rPr>
          <w:rFonts w:ascii="Arial" w:cs="Arial" w:eastAsia="Arial" w:hAnsi="Arial"/>
          <w:sz w:val="18"/>
          <w:szCs w:val="18"/>
          <w:color w:val="auto"/>
        </w:rPr>
      </w:pPr>
    </w:p>
    <w:p>
      <w:pPr>
        <w:ind w:left="1274"/>
        <w:spacing w:after="0"/>
        <w:rPr>
          <w:rFonts w:ascii="Arial" w:cs="Arial" w:eastAsia="Arial" w:hAnsi="Arial"/>
          <w:sz w:val="18"/>
          <w:szCs w:val="18"/>
          <w:color w:val="auto"/>
        </w:rPr>
      </w:pPr>
      <w:r>
        <w:rPr>
          <w:rFonts w:ascii="Arial" w:cs="Arial" w:eastAsia="Arial" w:hAnsi="Arial"/>
          <w:sz w:val="16"/>
          <w:szCs w:val="16"/>
          <w:color w:val="auto"/>
        </w:rPr>
        <w:t>(1.4)</w:t>
      </w:r>
    </w:p>
    <w:p>
      <w:pPr>
        <w:spacing w:after="0" w:line="57" w:lineRule="exact"/>
        <w:rPr>
          <w:sz w:val="20"/>
          <w:szCs w:val="20"/>
          <w:color w:val="auto"/>
        </w:rPr>
      </w:pPr>
    </w:p>
    <w:p>
      <w:pPr>
        <w:ind w:left="1274" w:hanging="1274"/>
        <w:spacing w:after="0"/>
        <w:tabs>
          <w:tab w:leader="none" w:pos="1274" w:val="left"/>
        </w:tabs>
        <w:numPr>
          <w:ilvl w:val="0"/>
          <w:numId w:val="28"/>
        </w:numPr>
        <w:rPr>
          <w:rFonts w:ascii="Arial" w:cs="Arial" w:eastAsia="Arial" w:hAnsi="Arial"/>
          <w:sz w:val="16"/>
          <w:szCs w:val="16"/>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54610</wp:posOffset>
            </wp:positionV>
            <wp:extent cx="10496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4965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886" w:space="720"/>
            <w:col w:w="1634"/>
          </w:cols>
          <w:pgMar w:left="320" w:top="125" w:right="339"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238125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Automotive Cash Flow (dollars in billions)</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6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8"/>
        </w:trPr>
        <w:tc>
          <w:tcPr>
            <w:tcW w:w="6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r>
      <w:tr>
        <w:trPr>
          <w:trHeight w:val="215"/>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center"/>
              <w:ind w:left="1014"/>
              <w:spacing w:after="0"/>
              <w:rPr>
                <w:sz w:val="20"/>
                <w:szCs w:val="20"/>
                <w:color w:val="auto"/>
              </w:rPr>
            </w:pPr>
            <w:r>
              <w:rPr>
                <w:rFonts w:ascii="Arial" w:cs="Arial" w:eastAsia="Arial" w:hAnsi="Arial"/>
                <w:sz w:val="18"/>
                <w:szCs w:val="18"/>
                <w:color w:val="auto"/>
                <w:w w:val="95"/>
              </w:rPr>
              <w:t>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center"/>
              <w:ind w:left="1013"/>
              <w:spacing w:after="0"/>
              <w:rPr>
                <w:sz w:val="20"/>
                <w:szCs w:val="20"/>
                <w:color w:val="auto"/>
              </w:rPr>
            </w:pPr>
            <w:r>
              <w:rPr>
                <w:rFonts w:ascii="Arial" w:cs="Arial" w:eastAsia="Arial" w:hAnsi="Arial"/>
                <w:sz w:val="18"/>
                <w:szCs w:val="18"/>
                <w:color w:val="auto"/>
                <w:w w:val="87"/>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393"/>
              <w:spacing w:after="0"/>
              <w:rPr>
                <w:sz w:val="20"/>
                <w:szCs w:val="20"/>
                <w:color w:val="auto"/>
              </w:rPr>
            </w:pPr>
            <w:r>
              <w:rPr>
                <w:rFonts w:ascii="Arial" w:cs="Arial" w:eastAsia="Arial" w:hAnsi="Arial"/>
                <w:sz w:val="18"/>
                <w:szCs w:val="18"/>
                <w:color w:val="auto"/>
                <w:w w:val="87"/>
              </w:rPr>
              <w:t>3.8</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Depreciation, amortization and impairment charges</w:t>
            </w:r>
          </w:p>
        </w:tc>
        <w:tc>
          <w:tcPr>
            <w:tcW w:w="180" w:type="dxa"/>
            <w:vAlign w:val="bottom"/>
          </w:tcPr>
          <w:p>
            <w:pPr>
              <w:spacing w:after="0"/>
              <w:rPr>
                <w:sz w:val="19"/>
                <w:szCs w:val="19"/>
                <w:color w:val="auto"/>
              </w:rPr>
            </w:pPr>
          </w:p>
        </w:tc>
        <w:tc>
          <w:tcPr>
            <w:tcW w:w="1460" w:type="dxa"/>
            <w:vAlign w:val="bottom"/>
          </w:tcPr>
          <w:p>
            <w:pPr>
              <w:jc w:val="center"/>
              <w:ind w:left="1014"/>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left="1013"/>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left="393"/>
              <w:spacing w:after="0"/>
              <w:rPr>
                <w:sz w:val="20"/>
                <w:szCs w:val="20"/>
                <w:color w:val="auto"/>
              </w:rPr>
            </w:pPr>
            <w:r>
              <w:rPr>
                <w:rFonts w:ascii="Arial" w:cs="Arial" w:eastAsia="Arial" w:hAnsi="Arial"/>
                <w:sz w:val="18"/>
                <w:szCs w:val="18"/>
                <w:color w:val="auto"/>
                <w:w w:val="87"/>
              </w:rPr>
              <w:t>0.2</w:t>
            </w: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OPEB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994"/>
              <w:spacing w:after="0"/>
              <w:rPr>
                <w:sz w:val="20"/>
                <w:szCs w:val="20"/>
                <w:color w:val="auto"/>
              </w:rPr>
            </w:pPr>
            <w:r>
              <w:rPr>
                <w:rFonts w:ascii="Arial" w:cs="Arial" w:eastAsia="Arial" w:hAnsi="Arial"/>
                <w:sz w:val="18"/>
                <w:szCs w:val="18"/>
                <w:color w:val="auto"/>
                <w:w w:val="91"/>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973"/>
              <w:spacing w:after="0"/>
              <w:rPr>
                <w:sz w:val="20"/>
                <w:szCs w:val="20"/>
                <w:color w:val="auto"/>
              </w:rPr>
            </w:pPr>
            <w:r>
              <w:rPr>
                <w:rFonts w:ascii="Arial" w:cs="Arial" w:eastAsia="Arial" w:hAnsi="Arial"/>
                <w:sz w:val="18"/>
                <w:szCs w:val="18"/>
                <w:color w:val="auto"/>
                <w:w w:val="91"/>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91"/>
              </w:rPr>
              <w:t>(0.4)</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80" w:type="dxa"/>
            <w:vAlign w:val="bottom"/>
          </w:tcPr>
          <w:p>
            <w:pPr>
              <w:spacing w:after="0"/>
              <w:rPr>
                <w:sz w:val="19"/>
                <w:szCs w:val="19"/>
                <w:color w:val="auto"/>
              </w:rPr>
            </w:pPr>
          </w:p>
        </w:tc>
        <w:tc>
          <w:tcPr>
            <w:tcW w:w="1460" w:type="dxa"/>
            <w:vAlign w:val="bottom"/>
          </w:tcPr>
          <w:p>
            <w:pPr>
              <w:jc w:val="center"/>
              <w:ind w:left="994"/>
              <w:spacing w:after="0"/>
              <w:rPr>
                <w:sz w:val="20"/>
                <w:szCs w:val="20"/>
                <w:color w:val="auto"/>
              </w:rPr>
            </w:pPr>
            <w:r>
              <w:rPr>
                <w:rFonts w:ascii="Arial" w:cs="Arial" w:eastAsia="Arial" w:hAnsi="Arial"/>
                <w:sz w:val="18"/>
                <w:szCs w:val="18"/>
                <w:color w:val="auto"/>
                <w:w w:val="91"/>
              </w:rPr>
              <w:t>(7.8)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left="973"/>
              <w:spacing w:after="0"/>
              <w:rPr>
                <w:sz w:val="20"/>
                <w:szCs w:val="20"/>
                <w:color w:val="auto"/>
              </w:rPr>
            </w:pPr>
            <w:r>
              <w:rPr>
                <w:rFonts w:ascii="Arial" w:cs="Arial" w:eastAsia="Arial" w:hAnsi="Arial"/>
                <w:sz w:val="18"/>
                <w:szCs w:val="18"/>
                <w:color w:val="auto"/>
                <w:w w:val="91"/>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left="353"/>
              <w:spacing w:after="0"/>
              <w:rPr>
                <w:sz w:val="20"/>
                <w:szCs w:val="20"/>
                <w:color w:val="auto"/>
              </w:rPr>
            </w:pPr>
            <w:r>
              <w:rPr>
                <w:rFonts w:ascii="Arial" w:cs="Arial" w:eastAsia="Arial" w:hAnsi="Arial"/>
                <w:sz w:val="18"/>
                <w:szCs w:val="18"/>
                <w:color w:val="auto"/>
                <w:w w:val="91"/>
              </w:rPr>
              <w:t>(5.2)</w:t>
            </w: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liabilities and income taxes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994"/>
              <w:spacing w:after="0"/>
              <w:rPr>
                <w:sz w:val="20"/>
                <w:szCs w:val="20"/>
                <w:color w:val="auto"/>
              </w:rPr>
            </w:pPr>
            <w:r>
              <w:rPr>
                <w:rFonts w:ascii="Arial" w:cs="Arial" w:eastAsia="Arial" w:hAnsi="Arial"/>
                <w:sz w:val="18"/>
                <w:szCs w:val="18"/>
                <w:color w:val="auto"/>
                <w:w w:val="91"/>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973"/>
              <w:spacing w:after="0"/>
              <w:rPr>
                <w:sz w:val="20"/>
                <w:szCs w:val="20"/>
                <w:color w:val="auto"/>
              </w:rPr>
            </w:pPr>
            <w:r>
              <w:rPr>
                <w:rFonts w:ascii="Arial" w:cs="Arial" w:eastAsia="Arial" w:hAnsi="Arial"/>
                <w:sz w:val="18"/>
                <w:szCs w:val="18"/>
                <w:color w:val="auto"/>
                <w:w w:val="91"/>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93"/>
              <w:spacing w:after="0"/>
              <w:rPr>
                <w:sz w:val="20"/>
                <w:szCs w:val="20"/>
                <w:color w:val="auto"/>
              </w:rPr>
            </w:pPr>
            <w:r>
              <w:rPr>
                <w:rFonts w:ascii="Arial" w:cs="Arial" w:eastAsia="Arial" w:hAnsi="Arial"/>
                <w:sz w:val="18"/>
                <w:szCs w:val="18"/>
                <w:color w:val="auto"/>
                <w:w w:val="87"/>
              </w:rPr>
              <w:t>1.1</w:t>
            </w:r>
          </w:p>
        </w:tc>
      </w:tr>
      <w:tr>
        <w:trPr>
          <w:trHeight w:val="22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1014"/>
              <w:spacing w:after="0"/>
              <w:rPr>
                <w:sz w:val="20"/>
                <w:szCs w:val="20"/>
                <w:color w:val="auto"/>
              </w:rPr>
            </w:pPr>
            <w:r>
              <w:rPr>
                <w:rFonts w:ascii="Arial" w:cs="Arial" w:eastAsia="Arial" w:hAnsi="Arial"/>
                <w:sz w:val="18"/>
                <w:szCs w:val="18"/>
                <w:color w:val="auto"/>
                <w:w w:val="95"/>
              </w:rPr>
              <w:t>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1013"/>
              <w:spacing w:after="0"/>
              <w:rPr>
                <w:sz w:val="20"/>
                <w:szCs w:val="20"/>
                <w:color w:val="auto"/>
              </w:rPr>
            </w:pPr>
            <w:r>
              <w:rPr>
                <w:rFonts w:ascii="Arial" w:cs="Arial" w:eastAsia="Arial" w:hAnsi="Arial"/>
                <w:sz w:val="18"/>
                <w:szCs w:val="18"/>
                <w:color w:val="auto"/>
                <w:w w:val="87"/>
              </w:rPr>
              <w:t>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91"/>
              </w:rPr>
              <w:t>(1.5)</w:t>
            </w:r>
          </w:p>
        </w:tc>
      </w:tr>
      <w:tr>
        <w:trPr>
          <w:trHeight w:val="24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provided by operating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center"/>
              <w:ind w:left="1014"/>
              <w:spacing w:after="0"/>
              <w:rPr>
                <w:sz w:val="20"/>
                <w:szCs w:val="20"/>
                <w:color w:val="auto"/>
              </w:rPr>
            </w:pPr>
            <w:r>
              <w:rPr>
                <w:rFonts w:ascii="Arial" w:cs="Arial" w:eastAsia="Arial" w:hAnsi="Arial"/>
                <w:sz w:val="18"/>
                <w:szCs w:val="18"/>
                <w:color w:val="auto"/>
                <w:w w:val="95"/>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center"/>
              <w:ind w:left="1013"/>
              <w:spacing w:after="0"/>
              <w:rPr>
                <w:sz w:val="20"/>
                <w:szCs w:val="20"/>
                <w:color w:val="auto"/>
              </w:rPr>
            </w:pPr>
            <w:r>
              <w:rPr>
                <w:rFonts w:ascii="Arial" w:cs="Arial" w:eastAsia="Arial" w:hAnsi="Arial"/>
                <w:sz w:val="18"/>
                <w:szCs w:val="18"/>
                <w:color w:val="auto"/>
                <w:w w:val="87"/>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91"/>
              </w:rPr>
              <w:t>(2.0)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right="20" w:firstLine="161"/>
        <w:spacing w:after="0" w:line="339" w:lineRule="auto"/>
        <w:rPr>
          <w:sz w:val="20"/>
          <w:szCs w:val="20"/>
          <w:color w:val="auto"/>
        </w:rPr>
      </w:pPr>
      <w:r>
        <w:rPr>
          <w:rFonts w:ascii="Arial" w:cs="Arial" w:eastAsia="Arial" w:hAnsi="Arial"/>
          <w:sz w:val="16"/>
          <w:szCs w:val="16"/>
          <w:color w:val="auto"/>
        </w:rPr>
        <w:t>In the nine months ended September 30, 2021, the decrease in Net automotive cash provided by operating activities was primarily due to: (1) unfavorable working capital; partially offset by (2) lower sales incentive payments of $2.1 billion; and (3) higher dividends received from GM Financial of $1.0 billion.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6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8"/>
        </w:trPr>
        <w:tc>
          <w:tcPr>
            <w:tcW w:w="6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r>
      <w:tr>
        <w:trPr>
          <w:trHeight w:val="215"/>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center"/>
              <w:ind w:left="996"/>
              <w:spacing w:after="0"/>
              <w:rPr>
                <w:sz w:val="20"/>
                <w:szCs w:val="20"/>
                <w:color w:val="auto"/>
              </w:rPr>
            </w:pPr>
            <w:r>
              <w:rPr>
                <w:rFonts w:ascii="Arial" w:cs="Arial" w:eastAsia="Arial" w:hAnsi="Arial"/>
                <w:sz w:val="18"/>
                <w:szCs w:val="18"/>
                <w:color w:val="auto"/>
                <w:w w:val="91"/>
              </w:rPr>
              <w:t>(4.2)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91"/>
              </w:rPr>
              <w:t>(0.9)</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Acquisitions and liquidations of marketable securities, net(a)</w:t>
            </w:r>
          </w:p>
        </w:tc>
        <w:tc>
          <w:tcPr>
            <w:tcW w:w="180" w:type="dxa"/>
            <w:vAlign w:val="bottom"/>
          </w:tcPr>
          <w:p>
            <w:pPr>
              <w:spacing w:after="0"/>
              <w:rPr>
                <w:sz w:val="19"/>
                <w:szCs w:val="19"/>
                <w:color w:val="auto"/>
              </w:rPr>
            </w:pPr>
          </w:p>
        </w:tc>
        <w:tc>
          <w:tcPr>
            <w:tcW w:w="1460" w:type="dxa"/>
            <w:vAlign w:val="bottom"/>
          </w:tcPr>
          <w:p>
            <w:pPr>
              <w:jc w:val="center"/>
              <w:ind w:left="1016"/>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left="393"/>
              <w:spacing w:after="0"/>
              <w:rPr>
                <w:sz w:val="20"/>
                <w:szCs w:val="20"/>
                <w:color w:val="auto"/>
              </w:rPr>
            </w:pPr>
            <w:r>
              <w:rPr>
                <w:rFonts w:ascii="Arial" w:cs="Arial" w:eastAsia="Arial" w:hAnsi="Arial"/>
                <w:sz w:val="18"/>
                <w:szCs w:val="18"/>
                <w:color w:val="auto"/>
                <w:w w:val="87"/>
              </w:rPr>
              <w:t>7.3</w:t>
            </w: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investment in Cruise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996"/>
              <w:spacing w:after="0"/>
              <w:rPr>
                <w:sz w:val="20"/>
                <w:szCs w:val="20"/>
                <w:color w:val="auto"/>
              </w:rPr>
            </w:pPr>
            <w:r>
              <w:rPr>
                <w:rFonts w:ascii="Arial" w:cs="Arial" w:eastAsia="Arial" w:hAnsi="Arial"/>
                <w:sz w:val="18"/>
                <w:szCs w:val="18"/>
                <w:color w:val="auto"/>
                <w:w w:val="91"/>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91"/>
              </w:rPr>
              <w:t>(1.0)</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460" w:type="dxa"/>
            <w:vAlign w:val="bottom"/>
          </w:tcPr>
          <w:p>
            <w:pPr>
              <w:jc w:val="center"/>
              <w:ind w:left="996"/>
              <w:spacing w:after="0"/>
              <w:rPr>
                <w:sz w:val="20"/>
                <w:szCs w:val="20"/>
                <w:color w:val="auto"/>
              </w:rPr>
            </w:pPr>
            <w:r>
              <w:rPr>
                <w:rFonts w:ascii="Arial" w:cs="Arial" w:eastAsia="Arial" w:hAnsi="Arial"/>
                <w:sz w:val="18"/>
                <w:szCs w:val="18"/>
                <w:color w:val="auto"/>
                <w:w w:val="91"/>
              </w:rPr>
              <w:t>(0.8)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center"/>
              <w:ind w:left="353"/>
              <w:spacing w:after="0"/>
              <w:rPr>
                <w:sz w:val="20"/>
                <w:szCs w:val="20"/>
                <w:color w:val="auto"/>
              </w:rPr>
            </w:pPr>
            <w:r>
              <w:rPr>
                <w:rFonts w:ascii="Arial" w:cs="Arial" w:eastAsia="Arial" w:hAnsi="Arial"/>
                <w:sz w:val="18"/>
                <w:szCs w:val="18"/>
                <w:color w:val="auto"/>
                <w:w w:val="91"/>
              </w:rPr>
              <w:t>(0.8)</w:t>
            </w:r>
          </w:p>
        </w:tc>
      </w:tr>
      <w:tr>
        <w:trPr>
          <w:trHeight w:val="247"/>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used in investing activities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center"/>
              <w:ind w:left="996"/>
              <w:spacing w:after="0"/>
              <w:rPr>
                <w:sz w:val="20"/>
                <w:szCs w:val="20"/>
                <w:color w:val="auto"/>
              </w:rPr>
            </w:pPr>
            <w:r>
              <w:rPr>
                <w:rFonts w:ascii="Arial" w:cs="Arial" w:eastAsia="Arial" w:hAnsi="Arial"/>
                <w:sz w:val="18"/>
                <w:szCs w:val="18"/>
                <w:color w:val="auto"/>
                <w:w w:val="91"/>
              </w:rPr>
              <w:t>(2.7)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center"/>
              <w:ind w:left="393"/>
              <w:spacing w:after="0"/>
              <w:rPr>
                <w:sz w:val="20"/>
                <w:szCs w:val="20"/>
                <w:color w:val="auto"/>
              </w:rPr>
            </w:pPr>
            <w:r>
              <w:rPr>
                <w:rFonts w:ascii="Arial" w:cs="Arial" w:eastAsia="Arial" w:hAnsi="Arial"/>
                <w:sz w:val="18"/>
                <w:szCs w:val="18"/>
                <w:color w:val="auto"/>
                <w:w w:val="87"/>
              </w:rPr>
              <w:t>4.6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 includes $0.6 billion of proceeds from the sale of our remaining shares in Lyft in the nine months ended September 30, 2020.</w:t>
      </w:r>
    </w:p>
    <w:p>
      <w:pPr>
        <w:spacing w:after="0" w:line="231"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nine months ended September 30, 2021, cash provided by acquisitions and liquidations of marketable securities, net increased due to liquidations of securities to fund operating activities and investments, compared to net acquisitions of securities from revolver proceeds during the nine months ended September 30, 2020.</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6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8"/>
        </w:trPr>
        <w:tc>
          <w:tcPr>
            <w:tcW w:w="6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21"/>
                <w:szCs w:val="21"/>
                <w:color w:val="auto"/>
              </w:rPr>
            </w:pPr>
          </w:p>
        </w:tc>
        <w:tc>
          <w:tcPr>
            <w:tcW w:w="820" w:type="dxa"/>
            <w:vAlign w:val="bottom"/>
          </w:tcPr>
          <w:p>
            <w:pPr>
              <w:jc w:val="right"/>
              <w:ind w:right="173"/>
              <w:spacing w:after="0"/>
              <w:rPr>
                <w:sz w:val="20"/>
                <w:szCs w:val="20"/>
                <w:color w:val="auto"/>
              </w:rPr>
            </w:pPr>
            <w:r>
              <w:rPr>
                <w:rFonts w:ascii="Arial" w:cs="Arial" w:eastAsia="Arial" w:hAnsi="Arial"/>
                <w:sz w:val="14"/>
                <w:szCs w:val="14"/>
                <w:b w:val="1"/>
                <w:bCs w:val="1"/>
                <w:color w:val="auto"/>
              </w:rPr>
              <w:t>Change</w:t>
            </w:r>
          </w:p>
        </w:tc>
      </w:tr>
      <w:tr>
        <w:trPr>
          <w:trHeight w:val="215"/>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against credit facilities,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Net proceeds (payments) from short-term debt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senior unsecured notes</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Repayment of senior unsecured notes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and payments to purchase common stock</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provided by (used in) financing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i w:val="1"/>
          <w:iCs w:val="1"/>
          <w:color w:val="auto"/>
        </w:rPr>
        <w:t xml:space="preserve">Adjusted Automotive Free Cash Flow </w:t>
      </w:r>
      <w:r>
        <w:rPr>
          <w:rFonts w:ascii="Arial" w:cs="Arial" w:eastAsia="Arial" w:hAnsi="Arial"/>
          <w:sz w:val="17"/>
          <w:szCs w:val="17"/>
          <w:color w:val="auto"/>
        </w:rPr>
        <w:t>We measure adjusted automotive free cash flow as automotive operating cash flow from operations less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expenditures adjusted for management actions. In the nine months ended September 30, 2021, net automotive cash provided by operating activities under U.S. GAAP was $0.3 billion, capital expenditures were $4.2 billion, and adjustments for management actions were insignificant.</w:t>
      </w:r>
    </w:p>
    <w:p>
      <w:pPr>
        <w:spacing w:after="0" w:line="193" w:lineRule="exact"/>
        <w:rPr>
          <w:sz w:val="20"/>
          <w:szCs w:val="20"/>
          <w:color w:val="auto"/>
        </w:rPr>
      </w:pPr>
    </w:p>
    <w:p>
      <w:pPr>
        <w:jc w:val="both"/>
        <w:ind w:right="20" w:firstLine="161"/>
        <w:spacing w:after="0" w:line="275" w:lineRule="auto"/>
        <w:rPr>
          <w:sz w:val="20"/>
          <w:szCs w:val="20"/>
          <w:color w:val="auto"/>
        </w:rPr>
      </w:pPr>
      <w:r>
        <w:rPr>
          <w:rFonts w:ascii="Arial" w:cs="Arial" w:eastAsia="Arial" w:hAnsi="Arial"/>
          <w:sz w:val="18"/>
          <w:szCs w:val="18"/>
          <w:color w:val="auto"/>
        </w:rPr>
        <w:t>In the nine months ended September 30, 2020, net automotive cash provided by operating activities under U.S. GAAP was $2.3 billion, capital expenditures were $3.3 billion, and adjustments for management actions were $0.2 billion.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77" w:lineRule="auto"/>
        <w:rPr>
          <w:sz w:val="20"/>
          <w:szCs w:val="20"/>
          <w:color w:val="auto"/>
        </w:rPr>
      </w:pPr>
      <w:r>
        <w:rPr>
          <w:rFonts w:ascii="Arial" w:cs="Arial" w:eastAsia="Arial" w:hAnsi="Arial"/>
          <w:sz w:val="17"/>
          <w:szCs w:val="17"/>
          <w:i w:val="1"/>
          <w:iCs w:val="1"/>
          <w:color w:val="auto"/>
        </w:rPr>
        <w:t xml:space="preserve">Status of Credit Ratings </w:t>
      </w:r>
      <w:r>
        <w:rPr>
          <w:rFonts w:ascii="Arial" w:cs="Arial" w:eastAsia="Arial" w:hAnsi="Arial"/>
          <w:sz w:val="17"/>
          <w:szCs w:val="17"/>
          <w:color w:val="auto"/>
        </w:rPr>
        <w:t>We receive ratings from four independent credit rating agencies: DBRS Limited (DBRS), Fitch Ratings, Moody's Investors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 (Moody's) and Standard &amp; Poor's. All four credit rating agencies currently rate our corporate credit at investment grade. In March 2021, Moody’s affirmed our investment-grade credit ratings and raised our ratings outlook to stable. In June 2021, DBRS affirmed our investment-grade credit rating and raised our ratings outlook to positive. As of </w:t>
      </w:r>
      <w:r>
        <w:rPr>
          <w:rFonts w:ascii="Arial" w:cs="Arial" w:eastAsia="Arial" w:hAnsi="Arial"/>
          <w:sz w:val="16"/>
          <w:szCs w:val="16"/>
          <w:color w:val="auto"/>
        </w:rPr>
        <w:t>October 12, 2021</w:t>
      </w:r>
      <w:r>
        <w:rPr>
          <w:rFonts w:ascii="Arial" w:cs="Arial" w:eastAsia="Arial" w:hAnsi="Arial"/>
          <w:sz w:val="17"/>
          <w:szCs w:val="17"/>
          <w:color w:val="auto"/>
        </w:rPr>
        <w:t>, all other credit ratings remained unchanged since December 31, 2020.</w:t>
      </w:r>
    </w:p>
    <w:p>
      <w:pPr>
        <w:spacing w:after="0" w:line="213"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Cruise Liquidity </w:t>
      </w:r>
      <w:r>
        <w:rPr>
          <w:rFonts w:ascii="Arial" w:cs="Arial" w:eastAsia="Arial" w:hAnsi="Arial"/>
          <w:sz w:val="18"/>
          <w:szCs w:val="18"/>
          <w:color w:val="auto"/>
        </w:rPr>
        <w:t>In the nine months ended September 30, 2021, Cruise Holdings issued Cruise Class G Preferred Shares in exchange for $2.7 billion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Microsoft, Walmart and other investors, including $1.0 billion from General Motors Holdings LLC. Refer to Note 16 to our condensed consolidated financial statements for additional information. When Cruise's autonomous vehicles are ready for commercial deployment, Softbank Vision Fund (AIV M2), L.P. is obligated to purchase additional Cruise convertible preferred shares for $1.35 billion.</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changes in our Cruise available liquidity (dollars in billions):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94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September 30, 2021</w:t>
            </w:r>
          </w:p>
        </w:tc>
      </w:tr>
      <w:tr>
        <w:trPr>
          <w:trHeight w:val="223"/>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center"/>
              <w:ind w:left="1116"/>
              <w:spacing w:after="0"/>
              <w:rPr>
                <w:sz w:val="20"/>
                <w:szCs w:val="20"/>
                <w:color w:val="auto"/>
              </w:rPr>
            </w:pPr>
            <w:r>
              <w:rPr>
                <w:rFonts w:ascii="Arial" w:cs="Arial" w:eastAsia="Arial" w:hAnsi="Arial"/>
                <w:sz w:val="18"/>
                <w:szCs w:val="18"/>
                <w:color w:val="auto"/>
                <w:w w:val="91"/>
              </w:rPr>
              <w:t>(0.7)</w:t>
            </w:r>
          </w:p>
        </w:tc>
      </w:tr>
      <w:tr>
        <w:trPr>
          <w:trHeight w:val="228"/>
        </w:trPr>
        <w:tc>
          <w:tcPr>
            <w:tcW w:w="9460" w:type="dxa"/>
            <w:vAlign w:val="bottom"/>
          </w:tcPr>
          <w:p>
            <w:pPr>
              <w:ind w:left="20"/>
              <w:spacing w:after="0"/>
              <w:rPr>
                <w:sz w:val="20"/>
                <w:szCs w:val="20"/>
                <w:color w:val="auto"/>
              </w:rPr>
            </w:pPr>
            <w:r>
              <w:rPr>
                <w:rFonts w:ascii="Arial" w:cs="Arial" w:eastAsia="Arial" w:hAnsi="Arial"/>
                <w:sz w:val="18"/>
                <w:szCs w:val="18"/>
                <w:color w:val="auto"/>
              </w:rPr>
              <w:t>Issuance of Cruise Preferred Shares</w:t>
            </w:r>
          </w:p>
        </w:tc>
        <w:tc>
          <w:tcPr>
            <w:tcW w:w="200" w:type="dxa"/>
            <w:vAlign w:val="bottom"/>
          </w:tcPr>
          <w:p>
            <w:pPr>
              <w:spacing w:after="0"/>
              <w:rPr>
                <w:sz w:val="19"/>
                <w:szCs w:val="19"/>
                <w:color w:val="auto"/>
              </w:rPr>
            </w:pPr>
          </w:p>
        </w:tc>
        <w:tc>
          <w:tcPr>
            <w:tcW w:w="1580" w:type="dxa"/>
            <w:vAlign w:val="bottom"/>
          </w:tcPr>
          <w:p>
            <w:pPr>
              <w:jc w:val="center"/>
              <w:ind w:left="1116"/>
              <w:spacing w:after="0"/>
              <w:rPr>
                <w:sz w:val="20"/>
                <w:szCs w:val="20"/>
                <w:color w:val="auto"/>
              </w:rPr>
            </w:pPr>
            <w:r>
              <w:rPr>
                <w:rFonts w:ascii="Arial" w:cs="Arial" w:eastAsia="Arial" w:hAnsi="Arial"/>
                <w:sz w:val="18"/>
                <w:szCs w:val="18"/>
                <w:color w:val="auto"/>
                <w:w w:val="87"/>
              </w:rPr>
              <w:t>1.7</w:t>
            </w:r>
          </w:p>
        </w:tc>
      </w:tr>
      <w:tr>
        <w:trPr>
          <w:trHeight w:val="228"/>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investment in Cruise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ind w:left="1116"/>
              <w:spacing w:after="0"/>
              <w:rPr>
                <w:sz w:val="20"/>
                <w:szCs w:val="20"/>
                <w:color w:val="auto"/>
              </w:rPr>
            </w:pPr>
            <w:r>
              <w:rPr>
                <w:rFonts w:ascii="Arial" w:cs="Arial" w:eastAsia="Arial" w:hAnsi="Arial"/>
                <w:sz w:val="18"/>
                <w:szCs w:val="18"/>
                <w:color w:val="auto"/>
                <w:w w:val="87"/>
              </w:rPr>
              <w:t>1.0</w:t>
            </w:r>
          </w:p>
        </w:tc>
      </w:tr>
      <w:tr>
        <w:trPr>
          <w:trHeight w:val="228"/>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1116"/>
              <w:spacing w:after="0"/>
              <w:rPr>
                <w:sz w:val="20"/>
                <w:szCs w:val="20"/>
                <w:color w:val="auto"/>
              </w:rPr>
            </w:pPr>
            <w:r>
              <w:rPr>
                <w:rFonts w:ascii="Arial" w:cs="Arial" w:eastAsia="Arial" w:hAnsi="Arial"/>
                <w:sz w:val="18"/>
                <w:szCs w:val="18"/>
                <w:color w:val="auto"/>
                <w:w w:val="91"/>
              </w:rPr>
              <w:t>(0.1)</w:t>
            </w:r>
          </w:p>
        </w:tc>
      </w:tr>
      <w:tr>
        <w:trPr>
          <w:trHeight w:val="247"/>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Cruise available liquidity(a)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center"/>
              <w:ind w:left="1116"/>
              <w:spacing w:after="0"/>
              <w:rPr>
                <w:sz w:val="20"/>
                <w:szCs w:val="20"/>
                <w:color w:val="auto"/>
              </w:rPr>
            </w:pPr>
            <w:r>
              <w:rPr>
                <w:rFonts w:ascii="Arial" w:cs="Arial" w:eastAsia="Arial" w:hAnsi="Arial"/>
                <w:sz w:val="18"/>
                <w:szCs w:val="18"/>
                <w:color w:val="auto"/>
                <w:w w:val="87"/>
              </w:rPr>
              <w:t>1.9</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hanging="333"/>
        <w:spacing w:after="0" w:line="260" w:lineRule="auto"/>
        <w:tabs>
          <w:tab w:leader="none" w:pos="331"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Excludes a multi-year credit agreement between Cruise and GM Financial whereby Cruise can request to borrow, over time, up to an aggregate of $5.2 billion, through 2024, to fund exclusively the purchase of autonomous vehicles from GM.</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Cruise Cash Flow (dollars in billions)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9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6"/>
        </w:trPr>
        <w:tc>
          <w:tcPr>
            <w:tcW w:w="6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7"/>
                <w:szCs w:val="17"/>
                <w:color w:val="auto"/>
              </w:rPr>
            </w:pPr>
          </w:p>
        </w:tc>
        <w:tc>
          <w:tcPr>
            <w:tcW w:w="1480" w:type="dxa"/>
            <w:vAlign w:val="bottom"/>
          </w:tcPr>
          <w:p>
            <w:pPr>
              <w:jc w:val="right"/>
              <w:ind w:right="135"/>
              <w:spacing w:after="0"/>
              <w:rPr>
                <w:sz w:val="20"/>
                <w:szCs w:val="20"/>
                <w:color w:val="auto"/>
              </w:rPr>
            </w:pPr>
            <w:r>
              <w:rPr>
                <w:rFonts w:ascii="Arial" w:cs="Arial" w:eastAsia="Arial" w:hAnsi="Arial"/>
                <w:sz w:val="14"/>
                <w:szCs w:val="14"/>
                <w:b w:val="1"/>
                <w:bCs w:val="1"/>
                <w:color w:val="auto"/>
                <w:w w:val="94"/>
              </w:rPr>
              <w:t>September 30, 2020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r>
      <w:tr>
        <w:trPr>
          <w:trHeight w:val="228"/>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center"/>
              <w:ind w:left="978"/>
              <w:spacing w:after="0"/>
              <w:rPr>
                <w:sz w:val="20"/>
                <w:szCs w:val="20"/>
                <w:color w:val="auto"/>
              </w:rPr>
            </w:pPr>
            <w:r>
              <w:rPr>
                <w:rFonts w:ascii="Arial" w:cs="Arial" w:eastAsia="Arial" w:hAnsi="Arial"/>
                <w:sz w:val="18"/>
                <w:szCs w:val="18"/>
                <w:color w:val="auto"/>
                <w:w w:val="91"/>
              </w:rPr>
              <w:t>(0.7)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center"/>
              <w:ind w:left="315"/>
              <w:spacing w:after="0"/>
              <w:rPr>
                <w:sz w:val="20"/>
                <w:szCs w:val="20"/>
                <w:color w:val="auto"/>
              </w:rPr>
            </w:pPr>
            <w:r>
              <w:rPr>
                <w:rFonts w:ascii="Arial" w:cs="Arial" w:eastAsia="Arial" w:hAnsi="Arial"/>
                <w:sz w:val="18"/>
                <w:szCs w:val="18"/>
                <w:color w:val="auto"/>
                <w:w w:val="91"/>
              </w:rPr>
              <w:t>(0.1)</w:t>
            </w:r>
          </w:p>
        </w:tc>
      </w:tr>
      <w:tr>
        <w:trPr>
          <w:trHeight w:val="228"/>
        </w:trPr>
        <w:tc>
          <w:tcPr>
            <w:tcW w:w="6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center"/>
              <w:ind w:left="978"/>
              <w:spacing w:after="0"/>
              <w:rPr>
                <w:sz w:val="20"/>
                <w:szCs w:val="20"/>
                <w:color w:val="auto"/>
              </w:rPr>
            </w:pPr>
            <w:r>
              <w:rPr>
                <w:rFonts w:ascii="Arial" w:cs="Arial" w:eastAsia="Arial" w:hAnsi="Arial"/>
                <w:sz w:val="18"/>
                <w:szCs w:val="18"/>
                <w:color w:val="auto"/>
                <w:w w:val="91"/>
              </w:rPr>
              <w:t>(0.9)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left="355"/>
              <w:spacing w:after="0"/>
              <w:rPr>
                <w:sz w:val="20"/>
                <w:szCs w:val="20"/>
                <w:color w:val="auto"/>
              </w:rPr>
            </w:pPr>
            <w:r>
              <w:rPr>
                <w:rFonts w:ascii="Arial" w:cs="Arial" w:eastAsia="Arial" w:hAnsi="Arial"/>
                <w:sz w:val="18"/>
                <w:szCs w:val="18"/>
                <w:color w:val="auto"/>
                <w:w w:val="87"/>
              </w:rPr>
              <w:t>0.3</w:t>
            </w: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center"/>
              <w:ind w:left="1018"/>
              <w:spacing w:after="0"/>
              <w:rPr>
                <w:sz w:val="20"/>
                <w:szCs w:val="20"/>
                <w:color w:val="auto"/>
              </w:rPr>
            </w:pPr>
            <w:r>
              <w:rPr>
                <w:rFonts w:ascii="Arial" w:cs="Arial" w:eastAsia="Arial" w:hAnsi="Arial"/>
                <w:sz w:val="18"/>
                <w:szCs w:val="18"/>
                <w:color w:val="auto"/>
                <w:w w:val="87"/>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87"/>
              </w:rPr>
              <w:t>2.7</w:t>
            </w:r>
          </w:p>
        </w:tc>
      </w:tr>
    </w:tbl>
    <w:p>
      <w:pPr>
        <w:spacing w:after="0" w:line="308"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b w:val="1"/>
          <w:bCs w:val="1"/>
          <w:i w:val="1"/>
          <w:iCs w:val="1"/>
          <w:color w:val="auto"/>
        </w:rPr>
        <w:t xml:space="preserve">Automotive Financing – GM Financial Liquidity </w:t>
      </w:r>
      <w:r>
        <w:rPr>
          <w:rFonts w:ascii="Arial" w:cs="Arial" w:eastAsia="Arial" w:hAnsi="Arial"/>
          <w:sz w:val="18"/>
          <w:szCs w:val="18"/>
          <w:color w:val="auto"/>
        </w:rPr>
        <w:t>GM Financial's primary sources of cash are finance charge income, leasing income and proceeds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sale of terminated leased vehicles, net distributions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2020</w:t>
            </w:r>
          </w:p>
        </w:tc>
      </w:tr>
      <w:tr>
        <w:trPr>
          <w:trHeight w:val="228"/>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Borrowing capacity on unpledged eligible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 capacity on committed unsecured lines of credit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Borrowing capacity on revolving credit facility, exclusive to GM Financial</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42" w:lineRule="auto"/>
        <w:rPr>
          <w:sz w:val="20"/>
          <w:szCs w:val="20"/>
          <w:color w:val="auto"/>
        </w:rPr>
      </w:pPr>
      <w:r>
        <w:rPr>
          <w:rFonts w:ascii="Arial" w:cs="Arial" w:eastAsia="Arial" w:hAnsi="Arial"/>
          <w:sz w:val="18"/>
          <w:szCs w:val="18"/>
          <w:color w:val="auto"/>
        </w:rPr>
        <w:t>At September 30, 2021, GM Financial's available liquidity increased from December 31, 2020 due to increased available borrowing capacity on unpledged eligible assets, resulting from the issuance of securitization transactions and unsecured debt, partially offset by a decrease in cash and cash equivalents. GM Financial structures liquidity to support at least six months of GM Financial's expected net cash flows, including new originations, without access to new debt financing transactions or other capital markets activity.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305" w:lineRule="auto"/>
        <w:rPr>
          <w:sz w:val="20"/>
          <w:szCs w:val="20"/>
          <w:color w:val="auto"/>
        </w:rPr>
      </w:pPr>
      <w:r>
        <w:rPr>
          <w:rFonts w:ascii="Arial" w:cs="Arial" w:eastAsia="Arial" w:hAnsi="Arial"/>
          <w:sz w:val="17"/>
          <w:szCs w:val="17"/>
          <w:color w:val="auto"/>
        </w:rPr>
        <w:t>GM Financial did not have any borrowings outstanding against our credit facility designated for their exclusive use or the remainder of our revolving credit facilities at September 30, 2021 and December 31, 2020. Refer to the Automotive Liquidity section of this MD&amp;A for additional details.</w:t>
      </w:r>
    </w:p>
    <w:p>
      <w:pPr>
        <w:spacing w:after="0" w:line="175"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In the normal course of business, in addition to using its available cash, GM Financial utilizes borrowings under its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be secured or unsecured, and GM Financial repays these borrowings as appropriate under its cash management strategy. At September 30, 2021, secured, committed unsecured and uncommitted unsecured credit facilities totaled $26.4 billion, $0.5 billion and $1.2 billion with advances outstanding of $0.9 billion, an insignificant amount and $1.2 billion.</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6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6"/>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7"/>
                <w:szCs w:val="17"/>
                <w:color w:val="auto"/>
              </w:rPr>
            </w:pPr>
          </w:p>
        </w:tc>
        <w:tc>
          <w:tcPr>
            <w:tcW w:w="1480" w:type="dxa"/>
            <w:vAlign w:val="bottom"/>
          </w:tcPr>
          <w:p>
            <w:pPr>
              <w:ind w:left="6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center"/>
              <w:ind w:left="1018"/>
              <w:spacing w:after="0"/>
              <w:rPr>
                <w:sz w:val="20"/>
                <w:szCs w:val="20"/>
                <w:color w:val="auto"/>
              </w:rPr>
            </w:pPr>
            <w:r>
              <w:rPr>
                <w:rFonts w:ascii="Arial" w:cs="Arial" w:eastAsia="Arial" w:hAnsi="Arial"/>
                <w:sz w:val="18"/>
                <w:szCs w:val="18"/>
                <w:color w:val="auto"/>
                <w:w w:val="95"/>
              </w:rPr>
              <w:t>5.6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center"/>
              <w:ind w:left="1015"/>
              <w:spacing w:after="0"/>
              <w:rPr>
                <w:sz w:val="20"/>
                <w:szCs w:val="20"/>
                <w:color w:val="auto"/>
              </w:rPr>
            </w:pPr>
            <w:r>
              <w:rPr>
                <w:rFonts w:ascii="Arial" w:cs="Arial" w:eastAsia="Arial" w:hAnsi="Arial"/>
                <w:sz w:val="18"/>
                <w:szCs w:val="18"/>
                <w:color w:val="auto"/>
                <w:w w:val="87"/>
              </w:rPr>
              <w:t>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center"/>
              <w:ind w:left="355"/>
              <w:spacing w:after="0"/>
              <w:rPr>
                <w:sz w:val="20"/>
                <w:szCs w:val="20"/>
                <w:color w:val="auto"/>
              </w:rPr>
            </w:pPr>
            <w:r>
              <w:rPr>
                <w:rFonts w:ascii="Arial" w:cs="Arial" w:eastAsia="Arial" w:hAnsi="Arial"/>
                <w:sz w:val="18"/>
                <w:szCs w:val="18"/>
                <w:color w:val="auto"/>
                <w:w w:val="91"/>
              </w:rPr>
              <w:t>(0.4)</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ind w:left="998"/>
              <w:spacing w:after="0"/>
              <w:rPr>
                <w:sz w:val="20"/>
                <w:szCs w:val="20"/>
                <w:color w:val="auto"/>
              </w:rPr>
            </w:pPr>
            <w:r>
              <w:rPr>
                <w:rFonts w:ascii="Arial" w:cs="Arial" w:eastAsia="Arial" w:hAnsi="Arial"/>
                <w:sz w:val="18"/>
                <w:szCs w:val="18"/>
                <w:color w:val="auto"/>
                <w:w w:val="91"/>
              </w:rPr>
              <w:t>(3.2)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center"/>
              <w:ind w:left="975"/>
              <w:spacing w:after="0"/>
              <w:rPr>
                <w:sz w:val="20"/>
                <w:szCs w:val="20"/>
                <w:color w:val="auto"/>
              </w:rPr>
            </w:pPr>
            <w:r>
              <w:rPr>
                <w:rFonts w:ascii="Arial" w:cs="Arial" w:eastAsia="Arial" w:hAnsi="Arial"/>
                <w:sz w:val="18"/>
                <w:szCs w:val="18"/>
                <w:color w:val="auto"/>
                <w:w w:val="91"/>
              </w:rPr>
              <w:t>(5.0)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left="395"/>
              <w:spacing w:after="0"/>
              <w:rPr>
                <w:sz w:val="20"/>
                <w:szCs w:val="20"/>
                <w:color w:val="auto"/>
              </w:rPr>
            </w:pPr>
            <w:r>
              <w:rPr>
                <w:rFonts w:ascii="Arial" w:cs="Arial" w:eastAsia="Arial" w:hAnsi="Arial"/>
                <w:sz w:val="18"/>
                <w:szCs w:val="18"/>
                <w:color w:val="auto"/>
                <w:w w:val="87"/>
              </w:rPr>
              <w:t>1.8</w:t>
            </w: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center"/>
              <w:ind w:left="998"/>
              <w:spacing w:after="0"/>
              <w:rPr>
                <w:sz w:val="20"/>
                <w:szCs w:val="20"/>
                <w:color w:val="auto"/>
              </w:rPr>
            </w:pPr>
            <w:r>
              <w:rPr>
                <w:rFonts w:ascii="Arial" w:cs="Arial" w:eastAsia="Arial" w:hAnsi="Arial"/>
                <w:sz w:val="18"/>
                <w:szCs w:val="18"/>
                <w:color w:val="auto"/>
                <w:w w:val="91"/>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center"/>
              <w:ind w:left="975"/>
              <w:spacing w:after="0"/>
              <w:rPr>
                <w:sz w:val="20"/>
                <w:szCs w:val="20"/>
                <w:color w:val="auto"/>
              </w:rPr>
            </w:pPr>
            <w:r>
              <w:rPr>
                <w:rFonts w:ascii="Arial" w:cs="Arial" w:eastAsia="Arial" w:hAnsi="Arial"/>
                <w:sz w:val="18"/>
                <w:szCs w:val="18"/>
                <w:color w:val="auto"/>
                <w:w w:val="91"/>
              </w:rPr>
              <w:t>(0.4)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1"/>
              </w:rPr>
              <w:t>(1.2)</w:t>
            </w:r>
          </w:p>
        </w:tc>
      </w:tr>
    </w:tbl>
    <w:p>
      <w:pPr>
        <w:spacing w:after="0" w:line="308"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In the nine months ended September 30, 2021, Net cash provided by operating activities decreased primarily due to: (1) a decrease in derivative collateral posting activities of $0.6 billion; and (2) a decrease in leased vehicle income of $0.3 billion; partially offset by (3) a decrease in interest paid of $0.3 billion.</w:t>
      </w:r>
    </w:p>
    <w:p>
      <w:pPr>
        <w:spacing w:after="0" w:line="152"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In the nine months ended September 30, 2021, Net cash used in investing activities decreased primarily due to: (1) an increase in proceeds from termination of leased vehicles of $5.6 billion; (2) an increase in collections and recoveries on finance receivables of $5.5 billion; partially offset by (3) an increase in purchases of leased vehicles of $6.2 billion; and (4) an increase in purchases of retail finance receivables of $3.1 billion.</w:t>
      </w:r>
    </w:p>
    <w:p>
      <w:pPr>
        <w:spacing w:after="0" w:line="193"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nine months ended September 30, 2021, Net cash used in financing activities increased primarily due to: (1) a decrease in borrowings of $6.6 billion; (2) a decrease in preferred stock issuance of $0.5 billion; and (3) an increase in dividend payments of $1.0 billion; partially offset by (4) a decrease in debt repayments of $6.9 billion.</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Critical Accounting Estimates </w:t>
      </w:r>
      <w:r>
        <w:rPr>
          <w:rFonts w:ascii="Arial" w:cs="Arial" w:eastAsia="Arial" w:hAnsi="Arial"/>
          <w:sz w:val="16"/>
          <w:szCs w:val="16"/>
          <w:color w:val="auto"/>
        </w:rPr>
        <w:t>The condensed consolidated financial statements are prepared in conformity with U.S. GAAP, which requires the use of</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2020 Form 10-K.</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This report and the other reports filed by us with the SEC from time to time, as well as statements incorporated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w:t>
      </w:r>
    </w:p>
    <w:p>
      <w:pPr>
        <w:spacing w:after="0" w:line="7" w:lineRule="exact"/>
        <w:rPr>
          <w:sz w:val="20"/>
          <w:szCs w:val="20"/>
          <w:color w:val="auto"/>
        </w:rPr>
      </w:pPr>
    </w:p>
    <w:p>
      <w:pPr>
        <w:jc w:val="both"/>
        <w:ind w:firstLine="7"/>
        <w:spacing w:after="0" w:line="269" w:lineRule="auto"/>
        <w:tabs>
          <w:tab w:leader="none" w:pos="264"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deliver new products, services and customer experiences in response to increased competition and changing consumer preferences in the automotive industry; (2) our ability to timely fund and introduce new and improved vehicle models, including electric vehicles, that are able to attract a sufficient number of consumers; (3) the success of our crossovers, SUVs and full-size pickup trucks; (4) our highly competitive industry, which is characterized by excess manufacturing capacity and the use of incentives, and the introduction of new and improved vehicle models by our competitors; (5) our ability to deliver a broad portfolio of electric vehicles and drive increased consumer</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adoption; (6) the unique technological, operational, regulatory and competitive risks related to the timing and commercialization of autonomous vehicles;</w:t>
      </w:r>
    </w:p>
    <w:p>
      <w:pPr>
        <w:spacing w:after="0" w:line="46" w:lineRule="exact"/>
        <w:rPr>
          <w:sz w:val="20"/>
          <w:szCs w:val="20"/>
          <w:color w:val="auto"/>
        </w:rPr>
      </w:pPr>
    </w:p>
    <w:p>
      <w:pPr>
        <w:jc w:val="both"/>
        <w:ind w:firstLine="7"/>
        <w:spacing w:after="0" w:line="282" w:lineRule="auto"/>
        <w:tabs>
          <w:tab w:leader="none" w:pos="27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ongoing COVID-19 pandemic; (8) global automobile market sales volume, which can be volatile; (9) our significant business in China, which is subject to unique operational, competitive, regulatory and economic risks; (10) our joint ventures, which we cannot operate solely for our benefit and over which we may have limited control; (11) the international scale and footprint of our operations, which exposes us to a variety of unique political, economic, competitive and regulatory risks, including the risk of changes in government leadership and laws (including labor, tax and other laws), political instability and economic tensions between governments and changes in international trade policies, new barriers to entry and changes to or withdrawals from free trade agreements, public health crises, including the occurrence of a contagious disease or illness, such as the COVID-19 pandemic,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and difficulties in obtaining financing in foreign countries; (12) any significant disruption, including any work stoppages, at any of our manufacturing facilities; (13) the ability of our suppliers to deliver parts, systems and components without disruption and at such times to allow us to meet production schedules; (14) prices of raw materials used by us and our suppliers; (15) our ability to successfully and cost-effectively restructure our operations in the U.S. and various other countries and initiate additional cost reduction actions with minimal disruption; (16) the possibility that competitors may independently develop products and services similar to ours, or that our intellectual property rights are not sufficient to prevent competitors from developing or selling those products or services; (17) our ability to manage risks related to security breaches and other disruptions to our information technology systems and networked products, including connected vehicles and in-vehicle systems; (18) our ability to comply with increasingly complex, restrictive and punitive regulations relating to our enterprise data practices, including the collection, use, sharing and security of the Personal Identifiable Information of our customers, employees, or suppliers; (19) our ability to comply with extensive laws, regulations and policies applicable to our operations and products, including those relating to fuel economy and emissions and autonomous vehicles; (20) costs and risks associated with litigation and government investigations; (21) the costs and effect on our reputation of product safety recalls and alleged defects in products and services; (22) any additional tax expense or exposure; (23) our continued ability to develop captive financing capability through GM Financial; and (24) any significant increase in our pension funding requirements. A further list and description of these risks, uncertainties and other factors can be found in our 2020 Form 10-K and our subsequent filings with the SEC.</w:t>
      </w:r>
    </w:p>
    <w:p>
      <w:pPr>
        <w:spacing w:after="0" w:line="201"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0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4"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There have been no significant changes in our exposure to market risk since December 31, 2020. For further discussion on market risk, refer to Part II, Item 7A. of our 2020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0" w:lineRule="exact"/>
        <w:rPr>
          <w:sz w:val="20"/>
          <w:szCs w:val="20"/>
          <w:color w:val="auto"/>
        </w:rPr>
      </w:pPr>
    </w:p>
    <w:p>
      <w:pPr>
        <w:jc w:val="both"/>
        <w:ind w:firstLine="161"/>
        <w:spacing w:after="0" w:line="259"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12"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Our management, with the participation of our CEO and CFO, evaluated the effectiveness of our disclosure controls and procedures (as defined in Rules 13a-15(e) or 15d-15(e) promulgated under the Exchange Act) as of September 30, 2021 as required by paragraph (b) of Rules 13a-15 or 15d-15. Based on this evaluation, our CEO and CFO concluded that our disclosure controls and procedures were effective as of September 30, 2021.</w:t>
      </w:r>
    </w:p>
    <w:p>
      <w:pPr>
        <w:spacing w:after="0" w:line="189" w:lineRule="exact"/>
        <w:rPr>
          <w:sz w:val="20"/>
          <w:szCs w:val="20"/>
          <w:color w:val="auto"/>
        </w:rPr>
      </w:pPr>
    </w:p>
    <w:p>
      <w:pPr>
        <w:jc w:val="both"/>
        <w:ind w:firstLine="161"/>
        <w:spacing w:after="0" w:line="259"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There have not been any changes in our internal control over financial reporting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ended September 30, 2021 that have materially affected, or are reasonably likely to materially affect, our internal control over financial reporting. However, due to the COVID-19 pandemic, we are monitoring our control environment with increased vigilance to ensure all increased risks are mitigated. For additional information refer to Part I, Item 1A. Risk Factors of our 2020 Form 10-K.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5"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 discussion under "Litigation-Related Liability and Tax Administrative Matters" in Note 13 to our condensed consolidated financial statements is incorporated by reference into this Part II, Item 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4" w:lineRule="exact"/>
        <w:rPr>
          <w:sz w:val="20"/>
          <w:szCs w:val="20"/>
          <w:color w:val="auto"/>
        </w:rPr>
      </w:pPr>
    </w:p>
    <w:p>
      <w:pPr>
        <w:jc w:val="both"/>
        <w:ind w:firstLine="161"/>
        <w:spacing w:after="0" w:line="246"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2020 Form 10-K.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Purchases of Equity Securities </w:t>
      </w:r>
      <w:r>
        <w:rPr>
          <w:rFonts w:ascii="Arial" w:cs="Arial" w:eastAsia="Arial" w:hAnsi="Arial"/>
          <w:sz w:val="17"/>
          <w:szCs w:val="17"/>
          <w:color w:val="auto"/>
        </w:rPr>
        <w:t>The following table summarizes our purchases of common stock in the three months ended September 30,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4"/>
        </w:trPr>
        <w:tc>
          <w:tcPr>
            <w:tcW w:w="508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Average Price</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Purchased Under</w:t>
            </w:r>
          </w:p>
        </w:tc>
        <w:tc>
          <w:tcPr>
            <w:tcW w:w="120" w:type="dxa"/>
            <w:vAlign w:val="bottom"/>
          </w:tcPr>
          <w:p>
            <w:pPr>
              <w:spacing w:after="0"/>
              <w:rPr>
                <w:sz w:val="11"/>
                <w:szCs w:val="11"/>
                <w:color w:val="auto"/>
              </w:rPr>
            </w:pPr>
          </w:p>
        </w:tc>
        <w:tc>
          <w:tcPr>
            <w:tcW w:w="1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34"/>
        </w:trPr>
        <w:tc>
          <w:tcPr>
            <w:tcW w:w="508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Purchased(a)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Paid per</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1"/>
                <w:szCs w:val="11"/>
                <w:color w:val="auto"/>
              </w:rPr>
            </w:pPr>
          </w:p>
        </w:tc>
        <w:tc>
          <w:tcPr>
            <w:tcW w:w="1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Programs(b)</w:t>
            </w:r>
          </w:p>
        </w:tc>
        <w:tc>
          <w:tcPr>
            <w:tcW w:w="1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 2021 through July 31, 2021</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Arial" w:cs="Arial" w:eastAsia="Arial" w:hAnsi="Arial"/>
                <w:sz w:val="18"/>
                <w:szCs w:val="18"/>
                <w:color w:val="auto"/>
              </w:rPr>
              <w:t>August 1, 2021 through August 31, 2021</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2021 through September 30,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59.05</w:t>
            </w:r>
          </w:p>
        </w:tc>
        <w:tc>
          <w:tcPr>
            <w:tcW w:w="120" w:type="dxa"/>
            <w:vAlign w:val="bottom"/>
          </w:tcPr>
          <w:p>
            <w:pPr>
              <w:spacing w:after="0"/>
              <w:rPr>
                <w:sz w:val="19"/>
                <w:szCs w:val="19"/>
                <w:color w:val="auto"/>
              </w:rPr>
            </w:pPr>
          </w:p>
        </w:tc>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18" w:lineRule="exact"/>
        <w:rPr>
          <w:sz w:val="20"/>
          <w:szCs w:val="20"/>
          <w:color w:val="auto"/>
        </w:rPr>
      </w:pPr>
    </w:p>
    <w:p>
      <w:pPr>
        <w:ind w:left="340" w:hanging="333"/>
        <w:spacing w:after="0" w:line="245" w:lineRule="auto"/>
        <w:tabs>
          <w:tab w:leader="none" w:pos="331"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Shares purchased consist of shares delivered by employees or directors to us for the payment of taxes resulting from the issuance of common stock upon the vesting of RSUs relating to compensation plans. Refer to our 2020 Form 10-K for additional details on employee stock incentive plans.</w:t>
      </w:r>
    </w:p>
    <w:p>
      <w:pPr>
        <w:ind w:left="320" w:hanging="313"/>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January 2017, we announced that our Board of Directors had authorized the purchase of up to $5.0 billion of our common stock with no expiration date.</w:t>
      </w:r>
    </w:p>
    <w:p>
      <w:pPr>
        <w:spacing w:after="0" w:line="227" w:lineRule="exact"/>
        <w:rPr>
          <w:rFonts w:ascii="Arial" w:cs="Arial" w:eastAsia="Arial" w:hAnsi="Arial"/>
          <w:sz w:val="16"/>
          <w:szCs w:val="16"/>
          <w:color w:val="auto"/>
        </w:rPr>
      </w:pPr>
    </w:p>
    <w:p>
      <w:pPr>
        <w:ind w:left="504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60" w:type="dxa"/>
            <w:vAlign w:val="bottom"/>
            <w:gridSpan w:val="6"/>
          </w:tcPr>
          <w:p>
            <w:pPr>
              <w:ind w:left="1060"/>
              <w:spacing w:after="0"/>
              <w:rPr>
                <w:sz w:val="20"/>
                <w:szCs w:val="20"/>
                <w:color w:val="auto"/>
              </w:rPr>
            </w:pPr>
            <w:r>
              <w:rPr>
                <w:rFonts w:ascii="Arial" w:cs="Arial" w:eastAsia="Arial" w:hAnsi="Arial"/>
                <w:sz w:val="18"/>
                <w:szCs w:val="18"/>
                <w:b w:val="1"/>
                <w:bCs w:val="1"/>
                <w:color w:val="auto"/>
              </w:rPr>
              <w:t>GENERAL MOTORS COMPANY AND SUBSIDIARIES</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0"/>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60" w:type="dxa"/>
            <w:vAlign w:val="bottom"/>
            <w:gridSpan w:val="6"/>
          </w:tcPr>
          <w:p>
            <w:pPr>
              <w:ind w:left="2660"/>
              <w:spacing w:after="0"/>
              <w:rPr>
                <w:sz w:val="20"/>
                <w:szCs w:val="20"/>
                <w:color w:val="auto"/>
              </w:rPr>
            </w:pPr>
            <w:r>
              <w:rPr>
                <w:rFonts w:ascii="Arial" w:cs="Arial" w:eastAsia="Arial" w:hAnsi="Arial"/>
                <w:sz w:val="18"/>
                <w:szCs w:val="18"/>
                <w:b w:val="1"/>
                <w:bCs w:val="1"/>
                <w:color w:val="auto"/>
              </w:rPr>
              <w:t>Exhibit Name</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Borders>
              <w:top w:val="single" w:sz="8" w:color="auto"/>
            </w:tcBorders>
            <w:shd w:val="clear" w:color="auto" w:fill="CCEEFF"/>
          </w:tcPr>
          <w:p>
            <w:pPr>
              <w:spacing w:after="0" w:line="168" w:lineRule="exact"/>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100" w:type="dxa"/>
            <w:vAlign w:val="bottom"/>
            <w:tcBorders>
              <w:top w:val="single" w:sz="8" w:color="auto"/>
            </w:tcBorders>
            <w:gridSpan w:val="8"/>
            <w:shd w:val="clear" w:color="auto" w:fill="CCEEFF"/>
          </w:tcPr>
          <w:p>
            <w:pPr>
              <w:spacing w:after="0" w:line="168"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Restated Certificate of Incorporation of General Motors Company dated December 7, 2010, incorporated herein</w:t>
              </w:r>
            </w:hyperlink>
          </w:p>
        </w:tc>
        <w:tc>
          <w:tcPr>
            <w:tcW w:w="1620" w:type="dxa"/>
            <w:vAlign w:val="bottom"/>
            <w:tcBorders>
              <w:top w:val="single" w:sz="8" w:color="CCEEFF"/>
            </w:tcBorders>
            <w:shd w:val="clear" w:color="auto" w:fill="CCEEFF"/>
          </w:tcPr>
          <w:p>
            <w:pPr>
              <w:ind w:left="100"/>
              <w:spacing w:after="0" w:line="168"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60" w:type="dxa"/>
            <w:vAlign w:val="bottom"/>
            <w:tcBorders>
              <w:top w:val="single" w:sz="8" w:color="0000FF"/>
              <w:bottom w:val="single" w:sz="8" w:color="0000FF"/>
            </w:tcBorders>
            <w:gridSpan w:val="6"/>
            <w:shd w:val="clear" w:color="auto" w:fill="CCEEFF"/>
          </w:tcPr>
          <w:p>
            <w:pPr>
              <w:spacing w:after="0" w:line="161"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by reference to Exhibit 3.2 to the Current Report on Form 8-K of General Motors Company filed December 13,</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620" w:type="dxa"/>
            <w:vAlign w:val="bottom"/>
            <w:tcBorders>
              <w:top w:val="single" w:sz="8" w:color="CCEEFF"/>
              <w:bottom w:val="single" w:sz="8" w:color="CCEEFF"/>
            </w:tcBorders>
            <w:shd w:val="clear" w:color="auto" w:fill="CCEEFF"/>
          </w:tcPr>
          <w:p>
            <w:pPr>
              <w:ind w:left="100"/>
              <w:spacing w:after="0" w:line="161" w:lineRule="exact"/>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spacing w:after="0" w:line="154" w:lineRule="exact"/>
              <w:rPr>
                <w:rFonts w:ascii="Arial" w:cs="Arial" w:eastAsia="Arial" w:hAnsi="Arial"/>
                <w:sz w:val="17"/>
                <w:szCs w:val="17"/>
                <w:color w:val="0000FF"/>
              </w:rPr>
            </w:pPr>
            <w:hyperlink r:id="rId74">
              <w:r>
                <w:rPr>
                  <w:rFonts w:ascii="Arial" w:cs="Arial" w:eastAsia="Arial" w:hAnsi="Arial"/>
                  <w:sz w:val="17"/>
                  <w:szCs w:val="17"/>
                  <w:color w:val="0000FF"/>
                </w:rPr>
                <w:t>2010</w:t>
              </w:r>
            </w:hyperlink>
          </w:p>
        </w:tc>
        <w:tc>
          <w:tcPr>
            <w:tcW w:w="3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00" w:type="dxa"/>
            <w:vAlign w:val="bottom"/>
            <w:gridSpan w:val="8"/>
          </w:tcPr>
          <w:p>
            <w:pPr>
              <w:spacing w:after="0" w:line="189" w:lineRule="exact"/>
              <w:rPr>
                <w:rFonts w:ascii="Arial" w:cs="Arial" w:eastAsia="Arial" w:hAnsi="Arial"/>
                <w:sz w:val="18"/>
                <w:szCs w:val="18"/>
                <w:color w:val="0000FF"/>
                <w:w w:val="96"/>
              </w:rPr>
            </w:pPr>
            <w:hyperlink r:id="rId75">
              <w:r>
                <w:rPr>
                  <w:rFonts w:ascii="Arial" w:cs="Arial" w:eastAsia="Arial" w:hAnsi="Arial"/>
                  <w:sz w:val="18"/>
                  <w:szCs w:val="18"/>
                  <w:color w:val="0000FF"/>
                  <w:w w:val="96"/>
                </w:rPr>
                <w:t>General Motors Company Amended and Restated Bylaws, as amended August 17, 2021, incorporated by</w:t>
              </w:r>
            </w:hyperlink>
          </w:p>
        </w:tc>
        <w:tc>
          <w:tcPr>
            <w:tcW w:w="1620" w:type="dxa"/>
            <w:vAlign w:val="bottom"/>
          </w:tcPr>
          <w:p>
            <w:pPr>
              <w:ind w:left="100"/>
              <w:spacing w:after="0" w:line="189"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tcBorders>
              <w:top w:val="single" w:sz="8" w:color="0000FF"/>
            </w:tcBorders>
            <w:gridSpan w:val="7"/>
          </w:tcPr>
          <w:p>
            <w:pPr>
              <w:spacing w:after="0" w:line="154" w:lineRule="exact"/>
              <w:rPr>
                <w:rFonts w:ascii="Arial" w:cs="Arial" w:eastAsia="Arial" w:hAnsi="Arial"/>
                <w:sz w:val="17"/>
                <w:szCs w:val="17"/>
                <w:color w:val="0000FF"/>
              </w:rPr>
            </w:pPr>
            <w:hyperlink r:id="rId75">
              <w:r>
                <w:rPr>
                  <w:rFonts w:ascii="Arial" w:cs="Arial" w:eastAsia="Arial" w:hAnsi="Arial"/>
                  <w:sz w:val="17"/>
                  <w:szCs w:val="17"/>
                  <w:color w:val="0000FF"/>
                </w:rPr>
                <w:t>reference to Exhibit 3.1 to the Current Report on Form 8-K of General Motors Company filed on August 23,</w:t>
              </w:r>
            </w:hyperlink>
          </w:p>
        </w:tc>
        <w:tc>
          <w:tcPr>
            <w:tcW w:w="20" w:type="dxa"/>
            <w:vAlign w:val="bottom"/>
          </w:tcPr>
          <w:p>
            <w:pPr>
              <w:spacing w:after="0"/>
              <w:rPr>
                <w:sz w:val="13"/>
                <w:szCs w:val="13"/>
                <w:color w:val="auto"/>
              </w:rPr>
            </w:pPr>
          </w:p>
        </w:tc>
        <w:tc>
          <w:tcPr>
            <w:tcW w:w="1620" w:type="dxa"/>
            <w:vAlign w:val="bottom"/>
          </w:tcPr>
          <w:p>
            <w:pPr>
              <w:ind w:left="100"/>
              <w:spacing w:after="0" w:line="154" w:lineRule="exact"/>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tcBorders>
            <w:gridSpan w:val="2"/>
          </w:tcPr>
          <w:p>
            <w:pPr>
              <w:spacing w:after="0" w:line="154" w:lineRule="exact"/>
              <w:rPr>
                <w:rFonts w:ascii="Arial" w:cs="Arial" w:eastAsia="Arial" w:hAnsi="Arial"/>
                <w:sz w:val="17"/>
                <w:szCs w:val="17"/>
                <w:color w:val="0000FF"/>
              </w:rPr>
            </w:pPr>
            <w:hyperlink r:id="rId75">
              <w:r>
                <w:rPr>
                  <w:rFonts w:ascii="Arial" w:cs="Arial" w:eastAsia="Arial" w:hAnsi="Arial"/>
                  <w:sz w:val="17"/>
                  <w:szCs w:val="17"/>
                  <w:color w:val="0000FF"/>
                </w:rPr>
                <w:t>2021</w:t>
              </w:r>
            </w:hyperlink>
          </w:p>
        </w:tc>
        <w:tc>
          <w:tcPr>
            <w:tcW w:w="3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100" w:type="dxa"/>
            <w:vAlign w:val="bottom"/>
            <w:gridSpan w:val="8"/>
            <w:shd w:val="clear" w:color="auto" w:fill="CCEEFF"/>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Section 302 Certification of the Chief Executive Officer</w:t>
              </w:r>
            </w:hyperlink>
          </w:p>
        </w:tc>
        <w:tc>
          <w:tcPr>
            <w:tcW w:w="16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Borders>
              <w:top w:val="single" w:sz="8" w:color="CCEEFF"/>
            </w:tcBorders>
          </w:tcPr>
          <w:p>
            <w:pPr>
              <w:spacing w:after="0" w:line="189" w:lineRule="exact"/>
              <w:rPr>
                <w:sz w:val="20"/>
                <w:szCs w:val="20"/>
                <w:color w:val="auto"/>
              </w:rPr>
            </w:pPr>
            <w:r>
              <w:rPr>
                <w:rFonts w:ascii="Arial" w:cs="Arial" w:eastAsia="Arial" w:hAnsi="Arial"/>
                <w:sz w:val="18"/>
                <w:szCs w:val="18"/>
                <w:color w:val="auto"/>
              </w:rPr>
              <w:t>31.2</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00" w:type="dxa"/>
            <w:vAlign w:val="bottom"/>
            <w:tcBorders>
              <w:top w:val="single" w:sz="8" w:color="0000FF"/>
            </w:tcBorders>
            <w:gridSpan w:val="4"/>
          </w:tcPr>
          <w:p>
            <w:pPr>
              <w:spacing w:after="0" w:line="189" w:lineRule="exact"/>
              <w:rPr>
                <w:rFonts w:ascii="Arial" w:cs="Arial" w:eastAsia="Arial" w:hAnsi="Arial"/>
                <w:sz w:val="18"/>
                <w:szCs w:val="18"/>
                <w:color w:val="0000FF"/>
                <w:w w:val="93"/>
              </w:rPr>
            </w:pPr>
            <w:hyperlink w:anchor="page55">
              <w:r>
                <w:rPr>
                  <w:rFonts w:ascii="Arial" w:cs="Arial" w:eastAsia="Arial" w:hAnsi="Arial"/>
                  <w:sz w:val="18"/>
                  <w:szCs w:val="18"/>
                  <w:color w:val="0000FF"/>
                  <w:w w:val="93"/>
                </w:rPr>
                <w:t>Section 302 Certification of the Chief Financial Officer</w:t>
              </w:r>
            </w:hyperlink>
          </w:p>
        </w:tc>
        <w:tc>
          <w:tcPr>
            <w:tcW w:w="4100" w:type="dxa"/>
            <w:vAlign w:val="bottom"/>
            <w:tcBorders>
              <w:top w:val="single" w:sz="8" w:color="CCEEFF"/>
            </w:tcBorders>
            <w:gridSpan w:val="4"/>
          </w:tcPr>
          <w:p>
            <w:pPr>
              <w:spacing w:after="0"/>
              <w:rPr>
                <w:sz w:val="16"/>
                <w:szCs w:val="16"/>
                <w:color w:val="auto"/>
              </w:rPr>
            </w:pPr>
          </w:p>
        </w:tc>
        <w:tc>
          <w:tcPr>
            <w:tcW w:w="1620" w:type="dxa"/>
            <w:vAlign w:val="bottom"/>
            <w:tcBorders>
              <w:top w:val="single" w:sz="8" w:color="CCEEFF"/>
            </w:tcBorders>
          </w:tcPr>
          <w:p>
            <w:pPr>
              <w:ind w:left="100"/>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100" w:type="dxa"/>
            <w:vAlign w:val="bottom"/>
            <w:gridSpan w:val="8"/>
            <w:shd w:val="clear" w:color="auto" w:fill="CCEEFF"/>
          </w:tcPr>
          <w:p>
            <w:pPr>
              <w:spacing w:after="0" w:line="189" w:lineRule="exact"/>
              <w:rPr>
                <w:rFonts w:ascii="Arial" w:cs="Arial" w:eastAsia="Arial" w:hAnsi="Arial"/>
                <w:sz w:val="18"/>
                <w:szCs w:val="18"/>
                <w:color w:val="0000FF"/>
                <w:w w:val="92"/>
              </w:rPr>
            </w:pPr>
            <w:hyperlink w:anchor="page56">
              <w:r>
                <w:rPr>
                  <w:rFonts w:ascii="Arial" w:cs="Arial" w:eastAsia="Arial" w:hAnsi="Arial"/>
                  <w:sz w:val="18"/>
                  <w:szCs w:val="18"/>
                  <w:color w:val="0000FF"/>
                  <w:w w:val="92"/>
                </w:rPr>
                <w:t>Certification Pursuant to 18 U.S.C. Section 1350, As Adopted Pursuant to Section 906 of the Sarbanes-Oxley</w:t>
              </w:r>
            </w:hyperlink>
          </w:p>
        </w:tc>
        <w:tc>
          <w:tcPr>
            <w:tcW w:w="16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w w:val="99"/>
              </w:rPr>
              <w:t>Furnished with this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40" w:type="dxa"/>
            <w:vAlign w:val="bottom"/>
            <w:tcBorders>
              <w:top w:val="single" w:sz="8" w:color="0000FF"/>
            </w:tcBorders>
            <w:gridSpan w:val="5"/>
            <w:shd w:val="clear" w:color="auto" w:fill="CCEEFF"/>
          </w:tcPr>
          <w:p>
            <w:pPr>
              <w:spacing w:after="0" w:line="154" w:lineRule="exact"/>
              <w:rPr>
                <w:rFonts w:ascii="Arial" w:cs="Arial" w:eastAsia="Arial" w:hAnsi="Arial"/>
                <w:sz w:val="17"/>
                <w:szCs w:val="17"/>
                <w:color w:val="0000FF"/>
              </w:rPr>
            </w:pPr>
            <w:hyperlink w:anchor="page56">
              <w:r>
                <w:rPr>
                  <w:rFonts w:ascii="Arial" w:cs="Arial" w:eastAsia="Arial" w:hAnsi="Arial"/>
                  <w:sz w:val="17"/>
                  <w:szCs w:val="17"/>
                  <w:color w:val="0000FF"/>
                </w:rPr>
                <w:t>Act of 2002</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1620" w:type="dxa"/>
            <w:vAlign w:val="bottom"/>
            <w:tcBorders>
              <w:top w:val="single" w:sz="8" w:color="CCEEFF"/>
            </w:tcBorders>
            <w:shd w:val="clear" w:color="auto" w:fill="CCEEFF"/>
          </w:tcPr>
          <w:p>
            <w:pPr>
              <w:ind w:left="100"/>
              <w:spacing w:after="0" w:line="154" w:lineRule="exact"/>
              <w:rPr>
                <w:sz w:val="20"/>
                <w:szCs w:val="20"/>
                <w:color w:val="auto"/>
              </w:rPr>
            </w:pPr>
            <w:r>
              <w:rPr>
                <w:rFonts w:ascii="Arial" w:cs="Arial" w:eastAsia="Arial" w:hAnsi="Arial"/>
                <w:sz w:val="17"/>
                <w:szCs w:val="17"/>
                <w:color w:val="auto"/>
              </w:rPr>
              <w:t>Report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40" w:type="dxa"/>
            <w:vAlign w:val="bottom"/>
          </w:tcPr>
          <w:p>
            <w:pPr>
              <w:spacing w:after="0" w:line="175"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00" w:type="dxa"/>
            <w:vAlign w:val="bottom"/>
            <w:gridSpan w:val="8"/>
          </w:tcPr>
          <w:p>
            <w:pPr>
              <w:spacing w:after="0" w:line="175" w:lineRule="exact"/>
              <w:rPr>
                <w:sz w:val="20"/>
                <w:szCs w:val="20"/>
                <w:color w:val="auto"/>
              </w:rPr>
            </w:pPr>
            <w:r>
              <w:rPr>
                <w:rFonts w:ascii="Arial" w:cs="Arial" w:eastAsia="Arial" w:hAnsi="Arial"/>
                <w:sz w:val="18"/>
                <w:szCs w:val="18"/>
                <w:color w:val="auto"/>
                <w:w w:val="93"/>
              </w:rPr>
              <w:t>The following financial information from the Company’s Quarterly Report on Form 10-Q for the quarter ended</w:t>
            </w:r>
          </w:p>
        </w:tc>
        <w:tc>
          <w:tcPr>
            <w:tcW w:w="1620" w:type="dxa"/>
            <w:vAlign w:val="bottom"/>
          </w:tcPr>
          <w:p>
            <w:pPr>
              <w:ind w:left="100"/>
              <w:spacing w:after="0" w:line="175"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00" w:type="dxa"/>
            <w:vAlign w:val="bottom"/>
            <w:gridSpan w:val="8"/>
          </w:tcPr>
          <w:p>
            <w:pPr>
              <w:spacing w:after="0" w:line="175" w:lineRule="exact"/>
              <w:rPr>
                <w:sz w:val="20"/>
                <w:szCs w:val="20"/>
                <w:color w:val="auto"/>
              </w:rPr>
            </w:pPr>
            <w:r>
              <w:rPr>
                <w:rFonts w:ascii="Arial" w:cs="Arial" w:eastAsia="Arial" w:hAnsi="Arial"/>
                <w:sz w:val="18"/>
                <w:szCs w:val="18"/>
                <w:color w:val="auto"/>
                <w:w w:val="95"/>
              </w:rPr>
              <w:t>September 30, 2021, formatted in Inline Extensible Business Reporting Language (iXBRL) includes: (i) the</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00" w:type="dxa"/>
            <w:vAlign w:val="bottom"/>
            <w:gridSpan w:val="8"/>
          </w:tcPr>
          <w:p>
            <w:pPr>
              <w:spacing w:after="0" w:line="175" w:lineRule="exact"/>
              <w:rPr>
                <w:sz w:val="20"/>
                <w:szCs w:val="20"/>
                <w:color w:val="auto"/>
              </w:rPr>
            </w:pPr>
            <w:r>
              <w:rPr>
                <w:rFonts w:ascii="Arial" w:cs="Arial" w:eastAsia="Arial" w:hAnsi="Arial"/>
                <w:sz w:val="18"/>
                <w:szCs w:val="18"/>
                <w:color w:val="auto"/>
                <w:w w:val="92"/>
              </w:rPr>
              <w:t>Condensed Consolidated Income Statements, (ii) the Condensed Consolidated Statements of Comprehensive</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00" w:type="dxa"/>
            <w:vAlign w:val="bottom"/>
            <w:gridSpan w:val="8"/>
          </w:tcPr>
          <w:p>
            <w:pPr>
              <w:spacing w:after="0" w:line="175" w:lineRule="exact"/>
              <w:rPr>
                <w:sz w:val="20"/>
                <w:szCs w:val="20"/>
                <w:color w:val="auto"/>
              </w:rPr>
            </w:pPr>
            <w:r>
              <w:rPr>
                <w:rFonts w:ascii="Arial" w:cs="Arial" w:eastAsia="Arial" w:hAnsi="Arial"/>
                <w:sz w:val="18"/>
                <w:szCs w:val="18"/>
                <w:color w:val="auto"/>
                <w:w w:val="90"/>
              </w:rPr>
              <w:t>Income, (iii) the Condensed Consolidated Balance Sheets, (iv) the Condensed Consolidated Statements of Cash</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00" w:type="dxa"/>
            <w:vAlign w:val="bottom"/>
            <w:gridSpan w:val="8"/>
          </w:tcPr>
          <w:p>
            <w:pPr>
              <w:spacing w:after="0" w:line="175" w:lineRule="exact"/>
              <w:rPr>
                <w:sz w:val="20"/>
                <w:szCs w:val="20"/>
                <w:color w:val="auto"/>
              </w:rPr>
            </w:pPr>
            <w:r>
              <w:rPr>
                <w:rFonts w:ascii="Arial" w:cs="Arial" w:eastAsia="Arial" w:hAnsi="Arial"/>
                <w:sz w:val="18"/>
                <w:szCs w:val="18"/>
                <w:color w:val="auto"/>
                <w:w w:val="93"/>
              </w:rPr>
              <w:t>Flows, (v) the Condensed Consolidated Statements of Equity and (vi) Notes to the Condensed Consolidated</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00" w:type="dxa"/>
            <w:vAlign w:val="bottom"/>
            <w:gridSpan w:val="8"/>
          </w:tcPr>
          <w:p>
            <w:pPr>
              <w:spacing w:after="0"/>
              <w:rPr>
                <w:sz w:val="20"/>
                <w:szCs w:val="20"/>
                <w:color w:val="auto"/>
              </w:rPr>
            </w:pPr>
            <w:r>
              <w:rPr>
                <w:rFonts w:ascii="Arial" w:cs="Arial" w:eastAsia="Arial" w:hAnsi="Arial"/>
                <w:sz w:val="18"/>
                <w:szCs w:val="18"/>
                <w:color w:val="auto"/>
              </w:rPr>
              <w:t>Financial Statements</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00" w:type="dxa"/>
            <w:vAlign w:val="bottom"/>
            <w:gridSpan w:val="8"/>
            <w:shd w:val="clear" w:color="auto" w:fill="CCEEFF"/>
          </w:tcPr>
          <w:p>
            <w:pPr>
              <w:spacing w:after="0" w:line="175" w:lineRule="exact"/>
              <w:rPr>
                <w:sz w:val="20"/>
                <w:szCs w:val="20"/>
                <w:color w:val="auto"/>
              </w:rPr>
            </w:pPr>
            <w:r>
              <w:rPr>
                <w:rFonts w:ascii="Arial" w:cs="Arial" w:eastAsia="Arial" w:hAnsi="Arial"/>
                <w:sz w:val="18"/>
                <w:szCs w:val="18"/>
                <w:color w:val="auto"/>
                <w:w w:val="90"/>
              </w:rPr>
              <w:t>The cover page from the Company's Quarterly Report on Form 10-Q for the quarter ended September 30, 2021,</w:t>
            </w:r>
          </w:p>
        </w:tc>
        <w:tc>
          <w:tcPr>
            <w:tcW w:w="1620" w:type="dxa"/>
            <w:vAlign w:val="bottom"/>
            <w:shd w:val="clear" w:color="auto" w:fill="CCEEFF"/>
          </w:tcPr>
          <w:p>
            <w:pPr>
              <w:ind w:left="100"/>
              <w:spacing w:after="0" w:line="175"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1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formatted as Inline XBRL and contained in Exhibit 101</w:t>
            </w: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8"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SIGNATURE</w:t>
      </w:r>
    </w:p>
    <w:p>
      <w:pPr>
        <w:spacing w:after="0" w:line="246" w:lineRule="exact"/>
        <w:rPr>
          <w:sz w:val="20"/>
          <w:szCs w:val="20"/>
          <w:color w:val="auto"/>
        </w:rPr>
      </w:pPr>
    </w:p>
    <w:p>
      <w:pPr>
        <w:ind w:right="420" w:firstLine="161"/>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332" w:lineRule="exact"/>
        <w:rPr>
          <w:sz w:val="20"/>
          <w:szCs w:val="20"/>
          <w:color w:val="auto"/>
        </w:rPr>
      </w:pPr>
    </w:p>
    <w:p>
      <w:pPr>
        <w:ind w:left="5780"/>
        <w:spacing w:after="0"/>
        <w:tabs>
          <w:tab w:leader="none" w:pos="6220" w:val="left"/>
        </w:tabs>
        <w:rPr>
          <w:sz w:val="20"/>
          <w:szCs w:val="20"/>
          <w:color w:val="auto"/>
        </w:rPr>
      </w:pPr>
      <w:r>
        <w:rPr>
          <w:rFonts w:ascii="Arial" w:cs="Arial" w:eastAsia="Arial" w:hAnsi="Arial"/>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13970</wp:posOffset>
            </wp:positionV>
            <wp:extent cx="30035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Christopher T. Hatto, Vice President, Global Business Solutions</w:t>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and Chief Accounting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October 27, 2021</w:t>
      </w:r>
    </w:p>
    <w:p>
      <w:pPr>
        <w:spacing w:after="0" w:line="200" w:lineRule="exact"/>
        <w:rPr>
          <w:sz w:val="20"/>
          <w:szCs w:val="20"/>
          <w:color w:val="auto"/>
        </w:rPr>
      </w:pPr>
    </w:p>
    <w:p>
      <w:pPr>
        <w:spacing w:after="0" w:line="25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820"/>
          </w:cols>
          <w:pgMar w:left="320" w:top="125" w:right="75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50" w:lineRule="exact"/>
        <w:rPr>
          <w:sz w:val="20"/>
          <w:szCs w:val="20"/>
          <w:color w:val="auto"/>
        </w:rPr>
      </w:pPr>
    </w:p>
    <w:p>
      <w:pPr>
        <w:ind w:left="380" w:hanging="171"/>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49" w:lineRule="exact"/>
        <w:rPr>
          <w:rFonts w:ascii="Arial" w:cs="Arial" w:eastAsia="Arial" w:hAnsi="Arial"/>
          <w:sz w:val="18"/>
          <w:szCs w:val="18"/>
          <w:color w:val="auto"/>
        </w:rPr>
      </w:pPr>
    </w:p>
    <w:p>
      <w:pPr>
        <w:ind w:firstLine="209"/>
        <w:spacing w:after="0" w:line="339" w:lineRule="auto"/>
        <w:tabs>
          <w:tab w:leader="none" w:pos="397"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firstLine="209"/>
        <w:spacing w:after="0" w:line="275" w:lineRule="auto"/>
        <w:tabs>
          <w:tab w:leader="none" w:pos="39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09"/>
        <w:spacing w:after="0" w:line="262" w:lineRule="auto"/>
        <w:tabs>
          <w:tab w:leader="none" w:pos="41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782"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81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80" w:firstLine="192"/>
        <w:spacing w:after="0" w:line="305" w:lineRule="auto"/>
        <w:tabs>
          <w:tab w:leader="none" w:pos="81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jc w:val="both"/>
        <w:ind w:left="380" w:firstLine="192"/>
        <w:spacing w:after="0" w:line="262" w:lineRule="auto"/>
        <w:tabs>
          <w:tab w:leader="none" w:pos="792"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209"/>
        <w:spacing w:after="0" w:line="305" w:lineRule="auto"/>
        <w:tabs>
          <w:tab w:leader="none" w:pos="39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7"/>
          <w:szCs w:val="17"/>
          <w:color w:val="auto"/>
        </w:rPr>
      </w:pPr>
    </w:p>
    <w:p>
      <w:pPr>
        <w:ind w:left="380" w:right="20" w:firstLine="192"/>
        <w:spacing w:after="0" w:line="275" w:lineRule="auto"/>
        <w:tabs>
          <w:tab w:leader="none" w:pos="77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2"/>
        <w:spacing w:after="0" w:line="275" w:lineRule="auto"/>
        <w:tabs>
          <w:tab w:leader="none" w:pos="78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30460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Mary T. Barra</w:t>
      </w:r>
    </w:p>
    <w:p>
      <w:pPr>
        <w:ind w:left="5620"/>
        <w:spacing w:after="0"/>
        <w:rPr>
          <w:sz w:val="20"/>
          <w:szCs w:val="20"/>
          <w:color w:val="auto"/>
        </w:rPr>
      </w:pPr>
      <w:r>
        <w:rPr>
          <w:rFonts w:ascii="Arial" w:cs="Arial" w:eastAsia="Arial" w:hAnsi="Arial"/>
          <w:sz w:val="18"/>
          <w:szCs w:val="18"/>
          <w:color w:val="auto"/>
        </w:rPr>
        <w:t>Chair and Chief Executive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October 27, 2021</w:t>
      </w:r>
    </w:p>
    <w:p>
      <w:pPr>
        <w:sectPr>
          <w:pgSz w:w="11900" w:h="16838" w:orient="portrait"/>
          <w:cols w:equalWidth="0" w:num="1">
            <w:col w:w="11240"/>
          </w:cols>
          <w:pgMar w:left="320" w:top="363"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 Paul A. Jacobson, certify that:</w:t>
      </w:r>
    </w:p>
    <w:p>
      <w:pPr>
        <w:spacing w:after="0" w:line="250" w:lineRule="exact"/>
        <w:rPr>
          <w:sz w:val="20"/>
          <w:szCs w:val="20"/>
          <w:color w:val="auto"/>
        </w:rPr>
      </w:pPr>
    </w:p>
    <w:p>
      <w:pPr>
        <w:ind w:left="380" w:hanging="171"/>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49" w:lineRule="exact"/>
        <w:rPr>
          <w:rFonts w:ascii="Arial" w:cs="Arial" w:eastAsia="Arial" w:hAnsi="Arial"/>
          <w:sz w:val="18"/>
          <w:szCs w:val="18"/>
          <w:color w:val="auto"/>
        </w:rPr>
      </w:pPr>
    </w:p>
    <w:p>
      <w:pPr>
        <w:ind w:firstLine="209"/>
        <w:spacing w:after="0" w:line="339" w:lineRule="auto"/>
        <w:tabs>
          <w:tab w:leader="none" w:pos="397"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firstLine="209"/>
        <w:spacing w:after="0" w:line="275" w:lineRule="auto"/>
        <w:tabs>
          <w:tab w:leader="none" w:pos="3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09"/>
        <w:spacing w:after="0" w:line="262" w:lineRule="auto"/>
        <w:tabs>
          <w:tab w:leader="none" w:pos="4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782"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81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80" w:firstLine="192"/>
        <w:spacing w:after="0" w:line="305" w:lineRule="auto"/>
        <w:tabs>
          <w:tab w:leader="none" w:pos="81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jc w:val="both"/>
        <w:ind w:left="380" w:firstLine="192"/>
        <w:spacing w:after="0" w:line="262" w:lineRule="auto"/>
        <w:tabs>
          <w:tab w:leader="none" w:pos="7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209"/>
        <w:spacing w:after="0" w:line="305" w:lineRule="auto"/>
        <w:tabs>
          <w:tab w:leader="none" w:pos="39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7"/>
          <w:szCs w:val="17"/>
          <w:color w:val="auto"/>
        </w:rPr>
      </w:pPr>
    </w:p>
    <w:p>
      <w:pPr>
        <w:ind w:left="380" w:right="20" w:firstLine="192"/>
        <w:spacing w:after="0" w:line="275" w:lineRule="auto"/>
        <w:tabs>
          <w:tab w:leader="none" w:pos="776"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2"/>
        <w:spacing w:after="0" w:line="275" w:lineRule="auto"/>
        <w:tabs>
          <w:tab w:leader="none" w:pos="78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30460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Paul A. Jacobson</w:t>
      </w: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October 27, 2021</w:t>
      </w:r>
    </w:p>
    <w:p>
      <w:pPr>
        <w:sectPr>
          <w:pgSz w:w="11900" w:h="16838" w:orient="portrait"/>
          <w:cols w:equalWidth="0" w:num="1">
            <w:col w:w="11240"/>
          </w:cols>
          <w:pgMar w:left="320" w:top="363"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exact"/>
        <w:rPr>
          <w:sz w:val="20"/>
          <w:szCs w:val="20"/>
          <w:color w:val="auto"/>
        </w:rPr>
      </w:pPr>
    </w:p>
    <w:p>
      <w:pPr>
        <w:jc w:val="both"/>
        <w:ind w:firstLine="202"/>
        <w:spacing w:after="0" w:line="284" w:lineRule="auto"/>
        <w:rPr>
          <w:sz w:val="20"/>
          <w:szCs w:val="20"/>
          <w:color w:val="auto"/>
        </w:rPr>
      </w:pPr>
      <w:r>
        <w:rPr>
          <w:rFonts w:ascii="Arial" w:cs="Arial" w:eastAsia="Arial" w:hAnsi="Arial"/>
          <w:sz w:val="17"/>
          <w:szCs w:val="17"/>
          <w:color w:val="auto"/>
        </w:rPr>
        <w:t>In connection with the Quarterly Report of General Motors Company (the “Company”) on Form 10-Q for the period ended September 30, 2021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93" w:lineRule="exact"/>
        <w:rPr>
          <w:sz w:val="20"/>
          <w:szCs w:val="20"/>
          <w:color w:val="auto"/>
        </w:rPr>
      </w:pPr>
    </w:p>
    <w:p>
      <w:pPr>
        <w:ind w:left="760" w:hanging="18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9" w:lineRule="exact"/>
        <w:rPr>
          <w:rFonts w:ascii="Arial" w:cs="Arial" w:eastAsia="Arial" w:hAnsi="Arial"/>
          <w:sz w:val="18"/>
          <w:szCs w:val="18"/>
          <w:color w:val="auto"/>
        </w:rPr>
      </w:pPr>
    </w:p>
    <w:p>
      <w:pPr>
        <w:ind w:left="760" w:hanging="18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30460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Mary T. Barra</w:t>
      </w:r>
    </w:p>
    <w:p>
      <w:pPr>
        <w:ind w:left="5620"/>
        <w:spacing w:after="0"/>
        <w:rPr>
          <w:sz w:val="20"/>
          <w:szCs w:val="20"/>
          <w:color w:val="auto"/>
        </w:rPr>
      </w:pPr>
      <w:r>
        <w:rPr>
          <w:rFonts w:ascii="Arial" w:cs="Arial" w:eastAsia="Arial" w:hAnsi="Arial"/>
          <w:sz w:val="18"/>
          <w:szCs w:val="18"/>
          <w:color w:val="auto"/>
        </w:rPr>
        <w:t>Chair and Chief Executive Officer</w:t>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30460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Paul A. Jacobson</w:t>
      </w: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October 27, 2021</w:t>
      </w:r>
    </w:p>
    <w:sectPr>
      <w:pgSz w:w="11900" w:h="16838" w:orient="portrait"/>
      <w:cols w:equalWidth="0" w:num="1">
        <w:col w:w="11240"/>
      </w:cols>
      <w:pgMar w:left="320" w:top="3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lowerLetter"/>
      <w:start w:val="1"/>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decimal"/>
      <w:start w:val="2"/>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7"/>
    </w:lvl>
  </w:abstractNum>
  <w:abstractNum w:abstractNumId="31">
    <w:nsid w:val="3006C83E"/>
    <w:multiLevelType w:val="hybridMultilevel"/>
    <w:lvl w:ilvl="0">
      <w:lvlJc w:val="left"/>
      <w:lvlText w:val="(%1)"/>
      <w:numFmt w:val="lowerLetter"/>
      <w:start w:val="1"/>
    </w:lvl>
    <w:lvl w:ilvl="1">
      <w:lvlJc w:val="left"/>
      <w:lvlText w:val="*"/>
      <w:numFmt w:val="bullet"/>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74" Type="http://schemas.openxmlformats.org/officeDocument/2006/relationships/hyperlink" Target="http://www.sec.gov/Archives/edgar/data/1467858/000119312510279214/dex32.htm" TargetMode="External"/><Relationship Id="rId75" Type="http://schemas.openxmlformats.org/officeDocument/2006/relationships/hyperlink" Target="https://www.sec.gov/Archives/edgar/data/1467858/000119312521254010/d132589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2021-10-27T14:22:03Z</dcterms:created>
  <dcterms:modified xsi:type="dcterms:W3CDTF">2021-10-27T14:22:03Z</dcterms:modified>
</cp:coreProperties>
</file>