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Ammann Daniel</w:t>
              </w:r>
            </w:hyperlink>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12"/>
                <w:szCs w:val="1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0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restart"/>
          </w:tcPr>
          <w:p>
            <w:pPr>
              <w:ind w:left="22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continue"/>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7"/>
            <w:vMerge w:val="continue"/>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1"/>
              </w:rPr>
              <w:t>President</w:t>
            </w: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640" w:type="dxa"/>
            <w:vAlign w:val="bottom"/>
            <w:gridSpan w:val="6"/>
          </w:tcPr>
          <w:p>
            <w:pPr>
              <w:ind w:left="240"/>
              <w:spacing w:after="0"/>
              <w:rPr>
                <w:sz w:val="20"/>
                <w:szCs w:val="20"/>
                <w:color w:val="auto"/>
              </w:rPr>
            </w:pPr>
            <w:r>
              <w:rPr>
                <w:rFonts w:ascii="Arial" w:cs="Arial" w:eastAsia="Arial" w:hAnsi="Arial"/>
                <w:sz w:val="18"/>
                <w:szCs w:val="18"/>
                <w:color w:val="0000FF"/>
              </w:rPr>
              <w:t>06/30/2016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spacing w:after="0" w:line="198" w:lineRule="exact"/>
              <w:rPr>
                <w:sz w:val="20"/>
                <w:szCs w:val="20"/>
                <w:color w:val="auto"/>
              </w:rPr>
            </w:pPr>
            <w:r>
              <w:rPr>
                <w:rFonts w:ascii="Arial" w:cs="Arial" w:eastAsia="Arial" w:hAnsi="Arial"/>
                <w:sz w:val="18"/>
                <w:szCs w:val="18"/>
                <w:color w:val="0000FF"/>
                <w:w w:val="98"/>
              </w:rPr>
              <w:t>M/C: 482-C25-A36</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5"/>
                <w:szCs w:val="15"/>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7"/>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21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5"/>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7,078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112"/>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180,928</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20"/>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3,723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177,205</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3,355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173,850</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7"/>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jc w:val="center"/>
              <w:ind w:left="3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7,078</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06/30/2016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7,078</w:t>
            </w:r>
          </w:p>
        </w:tc>
        <w:tc>
          <w:tcPr>
            <w:tcW w:w="840" w:type="dxa"/>
            <w:vAlign w:val="bottom"/>
            <w:gridSpan w:val="3"/>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340" w:type="dxa"/>
            <w:vAlign w:val="bottom"/>
          </w:tcPr>
          <w:p>
            <w:pPr>
              <w:spacing w:after="0"/>
              <w:rPr>
                <w:sz w:val="7"/>
                <w:szCs w:val="7"/>
                <w:color w:val="auto"/>
              </w:rPr>
            </w:pPr>
          </w:p>
        </w:tc>
        <w:tc>
          <w:tcPr>
            <w:tcW w:w="640" w:type="dxa"/>
            <w:vAlign w:val="bottom"/>
            <w:vMerge w:val="restart"/>
          </w:tcPr>
          <w:p>
            <w:pPr>
              <w:ind w:left="2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0"/>
          <w:szCs w:val="20"/>
          <w:color w:val="auto"/>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2013 pursuant to the Company's Salary Stock Plan (the "GMSSP"). The portion of this award currently payable was settled on June 30, 2016 in cash, less a portion withheld for taxes.</w:t>
      </w:r>
    </w:p>
    <w:p>
      <w:pPr>
        <w:spacing w:after="0" w:line="30" w:lineRule="exact"/>
        <w:rPr>
          <w:rFonts w:ascii="Arial" w:cs="Arial" w:eastAsia="Arial" w:hAnsi="Arial"/>
          <w:sz w:val="14"/>
          <w:szCs w:val="14"/>
          <w:color w:val="008000"/>
        </w:rPr>
      </w:pPr>
    </w:p>
    <w:p>
      <w:pPr>
        <w:jc w:val="both"/>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 are fully vested when made and will be settled in three equal, annual installments beginning one year after the date of grant. The GMSSP gives the Reporting Person the option of having a settlement made by delivery of shares of the Company's common stock or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$28.68.</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07/05/2016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14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2019-12-08T19:32:18Z</dcterms:created>
  <dcterms:modified xsi:type="dcterms:W3CDTF">2019-12-08T19:32:18Z</dcterms:modified>
</cp:coreProperties>
</file>