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and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Motors Liquidation Company GUC Trust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Wilmington Trust Company, as Trust administrator and trustee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Attn: David A. Vanaskey Jr., Vice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Rodney Square North</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1100 North Market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Wilmington, Delaware 19890-1615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 636-6019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6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20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441"/>
        </w:trPr>
        <w:tc>
          <w:tcPr>
            <w:tcW w:w="304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James J. Moloney, Esq.</w:t>
            </w:r>
          </w:p>
        </w:tc>
        <w:tc>
          <w:tcPr>
            <w:tcW w:w="5200" w:type="dxa"/>
            <w:vAlign w:val="bottom"/>
          </w:tcPr>
          <w:p>
            <w:pPr>
              <w:jc w:val="center"/>
              <w:ind w:left="2690"/>
              <w:spacing w:after="0"/>
              <w:rPr>
                <w:sz w:val="20"/>
                <w:szCs w:val="20"/>
                <w:color w:val="auto"/>
              </w:rPr>
            </w:pPr>
            <w:r>
              <w:rPr>
                <w:rFonts w:ascii="Arial" w:cs="Arial" w:eastAsia="Arial" w:hAnsi="Arial"/>
                <w:sz w:val="18"/>
                <w:szCs w:val="18"/>
                <w:b w:val="1"/>
                <w:bCs w:val="1"/>
                <w:color w:val="auto"/>
                <w:w w:val="89"/>
              </w:rPr>
              <w:t>J. Alan Bannister, Esq.</w:t>
            </w:r>
          </w:p>
        </w:tc>
      </w:tr>
      <w:tr>
        <w:trPr>
          <w:trHeight w:val="216"/>
        </w:trPr>
        <w:tc>
          <w:tcPr>
            <w:tcW w:w="304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Gibson, Dunn &amp; Crutcher LLP</w:t>
            </w:r>
          </w:p>
        </w:tc>
        <w:tc>
          <w:tcPr>
            <w:tcW w:w="5200" w:type="dxa"/>
            <w:vAlign w:val="bottom"/>
          </w:tcPr>
          <w:p>
            <w:pPr>
              <w:jc w:val="center"/>
              <w:ind w:left="2690"/>
              <w:spacing w:after="0"/>
              <w:rPr>
                <w:sz w:val="20"/>
                <w:szCs w:val="20"/>
                <w:color w:val="auto"/>
              </w:rPr>
            </w:pPr>
            <w:r>
              <w:rPr>
                <w:rFonts w:ascii="Arial" w:cs="Arial" w:eastAsia="Arial" w:hAnsi="Arial"/>
                <w:sz w:val="18"/>
                <w:szCs w:val="18"/>
                <w:b w:val="1"/>
                <w:bCs w:val="1"/>
                <w:color w:val="auto"/>
                <w:w w:val="94"/>
              </w:rPr>
              <w:t>Gibson, Dunn &amp; Crutcher LLP</w:t>
            </w:r>
          </w:p>
        </w:tc>
      </w:tr>
      <w:tr>
        <w:trPr>
          <w:trHeight w:val="216"/>
        </w:trPr>
        <w:tc>
          <w:tcPr>
            <w:tcW w:w="304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3161 Michelson Drive, Suite 1200</w:t>
            </w:r>
          </w:p>
        </w:tc>
        <w:tc>
          <w:tcPr>
            <w:tcW w:w="5200" w:type="dxa"/>
            <w:vAlign w:val="bottom"/>
          </w:tcPr>
          <w:p>
            <w:pPr>
              <w:jc w:val="center"/>
              <w:ind w:left="2690"/>
              <w:spacing w:after="0"/>
              <w:rPr>
                <w:sz w:val="20"/>
                <w:szCs w:val="20"/>
                <w:color w:val="auto"/>
              </w:rPr>
            </w:pPr>
            <w:r>
              <w:rPr>
                <w:rFonts w:ascii="Arial" w:cs="Arial" w:eastAsia="Arial" w:hAnsi="Arial"/>
                <w:sz w:val="18"/>
                <w:szCs w:val="18"/>
                <w:b w:val="1"/>
                <w:bCs w:val="1"/>
                <w:color w:val="auto"/>
                <w:w w:val="90"/>
              </w:rPr>
              <w:t>200 Park Avenue</w:t>
            </w:r>
          </w:p>
        </w:tc>
      </w:tr>
      <w:tr>
        <w:trPr>
          <w:trHeight w:val="216"/>
        </w:trPr>
        <w:tc>
          <w:tcPr>
            <w:tcW w:w="30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Irvine, CA 92612</w:t>
            </w:r>
          </w:p>
        </w:tc>
        <w:tc>
          <w:tcPr>
            <w:tcW w:w="5200" w:type="dxa"/>
            <w:vAlign w:val="bottom"/>
          </w:tcPr>
          <w:p>
            <w:pPr>
              <w:jc w:val="center"/>
              <w:ind w:left="2690"/>
              <w:spacing w:after="0"/>
              <w:rPr>
                <w:sz w:val="20"/>
                <w:szCs w:val="20"/>
                <w:color w:val="auto"/>
              </w:rPr>
            </w:pPr>
            <w:r>
              <w:rPr>
                <w:rFonts w:ascii="Arial" w:cs="Arial" w:eastAsia="Arial" w:hAnsi="Arial"/>
                <w:sz w:val="18"/>
                <w:szCs w:val="18"/>
                <w:b w:val="1"/>
                <w:bCs w:val="1"/>
                <w:color w:val="auto"/>
                <w:w w:val="94"/>
              </w:rPr>
              <w:t>New York, NY 10166</w:t>
            </w:r>
          </w:p>
        </w:tc>
      </w:tr>
      <w:tr>
        <w:trPr>
          <w:trHeight w:val="234"/>
        </w:trPr>
        <w:tc>
          <w:tcPr>
            <w:tcW w:w="304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(949) 451-4343</w:t>
            </w:r>
          </w:p>
        </w:tc>
        <w:tc>
          <w:tcPr>
            <w:tcW w:w="5200" w:type="dxa"/>
            <w:vAlign w:val="bottom"/>
          </w:tcPr>
          <w:p>
            <w:pPr>
              <w:jc w:val="center"/>
              <w:ind w:left="2690"/>
              <w:spacing w:after="0"/>
              <w:rPr>
                <w:sz w:val="20"/>
                <w:szCs w:val="20"/>
                <w:color w:val="auto"/>
              </w:rPr>
            </w:pPr>
            <w:r>
              <w:rPr>
                <w:rFonts w:ascii="Arial" w:cs="Arial" w:eastAsia="Arial" w:hAnsi="Arial"/>
                <w:sz w:val="18"/>
                <w:szCs w:val="18"/>
                <w:b w:val="1"/>
                <w:bCs w:val="1"/>
                <w:color w:val="auto"/>
                <w:w w:val="92"/>
              </w:rPr>
              <w:t>(212) 351-2310</w:t>
            </w:r>
          </w:p>
        </w:tc>
      </w:tr>
    </w:tbl>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 2013**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ind w:left="460" w:right="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99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CUSIP No. 37045V100</w:t>
            </w:r>
          </w:p>
        </w:tc>
        <w:tc>
          <w:tcPr>
            <w:tcW w:w="3120" w:type="dxa"/>
            <w:vAlign w:val="bottom"/>
          </w:tcPr>
          <w:p>
            <w:pPr>
              <w:ind w:left="260"/>
              <w:spacing w:after="0"/>
              <w:rPr>
                <w:sz w:val="20"/>
                <w:szCs w:val="20"/>
                <w:color w:val="auto"/>
              </w:rPr>
            </w:pPr>
            <w:r>
              <w:rPr>
                <w:rFonts w:ascii="Arial" w:cs="Arial" w:eastAsia="Arial" w:hAnsi="Arial"/>
                <w:sz w:val="18"/>
                <w:szCs w:val="18"/>
                <w:b w:val="1"/>
                <w:bCs w:val="1"/>
                <w:color w:val="auto"/>
              </w:rPr>
              <w:t>Schedule 13D</w:t>
            </w:r>
          </w:p>
        </w:tc>
        <w:tc>
          <w:tcPr>
            <w:tcW w:w="3140" w:type="dxa"/>
            <w:vAlign w:val="bottom"/>
            <w:gridSpan w:val="2"/>
          </w:tcPr>
          <w:p>
            <w:pPr>
              <w:ind w:left="1800"/>
              <w:spacing w:after="0"/>
              <w:rPr>
                <w:sz w:val="20"/>
                <w:szCs w:val="20"/>
                <w:color w:val="auto"/>
              </w:rPr>
            </w:pPr>
            <w:r>
              <w:rPr>
                <w:rFonts w:ascii="Arial" w:cs="Arial" w:eastAsia="Arial" w:hAnsi="Arial"/>
                <w:sz w:val="18"/>
                <w:szCs w:val="18"/>
                <w:b w:val="1"/>
                <w:bCs w:val="1"/>
                <w:color w:val="auto"/>
                <w:w w:val="86"/>
              </w:rPr>
              <w:t>Page 2 of 6 Pages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56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w:t>
            </w:r>
          </w:p>
        </w:tc>
        <w:tc>
          <w:tcPr>
            <w:tcW w:w="4560" w:type="dxa"/>
            <w:vAlign w:val="bottom"/>
          </w:tcPr>
          <w:p>
            <w:pPr>
              <w:ind w:left="160"/>
              <w:spacing w:after="0" w:line="195" w:lineRule="exact"/>
              <w:rPr>
                <w:sz w:val="20"/>
                <w:szCs w:val="20"/>
                <w:color w:val="auto"/>
              </w:rPr>
            </w:pPr>
            <w:r>
              <w:rPr>
                <w:rFonts w:ascii="Arial" w:cs="Arial" w:eastAsia="Arial" w:hAnsi="Arial"/>
                <w:sz w:val="18"/>
                <w:szCs w:val="18"/>
                <w:color w:val="auto"/>
              </w:rPr>
              <w:t>Name of Reporting Persons:</w:t>
            </w:r>
          </w:p>
        </w:tc>
        <w:tc>
          <w:tcPr>
            <w:tcW w:w="3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7"/>
              </w:rPr>
              <w:t>I.R.S. Identification No. of Above Persons (entities only):</w:t>
            </w:r>
          </w:p>
        </w:tc>
        <w:tc>
          <w:tcPr>
            <w:tcW w:w="3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6148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148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6148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61487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259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59842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Motors Liquidation Company GUC Trust</w:t>
            </w:r>
          </w:p>
        </w:tc>
        <w:tc>
          <w:tcPr>
            <w:tcW w:w="0" w:type="dxa"/>
            <w:vAlign w:val="bottom"/>
          </w:tcPr>
          <w:p>
            <w:pPr>
              <w:spacing w:after="0"/>
              <w:rPr>
                <w:sz w:val="1"/>
                <w:szCs w:val="1"/>
                <w:color w:val="auto"/>
              </w:rPr>
            </w:pPr>
          </w:p>
        </w:tc>
      </w:tr>
      <w:tr>
        <w:trPr>
          <w:trHeight w:val="164"/>
        </w:trPr>
        <w:tc>
          <w:tcPr>
            <w:tcW w:w="5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(b)</w:t>
            </w:r>
          </w:p>
        </w:tc>
        <w:tc>
          <w:tcPr>
            <w:tcW w:w="95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89"/>
              </w:rPr>
              <w:t>SEC Use Only:</w:t>
            </w:r>
          </w:p>
        </w:tc>
        <w:tc>
          <w:tcPr>
            <w:tcW w:w="4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Delaware</w:t>
            </w:r>
          </w:p>
        </w:tc>
        <w:tc>
          <w:tcPr>
            <w:tcW w:w="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right w:val="single" w:sz="8" w:color="auto"/>
            </w:tcBorders>
          </w:tcPr>
          <w:p>
            <w:pPr>
              <w:spacing w:after="0"/>
              <w:rPr>
                <w:sz w:val="19"/>
                <w:szCs w:val="19"/>
                <w:color w:val="auto"/>
              </w:rPr>
            </w:pPr>
          </w:p>
        </w:tc>
        <w:tc>
          <w:tcPr>
            <w:tcW w:w="95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9520" w:type="dxa"/>
            <w:vAlign w:val="bottom"/>
          </w:tcPr>
          <w:p>
            <w:pPr>
              <w:ind w:left="1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41"/>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9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40" w:type="dxa"/>
            <w:vAlign w:val="bottom"/>
            <w:tcBorders>
              <w:right w:val="single" w:sz="8" w:color="auto"/>
            </w:tcBorders>
            <w:gridSpan w:val="3"/>
            <w:vMerge w:val="continue"/>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8"/>
                <w:szCs w:val="18"/>
                <w:color w:val="auto"/>
              </w:rPr>
              <w:t>(8)</w:t>
            </w:r>
          </w:p>
        </w:tc>
        <w:tc>
          <w:tcPr>
            <w:tcW w:w="40" w:type="dxa"/>
            <w:vAlign w:val="bottom"/>
            <w:tcBorders>
              <w:right w:val="single" w:sz="8" w:color="auto"/>
            </w:tcBorders>
          </w:tcPr>
          <w:p>
            <w:pPr>
              <w:spacing w:after="0"/>
              <w:rPr>
                <w:sz w:val="13"/>
                <w:szCs w:val="13"/>
                <w:color w:val="auto"/>
              </w:rPr>
            </w:pPr>
          </w:p>
        </w:tc>
        <w:tc>
          <w:tcPr>
            <w:tcW w:w="952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9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95"/>
              </w:rPr>
              <w:t>EACH</w:t>
            </w: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9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00" w:type="dxa"/>
            <w:vAlign w:val="bottom"/>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6"/>
                <w:szCs w:val="6"/>
                <w:color w:val="auto"/>
              </w:rPr>
            </w:pPr>
          </w:p>
        </w:tc>
        <w:tc>
          <w:tcPr>
            <w:tcW w:w="95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9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94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9520" w:type="dxa"/>
            <w:vAlign w:val="bottom"/>
          </w:tcPr>
          <w:p>
            <w:pPr>
              <w:ind w:left="10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95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6"/>
        </w:trPr>
        <w:tc>
          <w:tcPr>
            <w:tcW w:w="6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spacing w:after="0"/>
              <w:rPr>
                <w:sz w:val="16"/>
                <w:szCs w:val="16"/>
                <w:color w:val="auto"/>
              </w:rPr>
            </w:pPr>
          </w:p>
        </w:tc>
        <w:tc>
          <w:tcPr>
            <w:tcW w:w="9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0% (See Item 5)**</w:t>
            </w:r>
          </w:p>
        </w:tc>
        <w:tc>
          <w:tcPr>
            <w:tcW w:w="0" w:type="dxa"/>
            <w:vAlign w:val="bottom"/>
          </w:tcPr>
          <w:p>
            <w:pPr>
              <w:spacing w:after="0"/>
              <w:rPr>
                <w:sz w:val="1"/>
                <w:szCs w:val="1"/>
                <w:color w:val="auto"/>
              </w:rPr>
            </w:pPr>
          </w:p>
        </w:tc>
      </w:tr>
      <w:tr>
        <w:trPr>
          <w:trHeight w:val="226"/>
        </w:trPr>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 2013, Motors Liquidation Company GUC Trust completed a series of distributions to holders of Allowed General Unsecured Claims, and to holders of contingent residual beneficial interests in the Trust, of shares of Common Stock, and Warrants to purchase shares of such Common Stock. As a result of such distributions, the reporting persons had beneficial ownership and shared dispositive power over less than 5% of total number of outstanding shares of Common Stock of General Motors Company within the meaning of Section 13(d) of the Securities Exchange Act of 1934. Capitalized terms used herein which are not defined herein have the meanings given them in the Schedule 13D (as defined hereinafter). See also Item 4 herein.</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542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303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6303010"/>
                    </a:xfrm>
                    <a:prstGeom prst="rect">
                      <a:avLst/>
                    </a:prstGeom>
                    <a:noFill/>
                  </pic:spPr>
                </pic:pic>
              </a:graphicData>
            </a:graphic>
          </wp:anchor>
        </w:drawing>
      </w:r>
    </w:p>
    <w:p>
      <w:pPr>
        <w:spacing w:after="0" w:line="211" w:lineRule="exact"/>
        <w:rPr>
          <w:sz w:val="20"/>
          <w:szCs w:val="20"/>
          <w:color w:val="auto"/>
        </w:rPr>
      </w:pPr>
    </w:p>
    <w:p>
      <w:pPr>
        <w:ind w:left="780" w:right="560"/>
        <w:spacing w:after="0" w:line="246" w:lineRule="auto"/>
        <w:rPr>
          <w:sz w:val="20"/>
          <w:szCs w:val="20"/>
          <w:color w:val="auto"/>
        </w:rPr>
      </w:pPr>
      <w:r>
        <w:rPr>
          <w:rFonts w:ascii="Arial" w:cs="Arial" w:eastAsia="Arial" w:hAnsi="Arial"/>
          <w:sz w:val="22"/>
          <w:szCs w:val="22"/>
          <w:color w:val="auto"/>
        </w:rPr>
        <w:t>Wilmington Trust Company, not in its individual capacity, but solely as Trust administrator and trustee of the Motors Liquidation Company GUC Trust.</w:t>
      </w:r>
    </w:p>
    <w:p>
      <w:pPr>
        <w:spacing w:after="0" w:line="2"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780" w:hanging="525"/>
        <w:spacing w:after="0" w:line="207" w:lineRule="exact"/>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80" w:hanging="52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5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9500" w:type="dxa"/>
            <w:vAlign w:val="bottom"/>
          </w:tcPr>
          <w:p>
            <w:pPr>
              <w:ind w:left="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4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5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12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5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03"/>
        </w:trPr>
        <w:tc>
          <w:tcPr>
            <w:tcW w:w="1340" w:type="dxa"/>
            <w:vAlign w:val="bottom"/>
            <w:gridSpan w:val="2"/>
          </w:tcPr>
          <w:p>
            <w:pPr>
              <w:jc w:val="center"/>
              <w:ind w:right="60"/>
              <w:spacing w:after="0" w:line="203"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7"/>
                <w:szCs w:val="17"/>
                <w:color w:val="auto"/>
              </w:rPr>
            </w:pPr>
          </w:p>
        </w:tc>
        <w:tc>
          <w:tcPr>
            <w:tcW w:w="9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w:t>
            </w:r>
          </w:p>
        </w:tc>
        <w:tc>
          <w:tcPr>
            <w:tcW w:w="9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0 (See Items 4 and 5)</w:t>
      </w:r>
    </w:p>
    <w:p>
      <w:pPr>
        <w:spacing w:after="0" w:line="24" w:lineRule="exact"/>
        <w:rPr>
          <w:sz w:val="20"/>
          <w:szCs w:val="20"/>
          <w:color w:val="auto"/>
        </w:rPr>
      </w:pPr>
    </w:p>
    <w:p>
      <w:pPr>
        <w:ind w:left="780" w:hanging="61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0</w:t>
      </w:r>
    </w:p>
    <w:p>
      <w:pPr>
        <w:spacing w:after="0" w:line="22" w:lineRule="exact"/>
        <w:rPr>
          <w:sz w:val="20"/>
          <w:szCs w:val="20"/>
          <w:color w:val="auto"/>
        </w:rPr>
      </w:pPr>
    </w:p>
    <w:p>
      <w:pPr>
        <w:ind w:left="780" w:hanging="615"/>
        <w:spacing w:after="0" w:line="207" w:lineRule="exact"/>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780" w:hanging="6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0% (See Item 5)**</w:t>
      </w:r>
    </w:p>
    <w:p>
      <w:pPr>
        <w:spacing w:after="0" w:line="24" w:lineRule="exact"/>
        <w:rPr>
          <w:sz w:val="20"/>
          <w:szCs w:val="20"/>
          <w:color w:val="auto"/>
        </w:rPr>
      </w:pPr>
    </w:p>
    <w:p>
      <w:pPr>
        <w:ind w:left="780" w:hanging="61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BK/HC</w:t>
      </w:r>
    </w:p>
    <w:p>
      <w:pPr>
        <w:spacing w:after="0" w:line="267" w:lineRule="exact"/>
        <w:rPr>
          <w:sz w:val="20"/>
          <w:szCs w:val="20"/>
          <w:color w:val="auto"/>
        </w:rPr>
      </w:pPr>
    </w:p>
    <w:p>
      <w:pPr>
        <w:ind w:left="460" w:right="8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2, 2013, Motors Liquidation Company GUC Trust completed a series of distributions to holders of Allowed General Unsecured Claims, and to holders of contingent residual beneficial interests in the Trust, of shares of Common Stock, and Warrants to purchase shares of such Common Stock. As a result of such distributions, the reporting persons had beneficial ownership and shared dispositive power over less than 5% of total number of outstanding shares of Common Stock of General Motors Company within the meaning of Section 13(d) of the Securities Exchange Act of 1934. Capitalized terms used herein which are not defined herein have the meanings given them in the Schedule 13D (as defined hereinafter). See also Item 4 herein.</w:t>
      </w:r>
    </w:p>
    <w:p>
      <w:pPr>
        <w:sectPr>
          <w:pgSz w:w="11900" w:h="16838" w:orient="portrait"/>
          <w:cols w:equalWidth="0" w:num="1">
            <w:col w:w="11440"/>
          </w:cols>
          <w:pgMar w:left="240" w:top="270" w:right="219" w:bottom="1440" w:gutter="0" w:footer="0" w:header="0"/>
        </w:sectPr>
      </w:pPr>
    </w:p>
    <w:bookmarkStart w:id="3" w:name="page4"/>
    <w:bookmarkEnd w:id="3"/>
    <w:p>
      <w:pPr>
        <w:spacing w:after="0"/>
        <w:tabs>
          <w:tab w:leader="none" w:pos="542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amends and supplements the Schedule 13D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April 12, 2011, as amended by Amendment No. 1 thereto field on April 22, 2011 (as so amended, “</w:t>
      </w:r>
      <w:r>
        <w:rPr>
          <w:rFonts w:ascii="Arial" w:cs="Arial" w:eastAsia="Arial" w:hAnsi="Arial"/>
          <w:sz w:val="18"/>
          <w:szCs w:val="18"/>
          <w:u w:val="single" w:color="auto"/>
          <w:color w:val="auto"/>
        </w:rPr>
        <w:t>Schedule 13D</w:t>
      </w:r>
      <w:r>
        <w:rPr>
          <w:rFonts w:ascii="Arial" w:cs="Arial" w:eastAsia="Arial" w:hAnsi="Arial"/>
          <w:sz w:val="18"/>
          <w:szCs w:val="18"/>
          <w:color w:val="auto"/>
        </w:rPr>
        <w:t>”). Except as set forth in this Amendment, the Schedule 13D remains unchanged. Capitalized terms used herein which are not defined herein have the meanings given to them in the Schedule 13D.</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and supplemented by adding the following after the last paragraph thereof:</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2, 2013, pursuant to the Plan and the GUC Trust Agreement, the Trust completed a series of distributions to holders of Allowed General Unsecured Claims, and to holders of contingent residual beneficial interests in the Trust, comprised of shares of Common Stock, Warrants to purchase shares of Common Stock at an exercise price of $10.00 per share (“</w:t>
      </w:r>
      <w:r>
        <w:rPr>
          <w:rFonts w:ascii="Arial" w:cs="Arial" w:eastAsia="Arial" w:hAnsi="Arial"/>
          <w:sz w:val="18"/>
          <w:szCs w:val="18"/>
          <w:u w:val="single" w:color="auto"/>
          <w:color w:val="auto"/>
        </w:rPr>
        <w:t>$10 Warrants</w:t>
      </w:r>
      <w:r>
        <w:rPr>
          <w:rFonts w:ascii="Arial" w:cs="Arial" w:eastAsia="Arial" w:hAnsi="Arial"/>
          <w:sz w:val="18"/>
          <w:szCs w:val="18"/>
          <w:color w:val="auto"/>
        </w:rPr>
        <w:t>”) and Warrants to purchase shares of Common Stock at an exercise price of $18.33 per share (“</w:t>
      </w:r>
      <w:r>
        <w:rPr>
          <w:rFonts w:ascii="Arial" w:cs="Arial" w:eastAsia="Arial" w:hAnsi="Arial"/>
          <w:sz w:val="18"/>
          <w:szCs w:val="18"/>
          <w:u w:val="single" w:color="auto"/>
          <w:color w:val="auto"/>
        </w:rPr>
        <w:t>18.33 Warrants</w:t>
      </w:r>
      <w:r>
        <w:rPr>
          <w:rFonts w:ascii="Arial" w:cs="Arial" w:eastAsia="Arial" w:hAnsi="Arial"/>
          <w:sz w:val="18"/>
          <w:szCs w:val="18"/>
          <w:color w:val="auto"/>
        </w:rPr>
        <w:t>”). In addition, in the respective quarters ended March 31, 2012 and March 31, 2013, pursuant to orders of the Bankruptcy Court, the Trust completed sales of New GM Securities to fund certain costs of the Trust and certain related matters. Such distributions (and, where indicated, sales) are summarized in the table below:</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20" w:type="dxa"/>
            <w:vAlign w:val="bottom"/>
            <w:vMerge w:val="restart"/>
          </w:tcPr>
          <w:p>
            <w:pPr>
              <w:spacing w:after="0"/>
              <w:rPr>
                <w:sz w:val="20"/>
                <w:szCs w:val="20"/>
                <w:color w:val="auto"/>
              </w:rPr>
            </w:pPr>
            <w:r>
              <w:rPr>
                <w:rFonts w:ascii="Arial" w:cs="Arial" w:eastAsia="Arial" w:hAnsi="Arial"/>
                <w:sz w:val="14"/>
                <w:szCs w:val="14"/>
                <w:color w:val="auto"/>
                <w:w w:val="89"/>
              </w:rPr>
              <w:t>Date:</w:t>
            </w:r>
          </w:p>
        </w:tc>
        <w:tc>
          <w:tcPr>
            <w:tcW w:w="546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5"/>
          </w:tcPr>
          <w:p>
            <w:pPr>
              <w:jc w:val="right"/>
              <w:ind w:right="1020"/>
              <w:spacing w:after="0"/>
              <w:rPr>
                <w:sz w:val="20"/>
                <w:szCs w:val="20"/>
                <w:color w:val="auto"/>
              </w:rPr>
            </w:pPr>
            <w:r>
              <w:rPr>
                <w:rFonts w:ascii="Arial" w:cs="Arial" w:eastAsia="Arial" w:hAnsi="Arial"/>
                <w:sz w:val="14"/>
                <w:szCs w:val="14"/>
                <w:color w:val="auto"/>
                <w:w w:val="94"/>
              </w:rPr>
              <w:t>Amount of Securities Disposed:</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5460" w:type="dxa"/>
            <w:vAlign w:val="bottom"/>
            <w:vMerge w:val="continue"/>
          </w:tcPr>
          <w:p>
            <w:pPr>
              <w:spacing w:after="0"/>
              <w:rPr>
                <w:sz w:val="15"/>
                <w:szCs w:val="15"/>
                <w:color w:val="auto"/>
              </w:rPr>
            </w:pPr>
          </w:p>
        </w:tc>
        <w:tc>
          <w:tcPr>
            <w:tcW w:w="920" w:type="dxa"/>
            <w:vAlign w:val="bottom"/>
            <w:gridSpan w:val="2"/>
          </w:tcPr>
          <w:p>
            <w:pPr>
              <w:spacing w:after="0" w:line="154" w:lineRule="exact"/>
              <w:rPr>
                <w:sz w:val="20"/>
                <w:szCs w:val="20"/>
                <w:color w:val="auto"/>
              </w:rPr>
            </w:pPr>
            <w:r>
              <w:rPr>
                <w:rFonts w:ascii="Arial" w:cs="Arial" w:eastAsia="Arial" w:hAnsi="Arial"/>
                <w:sz w:val="14"/>
                <w:szCs w:val="14"/>
                <w:color w:val="auto"/>
                <w:w w:val="94"/>
              </w:rPr>
              <w:t>Common Stock</w:t>
            </w:r>
          </w:p>
        </w:tc>
        <w:tc>
          <w:tcPr>
            <w:tcW w:w="520" w:type="dxa"/>
            <w:vAlign w:val="bottom"/>
          </w:tcPr>
          <w:p>
            <w:pPr>
              <w:spacing w:after="0"/>
              <w:rPr>
                <w:sz w:val="15"/>
                <w:szCs w:val="15"/>
                <w:color w:val="auto"/>
              </w:rPr>
            </w:pPr>
          </w:p>
        </w:tc>
        <w:tc>
          <w:tcPr>
            <w:tcW w:w="1320" w:type="dxa"/>
            <w:vAlign w:val="bottom"/>
            <w:gridSpan w:val="2"/>
          </w:tcPr>
          <w:p>
            <w:pPr>
              <w:jc w:val="right"/>
              <w:ind w:right="540"/>
              <w:spacing w:after="0" w:line="154"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10 Warrants</w:t>
            </w:r>
          </w:p>
        </w:tc>
        <w:tc>
          <w:tcPr>
            <w:tcW w:w="1040" w:type="dxa"/>
            <w:vAlign w:val="bottom"/>
            <w:gridSpan w:val="2"/>
          </w:tcPr>
          <w:p>
            <w:pPr>
              <w:jc w:val="right"/>
              <w:ind w:right="100"/>
              <w:spacing w:after="0" w:line="154"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18.33 Warrants</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28, 2011</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3,342,831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3,038,936</w:t>
            </w: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3,038,936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October 28, 2011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2,468,218</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2,243,834</w:t>
            </w:r>
          </w:p>
        </w:tc>
        <w:tc>
          <w:tcPr>
            <w:tcW w:w="940" w:type="dxa"/>
            <w:vAlign w:val="bottom"/>
          </w:tcPr>
          <w:p>
            <w:pPr>
              <w:jc w:val="right"/>
              <w:spacing w:after="0"/>
              <w:rPr>
                <w:sz w:val="20"/>
                <w:szCs w:val="20"/>
                <w:color w:val="auto"/>
              </w:rPr>
            </w:pPr>
            <w:r>
              <w:rPr>
                <w:rFonts w:ascii="Arial" w:cs="Arial" w:eastAsia="Arial" w:hAnsi="Arial"/>
                <w:sz w:val="18"/>
                <w:szCs w:val="18"/>
                <w:color w:val="auto"/>
              </w:rPr>
              <w:t>2,243,834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 2012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188,180</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171,074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171,074</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March 31, 2012 </w:t>
            </w:r>
            <w:r>
              <w:rPr>
                <w:rFonts w:ascii="Arial" w:cs="Arial" w:eastAsia="Arial" w:hAnsi="Arial"/>
                <w:sz w:val="15"/>
                <w:szCs w:val="15"/>
                <w:color w:val="auto"/>
              </w:rPr>
              <w:t>(s)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520,913</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473,548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473,548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 2012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450,455</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409,612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409,612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August 3, 2012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484,553</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440,510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440,510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2012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116,508</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105,910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105,910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February 8, 2013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42,151</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38,325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38,325</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March 31, 2013 </w:t>
            </w:r>
            <w:r>
              <w:rPr>
                <w:rFonts w:ascii="Arial" w:cs="Arial" w:eastAsia="Arial" w:hAnsi="Arial"/>
                <w:sz w:val="15"/>
                <w:szCs w:val="15"/>
                <w:color w:val="auto"/>
              </w:rPr>
              <w: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294,133</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267,392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267,392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May 10, 2013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115,029</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104,570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104,570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9, 2013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221,014</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200,924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200,924</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October 31, 2013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42,122</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38,293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6,174,015</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5,612,741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Sales of New GM securities to fund costs during the quarter then ended.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Following the December 2, 2013 distribution, based on a total of 1,431,213,218 shares of Common Stock (which is the sum of the 1,388,973,710 shares of Common Stock outstanding as of October 25, 2013, as reported in General Motors Company’s Quarterly Report for the period ended September 30, 2013, on Form 10-Q filed with the SEC on October 30, 2013 and the 42,239,508 shares of Common Stock that would be required to be issued pursuant to the exercise of the Warrants then still beneficially owned by the Trust and the Trust Administrator), the Trust and the Trust Administrator could then be deemed the beneficial owners of less than 5% of the outstanding shares of Common Stock.</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is hereby amended and restated in its entirety as follows:</w:t>
      </w:r>
    </w:p>
    <w:p>
      <w:pPr>
        <w:spacing w:after="0" w:line="135" w:lineRule="exact"/>
        <w:rPr>
          <w:sz w:val="20"/>
          <w:szCs w:val="20"/>
          <w:color w:val="auto"/>
        </w:rPr>
      </w:pPr>
    </w:p>
    <w:p>
      <w:pPr>
        <w:ind w:left="460" w:right="4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date hereof, the Trust and the Trust Administrator may be deemed the beneficial owners of no (zero) shares of Common Stock within the meaning of Section 13(d) of the Securities Exchange Act of 1934.</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542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December 2, 2013.</w:t>
      </w:r>
    </w:p>
    <w:p>
      <w:pPr>
        <w:sectPr>
          <w:pgSz w:w="11900" w:h="16838" w:orient="portrait"/>
          <w:cols w:equalWidth="0" w:num="1">
            <w:col w:w="11420"/>
          </w:cols>
          <w:pgMar w:left="240" w:top="270" w:right="239" w:bottom="1440" w:gutter="0" w:footer="0" w:header="0"/>
        </w:sectPr>
      </w:pPr>
    </w:p>
    <w:bookmarkStart w:id="5" w:name="page6"/>
    <w:bookmarkEnd w:id="5"/>
    <w:p>
      <w:pPr>
        <w:spacing w:after="0"/>
        <w:tabs>
          <w:tab w:leader="none" w:pos="542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Amendment No. 2 to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12,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MOTORS LIQUIDATION COMPANY GUC TRUST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Wilmington Trust Company, not in its individual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capacity, but solely as trust administrator and trustee</w:t>
      </w:r>
    </w:p>
    <w:p>
      <w:pPr>
        <w:spacing w:after="0" w:line="236"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Vanaskey,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WILMINGTON TRUST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not in its individual capacity, but solely as trust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administrator and trustee</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Vanaskey,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2"/>
    </w:lvl>
  </w:abstractNum>
  <w:abstractNum w:abstractNumId="8">
    <w:nsid w:val="1F16E9E8"/>
    <w:multiLevelType w:val="hybridMultilevel"/>
    <w:lvl w:ilvl="0">
      <w:lvlJc w:val="left"/>
      <w:lvlText w:val="(%1)"/>
      <w:numFmt w:val="decimal"/>
      <w:start w:val="1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9"/>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2019-12-08T19:05:36Z</dcterms:created>
  <dcterms:modified xsi:type="dcterms:W3CDTF">2019-12-08T19:05:36Z</dcterms:modified>
</cp:coreProperties>
</file>