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2025</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October 21, 2025, General Motors Company (GM) issued a news release and supplemental materials on the subject of its 2025 third quarter consolidated earnings. The news release and supplemental materials are attached as Exhibit 99.1.</w:t>
      </w:r>
    </w:p>
    <w:p>
      <w:pPr>
        <w:spacing w:after="0" w:line="189"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2025 third quarter consolidated earnings release are available on GM's website at www.gm.com/investors/earnings-releases.html.</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October 21, 2025</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October 21, 2025</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October 21, 2025, at 6:30 a.m. ET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GM releases 2025 third-quarter results</w:t>
      </w:r>
    </w:p>
    <w:p>
      <w:pPr>
        <w:spacing w:after="0" w:line="24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third-quarter 2025 revenue of $48.6 billion, net income attributable to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$1.3 billion, and EBIT-adjusted of $3.4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GM is also updating its 2025 full-year earnings guidance:</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Updated 2025 guidance</w:t>
            </w:r>
          </w:p>
        </w:tc>
        <w:tc>
          <w:tcPr>
            <w:tcW w:w="372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Previous 2025 guidance</w:t>
            </w:r>
          </w:p>
        </w:tc>
      </w:t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$7.7 billion - $8.3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$7.7 billion - $9.5 billion</w:t>
            </w:r>
          </w:p>
        </w:tc>
      </w:tr>
      <w:tr>
        <w:trPr>
          <w:trHeight w:val="229"/>
        </w:trPr>
        <w:tc>
          <w:tcPr>
            <w:tcW w:w="4960" w:type="dxa"/>
            <w:vAlign w:val="bottom"/>
          </w:tcPr>
          <w:p>
            <w:pPr>
              <w:spacing w:after="0"/>
              <w:rPr>
                <w:sz w:val="20"/>
                <w:szCs w:val="20"/>
                <w:color w:val="auto"/>
              </w:rPr>
            </w:pPr>
            <w:r>
              <w:rPr>
                <w:rFonts w:ascii="Arial" w:cs="Arial" w:eastAsia="Arial" w:hAnsi="Arial"/>
                <w:sz w:val="16"/>
                <w:szCs w:val="16"/>
                <w:color w:val="auto"/>
              </w:rPr>
              <w:t>EBIT-adjusted</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$12.0 billion - $13.0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$10.0 billion - $12.5 billion</w:t>
            </w:r>
          </w:p>
        </w:tc>
      </w:tr>
      <w:tr>
        <w:trPr>
          <w:trHeight w:val="229"/>
        </w:trPr>
        <w:tc>
          <w:tcPr>
            <w:tcW w:w="49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$19.2 billion - $21.2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$17.0 billion - $20.5 billion</w:t>
            </w:r>
          </w:p>
        </w:tc>
      </w:tr>
      <w:tr>
        <w:trPr>
          <w:trHeight w:val="230"/>
        </w:trPr>
        <w:tc>
          <w:tcPr>
            <w:tcW w:w="49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$10.0 billion - $11.0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$7.5 billion - $10.0 billion</w:t>
            </w:r>
          </w:p>
        </w:tc>
      </w:tr>
      <w:tr>
        <w:trPr>
          <w:trHeight w:val="229"/>
        </w:trPr>
        <w:tc>
          <w:tcPr>
            <w:tcW w:w="4960" w:type="dxa"/>
            <w:vAlign w:val="bottom"/>
          </w:tcPr>
          <w:p>
            <w:pPr>
              <w:spacing w:after="0"/>
              <w:rPr>
                <w:sz w:val="20"/>
                <w:szCs w:val="20"/>
                <w:color w:val="auto"/>
              </w:rPr>
            </w:pPr>
            <w:r>
              <w:rPr>
                <w:rFonts w:ascii="Arial" w:cs="Arial" w:eastAsia="Arial" w:hAnsi="Arial"/>
                <w:sz w:val="16"/>
                <w:szCs w:val="16"/>
                <w:color w:val="auto"/>
              </w:rPr>
              <w:t>EPS-diluted</w:t>
            </w:r>
          </w:p>
        </w:tc>
        <w:tc>
          <w:tcPr>
            <w:tcW w:w="460" w:type="dxa"/>
            <w:vAlign w:val="bottom"/>
          </w:tcPr>
          <w:p>
            <w:pPr>
              <w:ind w:left="20"/>
              <w:spacing w:after="0"/>
              <w:rPr>
                <w:sz w:val="20"/>
                <w:szCs w:val="20"/>
                <w:color w:val="auto"/>
              </w:rPr>
            </w:pPr>
            <w:r>
              <w:rPr>
                <w:rFonts w:ascii="Arial" w:cs="Arial" w:eastAsia="Arial" w:hAnsi="Arial"/>
                <w:sz w:val="16"/>
                <w:szCs w:val="16"/>
                <w:color w:val="auto"/>
              </w:rPr>
              <w:t>$8.30</w:t>
            </w:r>
          </w:p>
        </w:tc>
        <w:tc>
          <w:tcPr>
            <w:tcW w:w="2060" w:type="dxa"/>
            <w:vAlign w:val="bottom"/>
          </w:tcPr>
          <w:p>
            <w:pPr>
              <w:ind w:left="20"/>
              <w:spacing w:after="0"/>
              <w:rPr>
                <w:sz w:val="20"/>
                <w:szCs w:val="20"/>
                <w:color w:val="auto"/>
              </w:rPr>
            </w:pPr>
            <w:r>
              <w:rPr>
                <w:rFonts w:ascii="Arial" w:cs="Arial" w:eastAsia="Arial" w:hAnsi="Arial"/>
                <w:sz w:val="16"/>
                <w:szCs w:val="16"/>
                <w:color w:val="auto"/>
              </w:rPr>
              <w:t>- $9.05</w:t>
            </w:r>
          </w:p>
        </w:tc>
        <w:tc>
          <w:tcPr>
            <w:tcW w:w="1060" w:type="dxa"/>
            <w:vAlign w:val="bottom"/>
          </w:tcPr>
          <w:p>
            <w:pPr>
              <w:ind w:left="620"/>
              <w:spacing w:after="0"/>
              <w:rPr>
                <w:sz w:val="20"/>
                <w:szCs w:val="20"/>
                <w:color w:val="auto"/>
              </w:rPr>
            </w:pPr>
            <w:r>
              <w:rPr>
                <w:rFonts w:ascii="Arial" w:cs="Arial" w:eastAsia="Arial" w:hAnsi="Arial"/>
                <w:sz w:val="16"/>
                <w:szCs w:val="16"/>
                <w:color w:val="auto"/>
              </w:rPr>
              <w:t>$8.22</w:t>
            </w:r>
          </w:p>
        </w:tc>
        <w:tc>
          <w:tcPr>
            <w:tcW w:w="2660" w:type="dxa"/>
            <w:vAlign w:val="bottom"/>
          </w:tcPr>
          <w:p>
            <w:pPr>
              <w:ind w:left="20"/>
              <w:spacing w:after="0"/>
              <w:rPr>
                <w:sz w:val="20"/>
                <w:szCs w:val="20"/>
                <w:color w:val="auto"/>
              </w:rPr>
            </w:pPr>
            <w:r>
              <w:rPr>
                <w:rFonts w:ascii="Arial" w:cs="Arial" w:eastAsia="Arial" w:hAnsi="Arial"/>
                <w:sz w:val="16"/>
                <w:szCs w:val="16"/>
                <w:color w:val="auto"/>
              </w:rPr>
              <w:t>- $9.97</w:t>
            </w:r>
          </w:p>
        </w:tc>
      </w:tr>
      <w:tr>
        <w:trPr>
          <w:trHeight w:val="230"/>
        </w:trPr>
        <w:tc>
          <w:tcPr>
            <w:tcW w:w="4960" w:type="dxa"/>
            <w:vAlign w:val="bottom"/>
          </w:tcPr>
          <w:p>
            <w:pPr>
              <w:spacing w:after="0"/>
              <w:rPr>
                <w:sz w:val="20"/>
                <w:szCs w:val="20"/>
                <w:color w:val="auto"/>
              </w:rPr>
            </w:pPr>
            <w:r>
              <w:rPr>
                <w:rFonts w:ascii="Arial" w:cs="Arial" w:eastAsia="Arial" w:hAnsi="Arial"/>
                <w:sz w:val="16"/>
                <w:szCs w:val="16"/>
                <w:color w:val="auto"/>
              </w:rPr>
              <w:t>EPS-diluted-adjusted</w:t>
            </w:r>
          </w:p>
        </w:tc>
        <w:tc>
          <w:tcPr>
            <w:tcW w:w="460" w:type="dxa"/>
            <w:vAlign w:val="bottom"/>
          </w:tcPr>
          <w:p>
            <w:pPr>
              <w:ind w:left="20"/>
              <w:spacing w:after="0"/>
              <w:rPr>
                <w:sz w:val="20"/>
                <w:szCs w:val="20"/>
                <w:color w:val="auto"/>
              </w:rPr>
            </w:pPr>
            <w:r>
              <w:rPr>
                <w:rFonts w:ascii="Arial" w:cs="Arial" w:eastAsia="Arial" w:hAnsi="Arial"/>
                <w:sz w:val="16"/>
                <w:szCs w:val="16"/>
                <w:color w:val="auto"/>
              </w:rPr>
              <w:t>$9.75</w:t>
            </w:r>
          </w:p>
        </w:tc>
        <w:tc>
          <w:tcPr>
            <w:tcW w:w="2060" w:type="dxa"/>
            <w:vAlign w:val="bottom"/>
          </w:tcPr>
          <w:p>
            <w:pPr>
              <w:ind w:left="20"/>
              <w:spacing w:after="0"/>
              <w:rPr>
                <w:sz w:val="20"/>
                <w:szCs w:val="20"/>
                <w:color w:val="auto"/>
              </w:rPr>
            </w:pPr>
            <w:r>
              <w:rPr>
                <w:rFonts w:ascii="Arial" w:cs="Arial" w:eastAsia="Arial" w:hAnsi="Arial"/>
                <w:sz w:val="16"/>
                <w:szCs w:val="16"/>
                <w:color w:val="auto"/>
              </w:rPr>
              <w:t>- $10.50</w:t>
            </w:r>
          </w:p>
        </w:tc>
        <w:tc>
          <w:tcPr>
            <w:tcW w:w="1060" w:type="dxa"/>
            <w:vAlign w:val="bottom"/>
          </w:tcPr>
          <w:p>
            <w:pPr>
              <w:ind w:left="620"/>
              <w:spacing w:after="0"/>
              <w:rPr>
                <w:sz w:val="20"/>
                <w:szCs w:val="20"/>
                <w:color w:val="auto"/>
              </w:rPr>
            </w:pPr>
            <w:r>
              <w:rPr>
                <w:rFonts w:ascii="Arial" w:cs="Arial" w:eastAsia="Arial" w:hAnsi="Arial"/>
                <w:sz w:val="16"/>
                <w:szCs w:val="16"/>
                <w:color w:val="auto"/>
              </w:rPr>
              <w:t>$8.25</w:t>
            </w:r>
          </w:p>
        </w:tc>
        <w:tc>
          <w:tcPr>
            <w:tcW w:w="2660" w:type="dxa"/>
            <w:vAlign w:val="bottom"/>
          </w:tcPr>
          <w:p>
            <w:pPr>
              <w:ind w:left="20"/>
              <w:spacing w:after="0"/>
              <w:rPr>
                <w:sz w:val="20"/>
                <w:szCs w:val="20"/>
                <w:color w:val="auto"/>
              </w:rPr>
            </w:pPr>
            <w:r>
              <w:rPr>
                <w:rFonts w:ascii="Arial" w:cs="Arial" w:eastAsia="Arial" w:hAnsi="Arial"/>
                <w:sz w:val="16"/>
                <w:szCs w:val="16"/>
                <w:color w:val="auto"/>
              </w:rPr>
              <w:t>- $10.00</w:t>
            </w:r>
          </w:p>
        </w:tc>
      </w:tr>
    </w:tbl>
    <w:p>
      <w:pPr>
        <w:spacing w:after="0" w:line="3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An overview of quarterly results and financial highlights appears below. Visit the GM Investor Relations website to download the company's earnings deck and GM Chair and CEO Mary Barra's Letter to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3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Mary Barra and GM Chief Financial Officer Paul Jacobson will host a conference call for the</w:t>
      </w:r>
      <w:r>
        <w:rPr>
          <w:rFonts w:ascii="Times New Roman" w:cs="Times New Roman" w:eastAsia="Times New Roman" w:hAnsi="Times New Roman"/>
          <w:sz w:val="18"/>
          <w:szCs w:val="18"/>
          <w:color w:val="auto"/>
        </w:rPr>
        <w:t> </w:t>
      </w:r>
      <w:r>
        <w:rPr>
          <w:rFonts w:ascii="Arial" w:cs="Arial" w:eastAsia="Arial" w:hAnsi="Arial"/>
          <w:sz w:val="18"/>
          <w:szCs w:val="18"/>
          <w:color w:val="auto"/>
        </w:rPr>
        <w:t>investment community at 8:30 a.m. ET today to discuss these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6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2024</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6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48,591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48,757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(166)</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1,327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3,056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(1,729)</w:t>
            </w:r>
          </w:p>
        </w:tc>
        <w:tc>
          <w:tcPr>
            <w:tcW w:w="15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3,376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4,115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(739)</w:t>
            </w:r>
          </w:p>
        </w:tc>
        <w:tc>
          <w:tcPr>
            <w:tcW w:w="15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6.3 %</w:t>
            </w:r>
          </w:p>
        </w:tc>
        <w:tc>
          <w:tcPr>
            <w:tcW w:w="320" w:type="dxa"/>
            <w:vAlign w:val="bottom"/>
          </w:tcPr>
          <w:p>
            <w:pPr>
              <w:spacing w:after="0"/>
              <w:rPr>
                <w:sz w:val="18"/>
                <w:szCs w:val="18"/>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(3.6) ppts</w:t>
            </w:r>
          </w:p>
        </w:tc>
        <w:tc>
          <w:tcPr>
            <w:tcW w:w="15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8.4 %</w:t>
            </w:r>
          </w:p>
        </w:tc>
        <w:tc>
          <w:tcPr>
            <w:tcW w:w="320" w:type="dxa"/>
            <w:vAlign w:val="bottom"/>
          </w:tcPr>
          <w:p>
            <w:pPr>
              <w:spacing w:after="0"/>
              <w:rPr>
                <w:sz w:val="18"/>
                <w:szCs w:val="18"/>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(1.5)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6,070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7,863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(1,793)</w:t>
            </w:r>
          </w:p>
        </w:tc>
        <w:tc>
          <w:tcPr>
            <w:tcW w:w="150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4,201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5,834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(1,633)</w:t>
            </w:r>
          </w:p>
        </w:tc>
        <w:tc>
          <w:tcPr>
            <w:tcW w:w="15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EPS-diluted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1.35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2.68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(1.33)</w:t>
            </w:r>
          </w:p>
        </w:tc>
        <w:tc>
          <w:tcPr>
            <w:tcW w:w="150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EPS-diluted-adjusted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2.80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2.96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(0.16)</w:t>
            </w:r>
          </w:p>
        </w:tc>
        <w:tc>
          <w:tcPr>
            <w:tcW w:w="15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2,506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3,982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(1,476)</w:t>
            </w:r>
          </w:p>
        </w:tc>
        <w:tc>
          <w:tcPr>
            <w:tcW w:w="150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9.7 %</w:t>
            </w:r>
          </w:p>
        </w:tc>
        <w:tc>
          <w:tcPr>
            <w:tcW w:w="320" w:type="dxa"/>
            <w:vAlign w:val="bottom"/>
          </w:tcPr>
          <w:p>
            <w:pPr>
              <w:spacing w:after="0"/>
              <w:rPr>
                <w:sz w:val="18"/>
                <w:szCs w:val="18"/>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(3.5) ppts</w:t>
            </w:r>
          </w:p>
        </w:tc>
        <w:tc>
          <w:tcPr>
            <w:tcW w:w="15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GMI EBIT-adjusted(a)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226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184</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China equity income (loss)(a)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80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217</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804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687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117</w:t>
            </w:r>
          </w:p>
        </w:tc>
        <w:tc>
          <w:tcPr>
            <w:tcW w:w="1500" w:type="dxa"/>
            <w:vAlign w:val="bottom"/>
          </w:tcPr>
          <w:p>
            <w:pPr>
              <w:jc w:val="right"/>
              <w:spacing w:after="0"/>
              <w:rPr>
                <w:sz w:val="20"/>
                <w:szCs w:val="20"/>
                <w:color w:val="auto"/>
              </w:rPr>
            </w:pPr>
            <w:r>
              <w:rPr>
                <w:rFonts w:ascii="Arial" w:cs="Arial" w:eastAsia="Arial" w:hAnsi="Arial"/>
                <w:sz w:val="16"/>
                <w:szCs w:val="16"/>
                <w:color w:val="auto"/>
              </w:rPr>
              <w:t>17.0 %</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00"/>
          </w:cols>
          <w:pgMar w:left="320" w:top="1440" w:right="1079" w:bottom="1440" w:gutter="0" w:footer="0" w:header="0"/>
        </w:sectPr>
      </w:pPr>
    </w:p>
    <w:bookmarkStart w:id="5" w:name="page6"/>
    <w:bookmarkEnd w:id="5"/>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Guidance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to expected EBIT-adjusted (dollars in billions):</w:t>
      </w:r>
    </w:p>
    <w:p>
      <w:pPr>
        <w:spacing w:after="0" w:line="307"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2025</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$ 7.7-8.3</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$ 7.7-9.5</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Automotive interest income, net</w:t>
            </w: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0.7</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EBIT-adjusted</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$ 12.0-13.0</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$ 10.0-12.5</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84"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to expected EPS-diluted-adjusted:</w:t>
      </w: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2025</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7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10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$ 8.30-9.05</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$ 8.22-9.97</w:t>
            </w: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0.03</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EPS-diluted-adjusted</w:t>
            </w:r>
          </w:p>
        </w:tc>
        <w:tc>
          <w:tcPr>
            <w:tcW w:w="1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$ 9.75-10.50</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$ 8.25-10.00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84"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to EPS-diluted-adjusted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to expected adjusted automotive free cash flow (dollars in billions):</w:t>
      </w:r>
    </w:p>
    <w:p>
      <w:pPr>
        <w:spacing w:after="0" w:line="214"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2025</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$ 19.2-21.2</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$ 17.0-20.5</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980" w:type="dxa"/>
            <w:vAlign w:val="bottom"/>
          </w:tcPr>
          <w:p>
            <w:pPr>
              <w:jc w:val="right"/>
              <w:spacing w:after="0"/>
              <w:rPr>
                <w:sz w:val="20"/>
                <w:szCs w:val="20"/>
                <w:color w:val="auto"/>
              </w:rPr>
            </w:pPr>
            <w:r>
              <w:rPr>
                <w:rFonts w:ascii="Arial" w:cs="Arial" w:eastAsia="Arial" w:hAnsi="Arial"/>
                <w:sz w:val="16"/>
                <w:szCs w:val="16"/>
                <w:color w:val="auto"/>
              </w:rPr>
              <w:t>10.0-11.0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0.5</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$ 10.0-11.0</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$ 7.5-10.0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expected financial results do not include the potential impact of future adjustments related to special items.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8"/>
          </w:tcPr>
          <w:p>
            <w:pPr>
              <w:ind w:left="320"/>
              <w:spacing w:after="0"/>
              <w:rPr>
                <w:sz w:val="20"/>
                <w:szCs w:val="20"/>
                <w:color w:val="auto"/>
              </w:rPr>
            </w:pPr>
            <w:r>
              <w:rPr>
                <w:rFonts w:ascii="Arial" w:cs="Arial" w:eastAsia="Arial" w:hAnsi="Arial"/>
                <w:sz w:val="11"/>
                <w:szCs w:val="11"/>
                <w:b w:val="1"/>
                <w:bCs w:val="1"/>
                <w:color w:val="auto"/>
                <w:w w:val="98"/>
              </w:rPr>
              <w:t>Three Months Ended September 30, 2025</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10"/>
          </w:tcPr>
          <w:p>
            <w:pPr>
              <w:ind w:left="340"/>
              <w:spacing w:after="0"/>
              <w:rPr>
                <w:sz w:val="20"/>
                <w:szCs w:val="20"/>
                <w:color w:val="auto"/>
              </w:rPr>
            </w:pPr>
            <w:r>
              <w:rPr>
                <w:rFonts w:ascii="Arial" w:cs="Arial" w:eastAsia="Arial" w:hAnsi="Arial"/>
                <w:sz w:val="11"/>
                <w:szCs w:val="11"/>
                <w:b w:val="1"/>
                <w:bCs w:val="1"/>
                <w:color w:val="auto"/>
                <w:w w:val="98"/>
              </w:rPr>
              <w:t>Three Months Ended September 30, 2024</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1"/>
                <w:szCs w:val="11"/>
                <w:b w:val="1"/>
                <w:bCs w:val="1"/>
                <w:color w:val="auto"/>
              </w:rPr>
              <w:t>Automotive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9" w:lineRule="exact"/>
              <w:rPr>
                <w:sz w:val="20"/>
                <w:szCs w:val="20"/>
                <w:color w:val="auto"/>
              </w:rPr>
            </w:pPr>
            <w:r>
              <w:rPr>
                <w:rFonts w:ascii="Arial" w:cs="Arial" w:eastAsia="Arial" w:hAnsi="Arial"/>
                <w:sz w:val="11"/>
                <w:szCs w:val="11"/>
                <w:b w:val="1"/>
                <w:bCs w:val="1"/>
                <w:color w:val="auto"/>
              </w:rPr>
              <w:t>GM</w:t>
            </w:r>
          </w:p>
        </w:tc>
        <w:tc>
          <w:tcPr>
            <w:tcW w:w="100" w:type="dxa"/>
            <w:vAlign w:val="bottom"/>
          </w:tcPr>
          <w:p>
            <w:pPr>
              <w:spacing w:after="0"/>
              <w:rPr>
                <w:sz w:val="9"/>
                <w:szCs w:val="9"/>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Reclassifications/Eliminations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92"/>
              </w:rPr>
              <w:t>Combined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1"/>
                <w:szCs w:val="11"/>
                <w:b w:val="1"/>
                <w:bCs w:val="1"/>
                <w:color w:val="auto"/>
              </w:rPr>
              <w:t>Automotive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rPr>
              <w:t>GM</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7"/>
              </w:rPr>
              <w:t>Reclassifications/Eliminations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3"/>
                <w:szCs w:val="13"/>
                <w:color w:val="auto"/>
              </w:rPr>
            </w:pPr>
          </w:p>
        </w:tc>
        <w:tc>
          <w:tcPr>
            <w:tcW w:w="1600" w:type="dxa"/>
            <w:vAlign w:val="bottom"/>
            <w:tcBorders>
              <w:bottom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6"/>
              </w:rPr>
              <w:t>Financial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6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44,256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44,256</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44,735</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GM Financial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4,337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4,335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Total net sales and revenue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44,256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4,337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48,591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44,735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48,757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Costs and expenses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6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3"/>
                <w:szCs w:val="13"/>
                <w:color w:val="auto"/>
                <w:w w:val="99"/>
              </w:rPr>
              <w:t>Automotive and other cost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41,937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41,936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38,768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60" w:type="dxa"/>
            <w:vAlign w:val="bottom"/>
            <w:gridSpan w:val="2"/>
          </w:tcPr>
          <w:p>
            <w:pPr>
              <w:ind w:left="140"/>
              <w:spacing w:after="0" w:line="122" w:lineRule="exact"/>
              <w:rPr>
                <w:sz w:val="20"/>
                <w:szCs w:val="20"/>
                <w:color w:val="auto"/>
              </w:rPr>
            </w:pPr>
            <w:r>
              <w:rPr>
                <w:rFonts w:ascii="Arial" w:cs="Arial" w:eastAsia="Arial" w:hAnsi="Arial"/>
                <w:sz w:val="13"/>
                <w:szCs w:val="13"/>
                <w:color w:val="auto"/>
              </w:rPr>
              <w:t>GM Financial interest,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gridSpan w:val="2"/>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3,542</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3,542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3,354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3,353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rPr>
              <w:t>Automotive and other</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2,038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2,037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2,544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Total costs and expenses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43,975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3,542</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47,515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41,312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6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3,424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3"/>
                <w:szCs w:val="13"/>
                <w:color w:val="auto"/>
                <w:w w:val="98"/>
              </w:rPr>
              <w:t>Automotive interest expense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3"/>
                <w:szCs w:val="13"/>
                <w:color w:val="auto"/>
              </w:rPr>
              <w:t>Interest income and other</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475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379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96"/>
              </w:rPr>
              <w:t>non-operating income, net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Equity income (loss)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(132)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color w:val="auto"/>
              </w:rPr>
              <w:t>Income (loss) before income</w:t>
            </w:r>
          </w:p>
        </w:tc>
        <w:tc>
          <w:tcPr>
            <w:tcW w:w="24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615</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804</w:t>
            </w:r>
          </w:p>
        </w:tc>
        <w:tc>
          <w:tcPr>
            <w:tcW w:w="12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1,419</w:t>
            </w:r>
          </w:p>
        </w:tc>
        <w:tc>
          <w:tcPr>
            <w:tcW w:w="2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3,465</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(435)</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40" w:type="dxa"/>
            <w:vAlign w:val="bottom"/>
            <w:shd w:val="clear" w:color="auto" w:fill="CCEEFF"/>
          </w:tcPr>
          <w:p>
            <w:pPr>
              <w:spacing w:after="0"/>
              <w:rPr>
                <w:sz w:val="9"/>
                <w:szCs w:val="9"/>
                <w:color w:val="auto"/>
              </w:rPr>
            </w:pPr>
          </w:p>
        </w:tc>
        <w:tc>
          <w:tcPr>
            <w:tcW w:w="126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2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w w:val="96"/>
              </w:rPr>
              <w:t>Income tax expense (benefit)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Net loss (income) attributable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w w:val="98"/>
              </w:rPr>
              <w:t>to noncontrolling interests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income (loss)</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1,327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 common</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1,297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ind w:left="260"/>
              <w:spacing w:after="0"/>
              <w:rPr>
                <w:sz w:val="20"/>
                <w:szCs w:val="20"/>
                <w:color w:val="auto"/>
              </w:rPr>
            </w:pPr>
            <w:r>
              <w:rPr>
                <w:rFonts w:ascii="Arial" w:cs="Arial" w:eastAsia="Arial" w:hAnsi="Arial"/>
                <w:sz w:val="11"/>
                <w:szCs w:val="11"/>
                <w:b w:val="1"/>
                <w:bCs w:val="1"/>
                <w:color w:val="auto"/>
              </w:rPr>
              <w:t>Nine Months Ended September 30, 2025</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0"/>
          </w:tcPr>
          <w:p>
            <w:pPr>
              <w:ind w:left="320"/>
              <w:spacing w:after="0"/>
              <w:rPr>
                <w:sz w:val="20"/>
                <w:szCs w:val="20"/>
                <w:color w:val="auto"/>
              </w:rPr>
            </w:pPr>
            <w:r>
              <w:rPr>
                <w:rFonts w:ascii="Arial" w:cs="Arial" w:eastAsia="Arial" w:hAnsi="Arial"/>
                <w:sz w:val="11"/>
                <w:szCs w:val="11"/>
                <w:b w:val="1"/>
                <w:bCs w:val="1"/>
                <w:color w:val="auto"/>
              </w:rPr>
              <w:t>Nine Months Ended September 30, 2024</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4"/>
            <w:vMerge w:val="restart"/>
          </w:tcPr>
          <w:p>
            <w:pPr>
              <w:jc w:val="right"/>
              <w:ind w:right="160"/>
              <w:spacing w:after="0"/>
              <w:rPr>
                <w:sz w:val="20"/>
                <w:szCs w:val="20"/>
                <w:color w:val="auto"/>
              </w:rPr>
            </w:pPr>
            <w:r>
              <w:rPr>
                <w:rFonts w:ascii="Arial" w:cs="Arial" w:eastAsia="Arial" w:hAnsi="Arial"/>
                <w:sz w:val="11"/>
                <w:szCs w:val="11"/>
                <w:b w:val="1"/>
                <w:bCs w:val="1"/>
                <w:color w:val="auto"/>
              </w:rPr>
              <w:t>Automotive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jc w:val="right"/>
              <w:ind w:right="300"/>
              <w:spacing w:after="0" w:line="109" w:lineRule="exact"/>
              <w:rPr>
                <w:sz w:val="20"/>
                <w:szCs w:val="20"/>
                <w:color w:val="auto"/>
              </w:rPr>
            </w:pPr>
            <w:r>
              <w:rPr>
                <w:rFonts w:ascii="Arial" w:cs="Arial" w:eastAsia="Arial" w:hAnsi="Arial"/>
                <w:sz w:val="11"/>
                <w:szCs w:val="11"/>
                <w:b w:val="1"/>
                <w:bCs w:val="1"/>
                <w:color w:val="auto"/>
                <w:w w:val="90"/>
              </w:rPr>
              <w:t>GM</w:t>
            </w:r>
          </w:p>
        </w:tc>
        <w:tc>
          <w:tcPr>
            <w:tcW w:w="17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Combined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Automotive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0"/>
              </w:rPr>
              <w:t>GM</w:t>
            </w:r>
          </w:p>
        </w:tc>
        <w:tc>
          <w:tcPr>
            <w:tcW w:w="60" w:type="dxa"/>
            <w:vAlign w:val="bottom"/>
          </w:tcPr>
          <w:p>
            <w:pPr>
              <w:spacing w:after="0"/>
              <w:rPr>
                <w:sz w:val="9"/>
                <w:szCs w:val="9"/>
                <w:color w:val="auto"/>
              </w:rPr>
            </w:pPr>
          </w:p>
        </w:tc>
        <w:tc>
          <w:tcPr>
            <w:tcW w:w="16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w w:val="99"/>
              </w:rPr>
              <w:t>Reclassifications/Eliminations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restart"/>
          </w:tcPr>
          <w:p>
            <w:pPr>
              <w:jc w:val="right"/>
              <w:ind w:right="49"/>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Financial</w:t>
            </w:r>
          </w:p>
        </w:tc>
        <w:tc>
          <w:tcPr>
            <w:tcW w:w="6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3"/>
                <w:szCs w:val="13"/>
                <w:b w:val="1"/>
                <w:bCs w:val="1"/>
                <w:color w:val="auto"/>
              </w:rPr>
              <w:t>Net sales and revenue</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Automotive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$ 126,985</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$ 126,986</w:t>
            </w: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$ 128,007</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9"/>
              <w:spacing w:after="0"/>
              <w:rPr>
                <w:sz w:val="20"/>
                <w:szCs w:val="20"/>
                <w:color w:val="auto"/>
              </w:rPr>
            </w:pPr>
            <w:r>
              <w:rPr>
                <w:rFonts w:ascii="Arial" w:cs="Arial" w:eastAsia="Arial" w:hAnsi="Arial"/>
                <w:sz w:val="14"/>
                <w:szCs w:val="14"/>
                <w:color w:val="auto"/>
              </w:rPr>
              <w:t>$ 128,008</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GM Financial</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12,756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12,747</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11,761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11,732</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640" w:type="dxa"/>
            <w:vAlign w:val="bottom"/>
            <w:shd w:val="clear" w:color="auto" w:fill="CCEEFF"/>
          </w:tcPr>
          <w:p>
            <w:pPr>
              <w:ind w:left="120"/>
              <w:spacing w:after="0" w:line="114" w:lineRule="exact"/>
              <w:rPr>
                <w:sz w:val="20"/>
                <w:szCs w:val="20"/>
                <w:color w:val="auto"/>
              </w:rPr>
            </w:pPr>
            <w:r>
              <w:rPr>
                <w:rFonts w:ascii="Arial" w:cs="Arial" w:eastAsia="Arial" w:hAnsi="Arial"/>
                <w:sz w:val="13"/>
                <w:szCs w:val="13"/>
                <w:color w:val="auto"/>
              </w:rPr>
              <w:t>Total net sales and</w:t>
            </w:r>
          </w:p>
        </w:tc>
        <w:tc>
          <w:tcPr>
            <w:tcW w:w="2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126,985</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12,756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139,732</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128,007</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9"/>
                <w:szCs w:val="9"/>
                <w:color w:val="auto"/>
              </w:rPr>
            </w:pPr>
          </w:p>
        </w:tc>
        <w:tc>
          <w:tcPr>
            <w:tcW w:w="6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11,761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139,740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revenue</w:t>
            </w:r>
          </w:p>
        </w:tc>
        <w:tc>
          <w:tcPr>
            <w:tcW w:w="7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Costs and expenses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3"/>
                <w:szCs w:val="13"/>
                <w:color w:val="auto"/>
              </w:rPr>
              <w:t>Automotive and other cost</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116,255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116,416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109,958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111,618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of sales</w:t>
            </w:r>
          </w:p>
        </w:tc>
        <w:tc>
          <w:tcPr>
            <w:tcW w:w="7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GM Financial interest,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gridSpan w:val="2"/>
          </w:tcPr>
          <w:p>
            <w:pPr>
              <w:ind w:left="280"/>
              <w:spacing w:after="0" w:line="126" w:lineRule="exact"/>
              <w:rPr>
                <w:sz w:val="20"/>
                <w:szCs w:val="20"/>
                <w:color w:val="auto"/>
              </w:rPr>
            </w:pPr>
            <w:r>
              <w:rPr>
                <w:rFonts w:ascii="Arial" w:cs="Arial" w:eastAsia="Arial" w:hAnsi="Arial"/>
                <w:sz w:val="13"/>
                <w:szCs w:val="13"/>
                <w:color w:val="auto"/>
              </w:rPr>
              <w:t>operating and other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3"/>
            <w:vMerge w:val="restart"/>
          </w:tcPr>
          <w:p>
            <w:pPr>
              <w:jc w:val="right"/>
              <w:ind w:right="10"/>
              <w:spacing w:after="0"/>
              <w:rPr>
                <w:sz w:val="20"/>
                <w:szCs w:val="20"/>
                <w:color w:val="auto"/>
              </w:rPr>
            </w:pPr>
            <w:r>
              <w:rPr>
                <w:rFonts w:ascii="Arial" w:cs="Arial" w:eastAsia="Arial" w:hAnsi="Arial"/>
                <w:sz w:val="14"/>
                <w:szCs w:val="14"/>
                <w:color w:val="auto"/>
              </w:rPr>
              <w:t>10,599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10,600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9,569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9,568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rPr>
              <w:t>Automotive and other</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ind w:left="280"/>
              <w:spacing w:after="0" w:line="126" w:lineRule="exact"/>
              <w:rPr>
                <w:sz w:val="20"/>
                <w:szCs w:val="20"/>
                <w:color w:val="auto"/>
              </w:rPr>
            </w:pPr>
            <w:r>
              <w:rPr>
                <w:rFonts w:ascii="Arial" w:cs="Arial" w:eastAsia="Arial" w:hAnsi="Arial"/>
                <w:sz w:val="13"/>
                <w:szCs w:val="13"/>
                <w:color w:val="auto"/>
              </w:rPr>
              <w:t>selling, general and</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6,054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6,161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6,813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7,292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administrative expense</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costs and expenses</w:t>
            </w: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122,309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274</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10,599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133,177</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116,771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128,478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Operating income (loss)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2,156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6,555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11,262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3"/>
                <w:szCs w:val="13"/>
                <w:color w:val="auto"/>
                <w:w w:val="99"/>
              </w:rPr>
              <w:t>Automotive interest expense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Interest income and other</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ind w:left="160"/>
              <w:spacing w:after="0" w:line="126" w:lineRule="exact"/>
              <w:rPr>
                <w:sz w:val="20"/>
                <w:szCs w:val="20"/>
                <w:color w:val="auto"/>
              </w:rPr>
            </w:pPr>
            <w:r>
              <w:rPr>
                <w:rFonts w:ascii="Arial" w:cs="Arial" w:eastAsia="Arial" w:hAnsi="Arial"/>
                <w:sz w:val="13"/>
                <w:szCs w:val="13"/>
                <w:color w:val="auto"/>
              </w:rPr>
              <w:t>non-operating income,</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1,151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net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income (loss)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219</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64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8"/>
              </w:rPr>
              <w:t>Income (loss) before income</w:t>
            </w:r>
          </w:p>
        </w:tc>
        <w:tc>
          <w:tcPr>
            <w:tcW w:w="2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jc w:val="right"/>
              <w:ind w:right="106"/>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5,474</w:t>
            </w:r>
          </w:p>
        </w:tc>
        <w:tc>
          <w:tcPr>
            <w:tcW w:w="8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$ 2,193</w:t>
            </w:r>
          </w:p>
        </w:tc>
        <w:tc>
          <w:tcPr>
            <w:tcW w:w="80" w:type="dxa"/>
            <w:vAlign w:val="bottom"/>
            <w:shd w:val="clear" w:color="auto" w:fill="CCEEFF"/>
          </w:tcPr>
          <w:p>
            <w:pPr>
              <w:spacing w:after="0"/>
              <w:rPr>
                <w:sz w:val="9"/>
                <w:szCs w:val="9"/>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7,366</w:t>
            </w:r>
          </w:p>
        </w:tc>
        <w:tc>
          <w:tcPr>
            <w:tcW w:w="6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11,026</w:t>
            </w:r>
          </w:p>
        </w:tc>
        <w:tc>
          <w:tcPr>
            <w:tcW w:w="8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(2,196)</w:t>
            </w:r>
          </w:p>
        </w:tc>
        <w:tc>
          <w:tcPr>
            <w:tcW w:w="2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40" w:type="dxa"/>
            <w:vAlign w:val="bottom"/>
            <w:shd w:val="clear" w:color="auto" w:fill="CCEEFF"/>
          </w:tcPr>
          <w:p>
            <w:pPr>
              <w:spacing w:after="0"/>
              <w:rPr>
                <w:sz w:val="9"/>
                <w:szCs w:val="9"/>
                <w:color w:val="auto"/>
              </w:rPr>
            </w:pPr>
          </w:p>
        </w:tc>
        <w:tc>
          <w:tcPr>
            <w:tcW w:w="12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11,076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taxes</w:t>
            </w:r>
          </w:p>
        </w:tc>
        <w:tc>
          <w:tcPr>
            <w:tcW w:w="24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60" w:type="dxa"/>
            <w:vAlign w:val="bottom"/>
            <w:gridSpan w:val="3"/>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w w:val="97"/>
              </w:rPr>
              <w:t>Income tax expense (benefit)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1,326</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6,040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gridSpan w:val="2"/>
          </w:tcPr>
          <w:p>
            <w:pPr>
              <w:spacing w:after="0" w:line="131" w:lineRule="exact"/>
              <w:rPr>
                <w:sz w:val="20"/>
                <w:szCs w:val="20"/>
                <w:color w:val="auto"/>
              </w:rPr>
            </w:pPr>
            <w:r>
              <w:rPr>
                <w:rFonts w:ascii="Arial" w:cs="Arial" w:eastAsia="Arial" w:hAnsi="Arial"/>
                <w:sz w:val="13"/>
                <w:szCs w:val="13"/>
                <w:color w:val="auto"/>
              </w:rPr>
              <w:t>Net loss (income)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gridSpan w:val="2"/>
          </w:tcPr>
          <w:p>
            <w:pPr>
              <w:ind w:left="160"/>
              <w:spacing w:after="0" w:line="126" w:lineRule="exact"/>
              <w:rPr>
                <w:sz w:val="20"/>
                <w:szCs w:val="20"/>
                <w:color w:val="auto"/>
              </w:rPr>
            </w:pPr>
            <w:r>
              <w:rPr>
                <w:rFonts w:ascii="Arial" w:cs="Arial" w:eastAsia="Arial" w:hAnsi="Arial"/>
                <w:sz w:val="13"/>
                <w:szCs w:val="13"/>
                <w:color w:val="auto"/>
              </w:rPr>
              <w:t>attributable to</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noncontrolling interests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ind w:left="160"/>
              <w:spacing w:after="0" w:line="126" w:lineRule="exact"/>
              <w:rPr>
                <w:sz w:val="20"/>
                <w:szCs w:val="20"/>
                <w:color w:val="auto"/>
              </w:rPr>
            </w:pPr>
            <w:r>
              <w:rPr>
                <w:rFonts w:ascii="Arial" w:cs="Arial" w:eastAsia="Arial" w:hAnsi="Arial"/>
                <w:sz w:val="13"/>
                <w:szCs w:val="13"/>
                <w:b w:val="1"/>
                <w:bCs w:val="1"/>
                <w:color w:val="auto"/>
              </w:rPr>
              <w:t>attributable to</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6,007</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8,969</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stockholders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ind w:left="16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6,510</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8,914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stockholders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ind w:left="100" w:hanging="92"/>
        <w:spacing w:after="0" w:line="224" w:lineRule="auto"/>
        <w:tabs>
          <w:tab w:leader="none" w:pos="10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Certain columns and rows may not add due to rounding.</w:t>
      </w:r>
    </w:p>
    <w:p>
      <w:pPr>
        <w:sectPr>
          <w:pgSz w:w="11900" w:h="16838" w:orient="portrait"/>
          <w:cols w:equalWidth="0" w:num="1">
            <w:col w:w="11220"/>
          </w:cols>
          <w:pgMar w:left="320" w:top="854" w:right="359" w:bottom="1060" w:gutter="0" w:footer="0" w:header="0"/>
        </w:sectPr>
      </w:pPr>
    </w:p>
    <w:p>
      <w:pPr>
        <w:spacing w:after="0" w:line="200" w:lineRule="exact"/>
        <w:rPr>
          <w:sz w:val="20"/>
          <w:szCs w:val="20"/>
          <w:color w:val="auto"/>
        </w:rPr>
      </w:pPr>
    </w:p>
    <w:p>
      <w:pPr>
        <w:spacing w:after="0" w:line="38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854" w:right="359" w:bottom="1060" w:gutter="0" w:footer="0" w:header="0"/>
          <w:type w:val="continuous"/>
        </w:sectPr>
      </w:pPr>
    </w:p>
    <w:bookmarkStart w:id="8" w:name="page9"/>
    <w:bookmarkEnd w:id="8"/>
    <w:p>
      <w:pPr>
        <w:ind w:left="398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5"/>
          </w:tcPr>
          <w:p>
            <w:pPr>
              <w:ind w:left="8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2980" w:type="dxa"/>
            <w:vAlign w:val="bottom"/>
            <w:gridSpan w:val="4"/>
          </w:tcPr>
          <w:p>
            <w:pPr>
              <w:jc w:val="right"/>
              <w:ind w:right="901"/>
              <w:spacing w:after="0"/>
              <w:rPr>
                <w:sz w:val="20"/>
                <w:szCs w:val="20"/>
                <w:color w:val="auto"/>
              </w:rPr>
            </w:pPr>
            <w:r>
              <w:rPr>
                <w:rFonts w:ascii="Arial" w:cs="Arial" w:eastAsia="Arial" w:hAnsi="Arial"/>
                <w:sz w:val="13"/>
                <w:szCs w:val="13"/>
                <w:b w:val="1"/>
                <w:bCs w:val="1"/>
                <w:color w:val="auto"/>
              </w:rPr>
              <w:t>Nine Months Ended</w:t>
            </w:r>
          </w:p>
        </w:tc>
      </w:tr>
      <w:tr>
        <w:trPr>
          <w:trHeight w:val="169"/>
        </w:trPr>
        <w:tc>
          <w:tcPr>
            <w:tcW w:w="4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2025</w:t>
            </w: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8"/>
              </w:rPr>
              <w:t>September 30, 2024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2025</w:t>
            </w: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7"/>
              </w:rPr>
              <w:t>September 30, 2024</w:t>
            </w: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8,969</w:t>
            </w:r>
          </w:p>
        </w:tc>
      </w:tr>
      <w:tr>
        <w:trPr>
          <w:trHeight w:val="21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Adjustments(a)</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35"/>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8,914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1,136</w:t>
            </w:r>
          </w:p>
        </w:tc>
      </w:tr>
      <w:tr>
        <w:trPr>
          <w:trHeight w:val="108"/>
        </w:trPr>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7.85</w:t>
            </w:r>
          </w:p>
        </w:tc>
      </w:tr>
      <w:tr>
        <w:trPr>
          <w:trHeight w:val="20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8,914</w:t>
            </w:r>
          </w:p>
        </w:tc>
      </w:tr>
      <w:tr>
        <w:trPr>
          <w:trHeight w:val="108"/>
        </w:trPr>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1,147</w:t>
            </w:r>
          </w:p>
        </w:tc>
      </w:tr>
      <w:tr>
        <w:trPr>
          <w:trHeight w:val="108"/>
        </w:trPr>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7.77</w:t>
            </w:r>
          </w:p>
        </w:tc>
      </w:tr>
      <w:tr>
        <w:trPr>
          <w:trHeight w:val="215"/>
        </w:trPr>
        <w:tc>
          <w:tcPr>
            <w:tcW w:w="4900" w:type="dxa"/>
            <w:vAlign w:val="bottom"/>
          </w:tcPr>
          <w:p>
            <w:pPr>
              <w:ind w:left="140"/>
              <w:spacing w:after="0"/>
              <w:rPr>
                <w:sz w:val="20"/>
                <w:szCs w:val="20"/>
                <w:color w:val="auto"/>
              </w:rPr>
            </w:pPr>
            <w:r>
              <w:rPr>
                <w:rFonts w:ascii="Arial" w:cs="Arial" w:eastAsia="Arial" w:hAnsi="Arial"/>
                <w:sz w:val="14"/>
                <w:szCs w:val="14"/>
                <w:color w:val="auto"/>
              </w:rPr>
              <w:t>Potentially dilutive securities(b)</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w:t>
            </w: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80" w:hanging="332"/>
        <w:spacing w:after="0" w:line="261" w:lineRule="auto"/>
        <w:tabs>
          <w:tab w:leader="none" w:pos="36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 $593 million return from the preferred shareholders related to the redemption of Cruise preferred shares from noncontrolling interest holders in the nine months ended September 30, 2025.</w:t>
      </w:r>
    </w:p>
    <w:p>
      <w:pPr>
        <w:ind w:left="380" w:right="20" w:hanging="332"/>
        <w:spacing w:after="0" w:line="284" w:lineRule="auto"/>
        <w:tabs>
          <w:tab w:leader="none" w:pos="367"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Performance Stock Units and Restricted Stock Units (RSUs) at September 30, 2025 and 2024 were excluded from the computation of diluted earnings per share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280" w:top="854" w:right="339" w:bottom="1440" w:gutter="0" w:footer="0" w:header="0"/>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September 30, 2025</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December 31, 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60" w:type="dxa"/>
            <w:vAlign w:val="bottom"/>
            <w:gridSpan w:val="2"/>
          </w:tcPr>
          <w:p>
            <w:pPr>
              <w:ind w:left="16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20" w:type="dxa"/>
            <w:vAlign w:val="bottom"/>
          </w:tcPr>
          <w:p>
            <w:pPr>
              <w:ind w:left="70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7,820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19,872</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6,771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7,265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7,265</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and notes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12,827</w:t>
            </w: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140"/>
              <w:spacing w:after="0"/>
              <w:rPr>
                <w:sz w:val="20"/>
                <w:szCs w:val="20"/>
                <w:color w:val="auto"/>
              </w:rPr>
            </w:pPr>
            <w:r>
              <w:rPr>
                <w:rFonts w:ascii="Arial" w:cs="Arial" w:eastAsia="Arial" w:hAnsi="Arial"/>
                <w:sz w:val="13"/>
                <w:szCs w:val="13"/>
                <w:color w:val="auto"/>
              </w:rPr>
              <w:t>net(d)</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44,902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44,521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46,760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46,362</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14,564</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5,109</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2,816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4,799</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7,655</w:t>
            </w:r>
          </w:p>
        </w:tc>
        <w:tc>
          <w:tcPr>
            <w:tcW w:w="0" w:type="dxa"/>
            <w:vAlign w:val="bottom"/>
          </w:tcPr>
          <w:p>
            <w:pPr>
              <w:spacing w:after="0"/>
              <w:rPr>
                <w:sz w:val="1"/>
                <w:szCs w:val="1"/>
                <w:color w:val="auto"/>
              </w:rPr>
            </w:pPr>
          </w:p>
        </w:tc>
      </w:tr>
      <w:tr>
        <w:trPr>
          <w:trHeight w:val="174"/>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59,634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58,640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108,545</w:t>
            </w:r>
          </w:p>
        </w:tc>
        <w:tc>
          <w:tcPr>
            <w:tcW w:w="0" w:type="dxa"/>
            <w:vAlign w:val="bottom"/>
          </w:tcPr>
          <w:p>
            <w:pPr>
              <w:spacing w:after="0"/>
              <w:rPr>
                <w:sz w:val="1"/>
                <w:szCs w:val="1"/>
                <w:color w:val="auto"/>
              </w:rPr>
            </w:pPr>
          </w:p>
        </w:tc>
      </w:tr>
      <w:tr>
        <w:trPr>
          <w:trHeight w:val="174"/>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92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GM Financial receivables,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net(c)</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45,300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46,474</w:t>
            </w:r>
          </w:p>
        </w:tc>
        <w:tc>
          <w:tcPr>
            <w:tcW w:w="0" w:type="dxa"/>
            <w:vAlign w:val="bottom"/>
          </w:tcPr>
          <w:p>
            <w:pPr>
              <w:spacing w:after="0"/>
              <w:rPr>
                <w:sz w:val="1"/>
                <w:szCs w:val="1"/>
                <w:color w:val="auto"/>
              </w:rPr>
            </w:pPr>
          </w:p>
        </w:tc>
      </w:tr>
      <w:tr>
        <w:trPr>
          <w:trHeight w:val="121"/>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1,095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5,896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1,206</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7,102</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51,729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51,904</w:t>
            </w: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w w:val="98"/>
              </w:rPr>
              <w:t>Goodwill and intangible assets,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00"/>
              <w:spacing w:after="0"/>
              <w:rPr>
                <w:sz w:val="20"/>
                <w:szCs w:val="20"/>
                <w:color w:val="auto"/>
              </w:rPr>
            </w:pPr>
            <w:r>
              <w:rPr>
                <w:rFonts w:ascii="Arial" w:cs="Arial" w:eastAsia="Arial" w:hAnsi="Arial"/>
                <w:sz w:val="13"/>
                <w:szCs w:val="13"/>
                <w:color w:val="auto"/>
              </w:rPr>
              <w:t>net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1,348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2,642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4,551</w:t>
            </w:r>
          </w:p>
        </w:tc>
        <w:tc>
          <w:tcPr>
            <w:tcW w:w="0" w:type="dxa"/>
            <w:vAlign w:val="bottom"/>
          </w:tcPr>
          <w:p>
            <w:pPr>
              <w:spacing w:after="0"/>
              <w:rPr>
                <w:sz w:val="1"/>
                <w:szCs w:val="1"/>
                <w:color w:val="auto"/>
              </w:rPr>
            </w:pPr>
          </w:p>
        </w:tc>
      </w:tr>
      <w:tr>
        <w:trPr>
          <w:trHeight w:val="128"/>
        </w:trPr>
        <w:tc>
          <w:tcPr>
            <w:tcW w:w="19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33,609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(1,270)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21,149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(1,795)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21,254</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assets(b)</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64"/>
        </w:trPr>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91,740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81,642</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173,532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90,756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80,516</w:t>
            </w:r>
          </w:p>
        </w:tc>
        <w:tc>
          <w:tcPr>
            <w:tcW w:w="1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171,216</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141,276</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288,168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141,374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payable (principally</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25,680</w:t>
            </w:r>
          </w:p>
        </w:tc>
        <w:tc>
          <w:tcPr>
            <w:tcW w:w="0" w:type="dxa"/>
            <w:vAlign w:val="bottom"/>
          </w:tcPr>
          <w:p>
            <w:pPr>
              <w:spacing w:after="0"/>
              <w:rPr>
                <w:sz w:val="1"/>
                <w:szCs w:val="1"/>
                <w:color w:val="auto"/>
              </w:rPr>
            </w:pPr>
          </w:p>
        </w:tc>
      </w:tr>
      <w:tr>
        <w:trPr>
          <w:trHeight w:val="121"/>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Short-term debt and current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Automotive(a)(d)</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171"/>
        </w:trPr>
        <w:tc>
          <w:tcPr>
            <w:tcW w:w="192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36,053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36,053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37,291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37,291</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Cruise(d)</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24,730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4,641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29,501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24,949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5,661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31,154</w:t>
            </w:r>
          </w:p>
        </w:tc>
        <w:tc>
          <w:tcPr>
            <w:tcW w:w="0" w:type="dxa"/>
            <w:vAlign w:val="bottom"/>
          </w:tcPr>
          <w:p>
            <w:pPr>
              <w:spacing w:after="0"/>
              <w:rPr>
                <w:sz w:val="1"/>
                <w:szCs w:val="1"/>
                <w:color w:val="auto"/>
              </w:rPr>
            </w:pPr>
          </w:p>
        </w:tc>
      </w:tr>
      <w:tr>
        <w:trPr>
          <w:trHeight w:val="174"/>
        </w:trPr>
        <w:tc>
          <w:tcPr>
            <w:tcW w:w="1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41,397</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52,808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43,666</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96,265</w:t>
            </w:r>
          </w:p>
        </w:tc>
        <w:tc>
          <w:tcPr>
            <w:tcW w:w="0" w:type="dxa"/>
            <w:vAlign w:val="bottom"/>
          </w:tcPr>
          <w:p>
            <w:pPr>
              <w:spacing w:after="0"/>
              <w:rPr>
                <w:sz w:val="1"/>
                <w:szCs w:val="1"/>
                <w:color w:val="auto"/>
              </w:rPr>
            </w:pPr>
          </w:p>
        </w:tc>
      </w:tr>
      <w:tr>
        <w:trPr>
          <w:trHeight w:val="174"/>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300"/>
              <w:spacing w:after="0"/>
              <w:rPr>
                <w:sz w:val="20"/>
                <w:szCs w:val="20"/>
                <w:color w:val="auto"/>
              </w:rPr>
            </w:pPr>
            <w:r>
              <w:rPr>
                <w:rFonts w:ascii="Arial" w:cs="Arial" w:eastAsia="Arial" w:hAnsi="Arial"/>
                <w:sz w:val="13"/>
                <w:szCs w:val="13"/>
                <w:color w:val="auto"/>
              </w:rPr>
              <w:t>Automotive(b)</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13,288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13,327</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80,336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0" w:type="dxa"/>
            <w:vAlign w:val="bottom"/>
          </w:tcPr>
          <w:p>
            <w:pPr>
              <w:spacing w:after="0"/>
              <w:rPr>
                <w:sz w:val="1"/>
                <w:szCs w:val="1"/>
                <w:color w:val="auto"/>
              </w:rPr>
            </w:pPr>
          </w:p>
        </w:tc>
      </w:tr>
      <w:tr>
        <w:trPr>
          <w:trHeight w:val="171"/>
        </w:trPr>
        <w:tc>
          <w:tcPr>
            <w:tcW w:w="1920" w:type="dxa"/>
            <w:vAlign w:val="bottom"/>
          </w:tcPr>
          <w:p>
            <w:pPr>
              <w:ind w:left="300"/>
              <w:spacing w:after="0"/>
              <w:rPr>
                <w:sz w:val="20"/>
                <w:szCs w:val="20"/>
                <w:color w:val="auto"/>
              </w:rPr>
            </w:pPr>
            <w:r>
              <w:rPr>
                <w:rFonts w:ascii="Arial" w:cs="Arial" w:eastAsia="Arial" w:hAnsi="Arial"/>
                <w:sz w:val="13"/>
                <w:szCs w:val="13"/>
                <w:color w:val="auto"/>
              </w:rPr>
              <w:t>Cruise(c)</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Postretirement benefits other</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5,779</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3,306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17,836</w:t>
            </w:r>
          </w:p>
        </w:tc>
        <w:tc>
          <w:tcPr>
            <w:tcW w:w="0" w:type="dxa"/>
            <w:vAlign w:val="bottom"/>
          </w:tcPr>
          <w:p>
            <w:pPr>
              <w:spacing w:after="0"/>
              <w:rPr>
                <w:sz w:val="1"/>
                <w:szCs w:val="1"/>
                <w:color w:val="auto"/>
              </w:rPr>
            </w:pPr>
          </w:p>
        </w:tc>
      </w:tr>
      <w:tr>
        <w:trPr>
          <w:trHeight w:val="164"/>
        </w:trPr>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42,458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83,651</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126,471</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37,686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79,885</w:t>
            </w:r>
          </w:p>
        </w:tc>
        <w:tc>
          <w:tcPr>
            <w:tcW w:w="1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117,906</w:t>
            </w:r>
          </w:p>
        </w:tc>
        <w:tc>
          <w:tcPr>
            <w:tcW w:w="0" w:type="dxa"/>
            <w:vAlign w:val="bottom"/>
          </w:tcPr>
          <w:p>
            <w:pPr>
              <w:spacing w:after="0"/>
              <w:rPr>
                <w:sz w:val="1"/>
                <w:szCs w:val="1"/>
                <w:color w:val="auto"/>
              </w:rPr>
            </w:pPr>
          </w:p>
        </w:tc>
      </w:tr>
      <w:tr>
        <w:trPr>
          <w:trHeight w:val="174"/>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125,048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123,551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214,171</w:t>
            </w:r>
          </w:p>
        </w:tc>
        <w:tc>
          <w:tcPr>
            <w:tcW w:w="0" w:type="dxa"/>
            <w:vAlign w:val="bottom"/>
          </w:tcPr>
          <w:p>
            <w:pPr>
              <w:spacing w:after="0"/>
              <w:rPr>
                <w:sz w:val="1"/>
                <w:szCs w:val="1"/>
                <w:color w:val="auto"/>
              </w:rPr>
            </w:pPr>
          </w:p>
        </w:tc>
      </w:tr>
      <w:tr>
        <w:trPr>
          <w:trHeight w:val="174"/>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Common stock, $0.01 par value</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3"/>
                <w:szCs w:val="13"/>
                <w:color w:val="auto"/>
              </w:rPr>
              <w:t>Additional paid-in capital(e)</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18,477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1,137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19,632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1,196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20,843</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(1,990)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16,495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53,472</w:t>
            </w:r>
          </w:p>
        </w:tc>
        <w:tc>
          <w:tcPr>
            <w:tcW w:w="0" w:type="dxa"/>
            <w:vAlign w:val="bottom"/>
          </w:tcPr>
          <w:p>
            <w:pPr>
              <w:spacing w:after="0"/>
              <w:rPr>
                <w:sz w:val="1"/>
                <w:szCs w:val="1"/>
                <w:color w:val="auto"/>
              </w:rPr>
            </w:pPr>
          </w:p>
        </w:tc>
      </w:tr>
      <w:tr>
        <w:trPr>
          <w:trHeight w:val="122"/>
        </w:trPr>
        <w:tc>
          <w:tcPr>
            <w:tcW w:w="1920" w:type="dxa"/>
            <w:vAlign w:val="bottom"/>
          </w:tcPr>
          <w:p>
            <w:pPr>
              <w:ind w:left="100"/>
              <w:spacing w:after="0" w:line="122" w:lineRule="exact"/>
              <w:rPr>
                <w:sz w:val="20"/>
                <w:szCs w:val="20"/>
                <w:color w:val="auto"/>
              </w:rPr>
            </w:pPr>
            <w:r>
              <w:rPr>
                <w:rFonts w:ascii="Arial" w:cs="Arial" w:eastAsia="Arial" w:hAnsi="Arial"/>
                <w:sz w:val="13"/>
                <w:szCs w:val="13"/>
                <w:color w:val="auto"/>
              </w:rPr>
              <w:t>Accumulated 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180"/>
              <w:spacing w:after="0"/>
              <w:rPr>
                <w:sz w:val="20"/>
                <w:szCs w:val="20"/>
                <w:color w:val="auto"/>
              </w:rPr>
            </w:pPr>
            <w:r>
              <w:rPr>
                <w:rFonts w:ascii="Arial" w:cs="Arial" w:eastAsia="Arial" w:hAnsi="Arial"/>
                <w:sz w:val="13"/>
                <w:szCs w:val="13"/>
                <w:color w:val="auto"/>
              </w:rPr>
              <w:t>comprehensive loss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(1,403)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(1,506)</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(11,253)</w:t>
            </w:r>
          </w:p>
        </w:tc>
        <w:tc>
          <w:tcPr>
            <w:tcW w:w="0" w:type="dxa"/>
            <w:vAlign w:val="bottom"/>
          </w:tcPr>
          <w:p>
            <w:pPr>
              <w:spacing w:after="0"/>
              <w:rPr>
                <w:sz w:val="1"/>
                <w:szCs w:val="1"/>
                <w:color w:val="auto"/>
              </w:rPr>
            </w:pPr>
          </w:p>
        </w:tc>
      </w:tr>
      <w:tr>
        <w:trPr>
          <w:trHeight w:val="175"/>
        </w:trPr>
        <w:tc>
          <w:tcPr>
            <w:tcW w:w="19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16,228</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66,374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50,100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15,606</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63,072</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3"/>
                <w:szCs w:val="13"/>
                <w:color w:val="auto"/>
              </w:rPr>
              <w:t>Noncontrolling interests(e)</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2,518</w:t>
            </w:r>
          </w:p>
        </w:tc>
        <w:tc>
          <w:tcPr>
            <w:tcW w:w="0" w:type="dxa"/>
            <w:vAlign w:val="bottom"/>
          </w:tcPr>
          <w:p>
            <w:pPr>
              <w:spacing w:after="0"/>
              <w:rPr>
                <w:sz w:val="1"/>
                <w:szCs w:val="1"/>
                <w:color w:val="auto"/>
              </w:rPr>
            </w:pPr>
          </w:p>
        </w:tc>
      </w:tr>
      <w:tr>
        <w:trPr>
          <w:trHeight w:val="170"/>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52,369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16,228</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68,402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50,880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15,606</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65,590</w:t>
            </w:r>
          </w:p>
        </w:tc>
        <w:tc>
          <w:tcPr>
            <w:tcW w:w="0" w:type="dxa"/>
            <w:vAlign w:val="bottom"/>
          </w:tcPr>
          <w:p>
            <w:pPr>
              <w:spacing w:after="0"/>
              <w:rPr>
                <w:sz w:val="1"/>
                <w:szCs w:val="1"/>
                <w:color w:val="auto"/>
              </w:rPr>
            </w:pPr>
          </w:p>
        </w:tc>
      </w:tr>
      <w:tr>
        <w:trPr>
          <w:trHeight w:val="173"/>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147,973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141,276</w:t>
            </w:r>
          </w:p>
        </w:tc>
        <w:tc>
          <w:tcPr>
            <w:tcW w:w="8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288,168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141,374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139,156</w:t>
            </w:r>
          </w:p>
        </w:tc>
        <w:tc>
          <w:tcPr>
            <w:tcW w:w="12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jc w:val="both"/>
        <w:ind w:left="340" w:hanging="332"/>
        <w:spacing w:after="0" w:line="247" w:lineRule="auto"/>
        <w:tabs>
          <w:tab w:leader="none" w:pos="337"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$0.6 billion due from Automotive; Automotive accounts receivable of $0.3 billion primarily due from GM Financial; and Cruise accounts receivable of $0.1 billion due from Automotive at September 30, 2025; and GM Financial accounts and notes receivable of $0.5 billion due from Automotive; and Automotive accounts receivable of $0.2 billion primarily due from GM Financial and Cruise at December 31, 2024.</w:t>
      </w:r>
    </w:p>
    <w:p>
      <w:pPr>
        <w:ind w:left="340" w:hanging="332"/>
        <w:spacing w:after="0" w:line="243" w:lineRule="auto"/>
        <w:tabs>
          <w:tab w:leader="none" w:pos="337"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and deferral agreement between Cruise and Automotive as regards to engineering, capital spending, restructuring and other costs incurred by Automotive on behalf of Cruise resulting in a long-term payable for Cruise offset by a long-term receivable for Automotive at December 31, 2024.</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 at December 31, 2024.</w:t>
      </w:r>
    </w:p>
    <w:p>
      <w:pPr>
        <w:spacing w:after="0" w:line="8" w:lineRule="exact"/>
        <w:rPr>
          <w:rFonts w:ascii="Arial" w:cs="Arial" w:eastAsia="Arial" w:hAnsi="Arial"/>
          <w:sz w:val="11"/>
          <w:szCs w:val="11"/>
          <w:color w:val="auto"/>
        </w:rPr>
      </w:pPr>
    </w:p>
    <w:p>
      <w:pPr>
        <w:ind w:left="320" w:hanging="312"/>
        <w:spacing w:after="0" w:line="236" w:lineRule="auto"/>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 due from Automotive and Cruise.</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4" w:right="339" w:bottom="1440" w:gutter="0" w:footer="0" w:header="0"/>
          <w:type w:val="continuous"/>
        </w:sectPr>
      </w:pPr>
    </w:p>
    <w:bookmarkStart w:id="10" w:name="page11"/>
    <w:bookmarkEnd w:id="10"/>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180"/>
              <w:spacing w:after="0"/>
              <w:rPr>
                <w:sz w:val="20"/>
                <w:szCs w:val="20"/>
                <w:color w:val="auto"/>
              </w:rPr>
            </w:pPr>
            <w:r>
              <w:rPr>
                <w:rFonts w:ascii="Arial" w:cs="Arial" w:eastAsia="Arial" w:hAnsi="Arial"/>
                <w:sz w:val="13"/>
                <w:szCs w:val="13"/>
                <w:b w:val="1"/>
                <w:bCs w:val="1"/>
                <w:color w:val="auto"/>
              </w:rPr>
              <w:t>Nine Months Ended September 30, 2025</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Nine Months Ended September 30, 2024</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7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Combined</w:t>
            </w: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Cash flows from operating</w:t>
            </w: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8,837</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w w:val="99"/>
              </w:rPr>
              <w:t>Depreciation and impairment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Equipment on operating</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leases, net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3,675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3,633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3,633</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Depreciation, amortization and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impairment charges on</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5,523</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remeasurement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Undistributed earnings of</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nonconsolidated affiliates,</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Pension contributions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OPEB payments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Pension and OPEB income, net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Provision (benefit) for deferred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taxes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Change in other operating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 and liabilities(a)(c)</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1,787</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(6,549)</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operating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13,127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6,067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19,174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5,114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15,989</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(7,597)</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Available-for-sale marketable</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(28,246)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(31,222)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(25,864)</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receivables(a)(b)</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29,539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23,524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23,526</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Proceeds from sale of finance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Purchases of leased vehicles</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(12,609)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(12,609)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(11,243)</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(11,243)</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Proceeds from termination of</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leased vehicles</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8,627</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Other investing activities(b)</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(10,329)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(14,004)</w:t>
            </w: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Cash flows from financing</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Net increase (decrease) in</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short-term debt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w w:val="98"/>
              </w:rPr>
              <w:t>Proceeds from issuance of debt</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than three months)(b)</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35,103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37,122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38,142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38,163</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Payments on debt (original</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months)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(35,502)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(31,882)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(32,012)</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Payment to purchase common</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stock</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(2,378)</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Issuance (redemption) of</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subsidiary stock(b)</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Dividends paid(c)</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(1,169)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(1,469)</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financing activities</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02"/>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(1,658)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4,735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2,963</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Effect of exchange rate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changes on cash, cash</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6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color w:val="auto"/>
              </w:rPr>
              <w:t>equivalents and restricted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cash</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01"/>
        </w:trPr>
        <w:tc>
          <w:tcPr>
            <w:tcW w:w="1960" w:type="dxa"/>
            <w:vAlign w:val="bottom"/>
          </w:tcPr>
          <w:p>
            <w:pPr>
              <w:ind w:left="140"/>
              <w:spacing w:after="0" w:line="102" w:lineRule="exact"/>
              <w:rPr>
                <w:sz w:val="20"/>
                <w:szCs w:val="20"/>
                <w:color w:val="auto"/>
              </w:rPr>
            </w:pPr>
            <w:r>
              <w:rPr>
                <w:rFonts w:ascii="Arial" w:cs="Arial" w:eastAsia="Arial" w:hAnsi="Arial"/>
                <w:sz w:val="10"/>
                <w:szCs w:val="10"/>
                <w:color w:val="auto"/>
              </w:rPr>
              <w:t>Net increase (decrease) in</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restricted cash</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2,909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4,798</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cash equivalents and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period</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21,917</w:t>
            </w: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Cash, cash equivalents and</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80" w:type="dxa"/>
            <w:vAlign w:val="bottom"/>
            <w:vMerge w:val="restart"/>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15,148</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10,990</w:t>
            </w:r>
          </w:p>
        </w:tc>
        <w:tc>
          <w:tcPr>
            <w:tcW w:w="10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26,210</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18,279</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7,702</w:t>
            </w:r>
          </w:p>
        </w:tc>
        <w:tc>
          <w:tcPr>
            <w:tcW w:w="1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26,715</w:t>
            </w:r>
          </w:p>
        </w:tc>
        <w:tc>
          <w:tcPr>
            <w:tcW w:w="0" w:type="dxa"/>
            <w:vAlign w:val="bottom"/>
          </w:tcPr>
          <w:p>
            <w:pPr>
              <w:spacing w:after="0"/>
              <w:rPr>
                <w:sz w:val="1"/>
                <w:szCs w:val="1"/>
                <w:color w:val="auto"/>
              </w:rPr>
            </w:pPr>
          </w:p>
        </w:tc>
      </w:tr>
      <w:tr>
        <w:trPr>
          <w:trHeight w:val="16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period</w:t>
            </w:r>
          </w:p>
        </w:tc>
        <w:tc>
          <w:tcPr>
            <w:tcW w:w="1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6"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eliminations of $2.7 billion and $5.3 billion in the nine months ended September 30, 2025 and 2024 primarily driven by purchases/collections of wholesale finance receivables resulting from vehicles sold by GM to dealers that have arranged their inventory floor plan financing through GM Financial.</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intercompany funding activity from Automotive and GM Financial to Cruise in the nine months ended September 30, 2025 and 2024.</w:t>
      </w:r>
    </w:p>
    <w:p>
      <w:pPr>
        <w:spacing w:after="0" w:line="5" w:lineRule="exact"/>
        <w:rPr>
          <w:rFonts w:ascii="Arial" w:cs="Arial" w:eastAsia="Arial" w:hAnsi="Arial"/>
          <w:sz w:val="11"/>
          <w:szCs w:val="11"/>
          <w:color w:val="auto"/>
        </w:rPr>
      </w:pPr>
    </w:p>
    <w:p>
      <w:pPr>
        <w:ind w:left="320" w:hanging="312"/>
        <w:spacing w:after="0" w:line="211" w:lineRule="auto"/>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nine months ended September 30, 2025 and 2024.</w:t>
      </w:r>
    </w:p>
    <w:p>
      <w:pPr>
        <w:spacing w:after="0"/>
        <w:rPr>
          <w:sz w:val="20"/>
          <w:szCs w:val="20"/>
          <w:color w:val="auto"/>
        </w:rPr>
      </w:pPr>
      <w:r>
        <w:rPr>
          <w:rFonts w:ascii="Arial" w:cs="Arial" w:eastAsia="Arial" w:hAnsi="Arial"/>
          <w:sz w:val="11"/>
          <w:szCs w:val="11"/>
          <w:color w:val="auto"/>
        </w:rPr>
        <w:t>Note: Certain intercompany transactions that are eliminated in consolidation are presented on a net basis.</w:t>
      </w:r>
    </w:p>
    <w:p>
      <w:pPr>
        <w:sectPr>
          <w:pgSz w:w="11900" w:h="16838" w:orient="portrait"/>
          <w:cols w:equalWidth="0" w:num="1">
            <w:col w:w="11240"/>
          </w:cols>
          <w:pgMar w:left="320" w:top="854" w:right="339" w:bottom="6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4" w:right="339" w:bottom="696"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2025</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40,551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48,591</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2,113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2,130</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3,066</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1,044</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1,044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378"/>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2024</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48,757</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2,128</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2,229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2,245</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365"/>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2025</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139,732</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5,729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6,054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6,083</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9,026</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1,044</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1,063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1,063</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378"/>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2024</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117,981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139,740</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7,220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7,495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7,597</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8,551</w:t>
            </w:r>
          </w:p>
        </w:tc>
        <w:tc>
          <w:tcPr>
            <w:tcW w:w="0" w:type="dxa"/>
            <w:vAlign w:val="bottom"/>
          </w:tcPr>
          <w:p>
            <w:pPr>
              <w:spacing w:after="0"/>
              <w:rPr>
                <w:sz w:val="1"/>
                <w:szCs w:val="1"/>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340" w:hanging="332"/>
        <w:spacing w:after="0" w:line="238"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income (loss) of $80 million and $197 million in the three and nine months ended September 30, 2025 and $(137) million and $(347) million in the three and nine months ended September 30, 2024.</w:t>
      </w:r>
    </w:p>
    <w:p>
      <w:pPr>
        <w:jc w:val="both"/>
        <w:ind w:left="340" w:hanging="332"/>
        <w:spacing w:after="0" w:line="242"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is integral to the operations of our business by providing battery cells for our electric vehicles (EVs). Equity earnings related to Ultium Cells Holdings LLC were $213 million and $465 million in the three and nine months ended September 30, 2025 and $309 million and $788 million in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to EBIT-adjusted and segment profit (loss)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Arial" w:cs="Arial" w:eastAsia="Arial" w:hAnsi="Arial"/>
                <w:sz w:val="14"/>
                <w:szCs w:val="14"/>
                <w:b w:val="1"/>
                <w:bCs w:val="1"/>
                <w:color w:val="auto"/>
              </w:rPr>
              <w:t>September 30, 2024</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8,969</w:t>
            </w: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21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21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EV strategic realignment(b)</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OnStar Smart Driver(c)</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Cruise restructuring(d)</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7"/>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Headquarters relocation(e)</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Ultium strategic realignment(f)</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restructuring actions(g)</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Restructuring actions(h)</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7"/>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GMI plant wind down(i)</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Buick dealer strategy(j)</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0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w:t>
            </w:r>
          </w:p>
        </w:tc>
      </w:tr>
      <w:tr>
        <w:trPr>
          <w:trHeight w:val="19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12,254</w:t>
            </w:r>
          </w:p>
        </w:tc>
      </w:tr>
      <w:tr>
        <w:trPr>
          <w:trHeight w:val="217"/>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4120" w:type="dxa"/>
            <w:vAlign w:val="bottom"/>
          </w:tcPr>
          <w:p>
            <w:pPr>
              <w:ind w:left="140"/>
              <w:spacing w:after="0"/>
              <w:rPr>
                <w:sz w:val="20"/>
                <w:szCs w:val="20"/>
                <w:color w:val="auto"/>
              </w:rPr>
            </w:pPr>
            <w:r>
              <w:rPr>
                <w:rFonts w:ascii="Arial" w:cs="Arial" w:eastAsia="Arial" w:hAnsi="Arial"/>
                <w:sz w:val="16"/>
                <w:szCs w:val="16"/>
                <w:color w:val="auto"/>
              </w:rPr>
              <w:t>Cruise</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17"/>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Financial(k)</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13,299</w:t>
            </w: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eliminations(l)</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net loss (income) attributable to noncontrolling interests.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our planned strategic realignment of our EV capacity and manufacturing footprint to expected consumer demand.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investigations and litigation associated with our former OnStar Smart Driver product.</w:t>
      </w:r>
    </w:p>
    <w:p>
      <w:pPr>
        <w:spacing w:after="0" w:line="14"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 and other relocation expenditures.</w:t>
      </w:r>
    </w:p>
    <w:p>
      <w:pPr>
        <w:spacing w:after="0" w:line="175"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Ultium Cells Holdings LLC charges from a strategic realignment to have the right manufacturing and cell capabilities in place to meet EV demand and expected growth.</w:t>
      </w:r>
    </w:p>
    <w:p>
      <w:pPr>
        <w:ind w:left="340" w:hanging="332"/>
        <w:spacing w:after="0" w:line="26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employee separation charges.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wind down of our manufacturing operations in Colombia and Ecuador.</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hanging="332"/>
        <w:spacing w:after="0" w:line="284" w:lineRule="auto"/>
        <w:tabs>
          <w:tab w:leader="none" w:pos="3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corporate expenditures, legacy costs from the Opel/Vauxhall Business (primarily pension costs)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to EPS-diluted-adjusted (dollars in millions, except per share amounts):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1"/>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3"/>
                <w:szCs w:val="13"/>
                <w:b w:val="1"/>
                <w:bCs w:val="1"/>
                <w:color w:val="auto"/>
              </w:rPr>
              <w:t>September 30, 2025</w:t>
            </w:r>
          </w:p>
        </w:tc>
        <w:tc>
          <w:tcPr>
            <w:tcW w:w="140" w:type="dxa"/>
            <w:vAlign w:val="bottom"/>
          </w:tcPr>
          <w:p>
            <w:pPr>
              <w:spacing w:after="0"/>
              <w:rPr>
                <w:sz w:val="14"/>
                <w:szCs w:val="14"/>
                <w:color w:val="auto"/>
              </w:rPr>
            </w:pPr>
          </w:p>
        </w:tc>
        <w:tc>
          <w:tcPr>
            <w:tcW w:w="1640" w:type="dxa"/>
            <w:vAlign w:val="bottom"/>
            <w:gridSpan w:val="4"/>
          </w:tcPr>
          <w:p>
            <w:pPr>
              <w:jc w:val="right"/>
              <w:ind w:right="222"/>
              <w:spacing w:after="0"/>
              <w:rPr>
                <w:sz w:val="20"/>
                <w:szCs w:val="20"/>
                <w:color w:val="auto"/>
              </w:rPr>
            </w:pPr>
            <w:r>
              <w:rPr>
                <w:rFonts w:ascii="Arial" w:cs="Arial" w:eastAsia="Arial" w:hAnsi="Arial"/>
                <w:sz w:val="13"/>
                <w:szCs w:val="13"/>
                <w:b w:val="1"/>
                <w:bCs w:val="1"/>
                <w:color w:val="auto"/>
              </w:rPr>
              <w:t>September 30, 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3"/>
                <w:szCs w:val="13"/>
                <w:b w:val="1"/>
                <w:bCs w:val="1"/>
                <w:color w:val="auto"/>
              </w:rPr>
              <w:t>September 30, 2025</w:t>
            </w:r>
          </w:p>
        </w:tc>
        <w:tc>
          <w:tcPr>
            <w:tcW w:w="140" w:type="dxa"/>
            <w:vAlign w:val="bottom"/>
          </w:tcPr>
          <w:p>
            <w:pPr>
              <w:spacing w:after="0"/>
              <w:rPr>
                <w:sz w:val="14"/>
                <w:szCs w:val="14"/>
                <w:color w:val="auto"/>
              </w:rPr>
            </w:pPr>
          </w:p>
        </w:tc>
        <w:tc>
          <w:tcPr>
            <w:tcW w:w="1640" w:type="dxa"/>
            <w:vAlign w:val="bottom"/>
            <w:gridSpan w:val="4"/>
          </w:tcPr>
          <w:p>
            <w:pPr>
              <w:jc w:val="right"/>
              <w:ind w:right="222"/>
              <w:spacing w:after="0"/>
              <w:rPr>
                <w:sz w:val="20"/>
                <w:szCs w:val="20"/>
                <w:color w:val="auto"/>
              </w:rPr>
            </w:pPr>
            <w:r>
              <w:rPr>
                <w:rFonts w:ascii="Arial" w:cs="Arial" w:eastAsia="Arial" w:hAnsi="Arial"/>
                <w:sz w:val="13"/>
                <w:szCs w:val="13"/>
                <w:b w:val="1"/>
                <w:bCs w:val="1"/>
                <w:color w:val="auto"/>
              </w:rPr>
              <w:t>September 30, 2024</w:t>
            </w:r>
          </w:p>
        </w:tc>
      </w:tr>
      <w:tr>
        <w:trPr>
          <w:trHeight w:val="169"/>
        </w:trPr>
        <w:tc>
          <w:tcPr>
            <w:tcW w:w="3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5"/>
              </w:rPr>
              <w:t>Per Share</w:t>
            </w: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center"/>
              <w:ind w:left="164"/>
              <w:spacing w:after="0"/>
              <w:rPr>
                <w:sz w:val="20"/>
                <w:szCs w:val="20"/>
                <w:color w:val="auto"/>
              </w:rPr>
            </w:pPr>
            <w:r>
              <w:rPr>
                <w:rFonts w:ascii="Arial" w:cs="Arial" w:eastAsia="Arial" w:hAnsi="Arial"/>
                <w:sz w:val="16"/>
                <w:szCs w:val="16"/>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8,914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64"/>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Return from preferred shareholders(c)</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44"/>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EPS-diluted-adjusted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7,933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center"/>
              <w:ind w:left="164"/>
              <w:spacing w:after="0"/>
              <w:rPr>
                <w:sz w:val="20"/>
                <w:szCs w:val="20"/>
                <w:color w:val="auto"/>
              </w:rPr>
            </w:pPr>
            <w:r>
              <w:rPr>
                <w:rFonts w:ascii="Arial" w:cs="Arial" w:eastAsia="Arial" w:hAnsi="Arial"/>
                <w:sz w:val="16"/>
                <w:szCs w:val="16"/>
                <w:color w:val="auto"/>
              </w:rPr>
              <w:t>8.09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5" w:lineRule="exact"/>
        <w:rPr>
          <w:rFonts w:ascii="Arial" w:cs="Arial" w:eastAsia="Arial" w:hAnsi="Arial"/>
          <w:sz w:val="14"/>
          <w:szCs w:val="14"/>
          <w:color w:val="auto"/>
        </w:rPr>
      </w:pPr>
    </w:p>
    <w:p>
      <w:pPr>
        <w:ind w:left="340" w:hanging="332"/>
        <w:spacing w:after="0" w:line="26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 in the nine months ended September 30, 2025.</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to ETR-adjusted (dollars in millions):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7"/>
              </w:rPr>
              <w:t>September 30, 2025</w:t>
            </w:r>
          </w:p>
        </w:tc>
        <w:tc>
          <w:tcPr>
            <w:tcW w:w="140" w:type="dxa"/>
            <w:vAlign w:val="bottom"/>
          </w:tcPr>
          <w:p>
            <w:pPr>
              <w:spacing w:after="0"/>
              <w:rPr>
                <w:sz w:val="14"/>
                <w:szCs w:val="14"/>
                <w:color w:val="auto"/>
              </w:rPr>
            </w:pPr>
          </w:p>
        </w:tc>
        <w:tc>
          <w:tcPr>
            <w:tcW w:w="2120" w:type="dxa"/>
            <w:vAlign w:val="bottom"/>
            <w:gridSpan w:val="6"/>
          </w:tcPr>
          <w:p>
            <w:pPr>
              <w:jc w:val="right"/>
              <w:ind w:right="477"/>
              <w:spacing w:after="0"/>
              <w:rPr>
                <w:sz w:val="20"/>
                <w:szCs w:val="20"/>
                <w:color w:val="auto"/>
              </w:rPr>
            </w:pPr>
            <w:r>
              <w:rPr>
                <w:rFonts w:ascii="Arial" w:cs="Arial" w:eastAsia="Arial" w:hAnsi="Arial"/>
                <w:sz w:val="13"/>
                <w:szCs w:val="13"/>
                <w:b w:val="1"/>
                <w:bCs w:val="1"/>
                <w:color w:val="auto"/>
              </w:rPr>
              <w:t>September 30, 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ind w:left="480"/>
              <w:spacing w:after="0"/>
              <w:rPr>
                <w:sz w:val="20"/>
                <w:szCs w:val="20"/>
                <w:color w:val="auto"/>
              </w:rPr>
            </w:pPr>
            <w:r>
              <w:rPr>
                <w:rFonts w:ascii="Arial" w:cs="Arial" w:eastAsia="Arial" w:hAnsi="Arial"/>
                <w:sz w:val="13"/>
                <w:szCs w:val="13"/>
                <w:b w:val="1"/>
                <w:bCs w:val="1"/>
                <w:color w:val="auto"/>
              </w:rPr>
              <w:t>September 30, 2025</w:t>
            </w:r>
          </w:p>
        </w:tc>
        <w:tc>
          <w:tcPr>
            <w:tcW w:w="160" w:type="dxa"/>
            <w:vAlign w:val="bottom"/>
          </w:tcPr>
          <w:p>
            <w:pPr>
              <w:spacing w:after="0"/>
              <w:rPr>
                <w:sz w:val="14"/>
                <w:szCs w:val="14"/>
                <w:color w:val="auto"/>
              </w:rPr>
            </w:pPr>
          </w:p>
        </w:tc>
        <w:tc>
          <w:tcPr>
            <w:tcW w:w="2320" w:type="dxa"/>
            <w:vAlign w:val="bottom"/>
            <w:gridSpan w:val="6"/>
          </w:tcPr>
          <w:p>
            <w:pPr>
              <w:jc w:val="center"/>
              <w:ind w:right="117"/>
              <w:spacing w:after="0"/>
              <w:rPr>
                <w:sz w:val="20"/>
                <w:szCs w:val="20"/>
                <w:color w:val="auto"/>
              </w:rPr>
            </w:pPr>
            <w:r>
              <w:rPr>
                <w:rFonts w:ascii="Arial" w:cs="Arial" w:eastAsia="Arial" w:hAnsi="Arial"/>
                <w:sz w:val="13"/>
                <w:szCs w:val="13"/>
                <w:b w:val="1"/>
                <w:bCs w:val="1"/>
                <w:color w:val="auto"/>
                <w:w w:val="97"/>
              </w:rPr>
              <w:t>September 30, 2024</w:t>
            </w:r>
          </w:p>
        </w:tc>
        <w:tc>
          <w:tcPr>
            <w:tcW w:w="0" w:type="dxa"/>
            <w:vAlign w:val="bottom"/>
          </w:tcPr>
          <w:p>
            <w:pPr>
              <w:spacing w:after="0"/>
              <w:rPr>
                <w:sz w:val="1"/>
                <w:szCs w:val="1"/>
                <w:color w:val="auto"/>
              </w:rPr>
            </w:pPr>
          </w:p>
        </w:tc>
      </w:tr>
      <w:tr>
        <w:trPr>
          <w:trHeight w:val="104"/>
        </w:trPr>
        <w:tc>
          <w:tcPr>
            <w:tcW w:w="1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Income</w:t>
            </w:r>
          </w:p>
        </w:tc>
        <w:tc>
          <w:tcPr>
            <w:tcW w:w="6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240"/>
              <w:spacing w:after="0" w:line="104" w:lineRule="exact"/>
              <w:rPr>
                <w:sz w:val="20"/>
                <w:szCs w:val="20"/>
                <w:color w:val="auto"/>
              </w:rPr>
            </w:pPr>
            <w:r>
              <w:rPr>
                <w:rFonts w:ascii="Arial" w:cs="Arial" w:eastAsia="Arial" w:hAnsi="Arial"/>
                <w:sz w:val="11"/>
                <w:szCs w:val="11"/>
                <w:b w:val="1"/>
                <w:bCs w:val="1"/>
                <w:color w:val="auto"/>
                <w:w w:val="98"/>
              </w:rPr>
              <w:t>Income</w:t>
            </w:r>
          </w:p>
        </w:tc>
        <w:tc>
          <w:tcPr>
            <w:tcW w:w="580" w:type="dxa"/>
            <w:vAlign w:val="bottom"/>
            <w:tcBorders>
              <w:top w:val="single" w:sz="8" w:color="auto"/>
            </w:tcBorders>
            <w:gridSpan w:val="2"/>
          </w:tcPr>
          <w:p>
            <w:pPr>
              <w:jc w:val="center"/>
              <w:spacing w:after="0" w:line="104"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220"/>
              <w:spacing w:after="0" w:line="104" w:lineRule="exact"/>
              <w:rPr>
                <w:sz w:val="20"/>
                <w:szCs w:val="20"/>
                <w:color w:val="auto"/>
              </w:rPr>
            </w:pPr>
            <w:r>
              <w:rPr>
                <w:rFonts w:ascii="Arial" w:cs="Arial" w:eastAsia="Arial" w:hAnsi="Arial"/>
                <w:sz w:val="11"/>
                <w:szCs w:val="11"/>
                <w:b w:val="1"/>
                <w:bCs w:val="1"/>
                <w:color w:val="auto"/>
                <w:w w:val="98"/>
              </w:rPr>
              <w:t>Income</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Income tax</w:t>
            </w: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Effective tax</w:t>
            </w:r>
          </w:p>
        </w:tc>
        <w:tc>
          <w:tcPr>
            <w:tcW w:w="140" w:type="dxa"/>
            <w:vAlign w:val="bottom"/>
          </w:tcPr>
          <w:p>
            <w:pPr>
              <w:spacing w:after="0"/>
              <w:rPr>
                <w:sz w:val="9"/>
                <w:szCs w:val="9"/>
                <w:color w:val="auto"/>
              </w:rPr>
            </w:pPr>
          </w:p>
        </w:tc>
        <w:tc>
          <w:tcPr>
            <w:tcW w:w="6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before</w:t>
            </w:r>
          </w:p>
        </w:tc>
        <w:tc>
          <w:tcPr>
            <w:tcW w:w="160" w:type="dxa"/>
            <w:vAlign w:val="bottom"/>
          </w:tcPr>
          <w:p>
            <w:pPr>
              <w:spacing w:after="0"/>
              <w:rPr>
                <w:sz w:val="9"/>
                <w:szCs w:val="9"/>
                <w:color w:val="auto"/>
              </w:rPr>
            </w:pPr>
          </w:p>
        </w:tc>
        <w:tc>
          <w:tcPr>
            <w:tcW w:w="42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87"/>
              </w:rPr>
              <w:t>tax</w:t>
            </w:r>
          </w:p>
        </w:tc>
        <w:tc>
          <w:tcPr>
            <w:tcW w:w="120" w:type="dxa"/>
            <w:vAlign w:val="bottom"/>
          </w:tcPr>
          <w:p>
            <w:pPr>
              <w:spacing w:after="0"/>
              <w:rPr>
                <w:sz w:val="9"/>
                <w:szCs w:val="9"/>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9"/>
                <w:szCs w:val="9"/>
                <w:color w:val="auto"/>
              </w:rPr>
            </w:pPr>
          </w:p>
        </w:tc>
        <w:tc>
          <w:tcPr>
            <w:tcW w:w="68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5"/>
              </w:rPr>
              <w:t>before</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Effective tax</w:t>
            </w:r>
          </w:p>
        </w:tc>
        <w:tc>
          <w:tcPr>
            <w:tcW w:w="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Income before</w:t>
            </w: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before</w:t>
            </w:r>
          </w:p>
        </w:tc>
        <w:tc>
          <w:tcPr>
            <w:tcW w:w="100" w:type="dxa"/>
            <w:vAlign w:val="bottom"/>
          </w:tcPr>
          <w:p>
            <w:pPr>
              <w:spacing w:after="0"/>
              <w:rPr>
                <w:sz w:val="9"/>
                <w:szCs w:val="9"/>
                <w:color w:val="auto"/>
              </w:rPr>
            </w:pPr>
          </w:p>
        </w:tc>
        <w:tc>
          <w:tcPr>
            <w:tcW w:w="540" w:type="dxa"/>
            <w:vAlign w:val="bottom"/>
          </w:tcPr>
          <w:p>
            <w:pPr>
              <w:jc w:val="center"/>
              <w:ind w:right="50"/>
              <w:spacing w:after="0" w:line="108" w:lineRule="exact"/>
              <w:rPr>
                <w:sz w:val="20"/>
                <w:szCs w:val="20"/>
                <w:color w:val="auto"/>
              </w:rPr>
            </w:pPr>
            <w:r>
              <w:rPr>
                <w:rFonts w:ascii="Arial" w:cs="Arial" w:eastAsia="Arial" w:hAnsi="Arial"/>
                <w:sz w:val="11"/>
                <w:szCs w:val="11"/>
                <w:b w:val="1"/>
                <w:bCs w:val="1"/>
                <w:color w:val="auto"/>
                <w:w w:val="95"/>
              </w:rPr>
              <w:t>expense</w:t>
            </w: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income</w:t>
            </w:r>
          </w:p>
        </w:tc>
        <w:tc>
          <w:tcPr>
            <w:tcW w:w="5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5"/>
              </w:rPr>
              <w:t>expense</w:t>
            </w: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income</w:t>
            </w:r>
          </w:p>
        </w:tc>
        <w:tc>
          <w:tcPr>
            <w:tcW w:w="660" w:type="dxa"/>
            <w:vAlign w:val="bottom"/>
          </w:tcPr>
          <w:p>
            <w:pPr>
              <w:jc w:val="right"/>
              <w:ind w:right="53"/>
              <w:spacing w:after="0" w:line="108" w:lineRule="exact"/>
              <w:rPr>
                <w:sz w:val="20"/>
                <w:szCs w:val="20"/>
                <w:color w:val="auto"/>
              </w:rPr>
            </w:pPr>
            <w:r>
              <w:rPr>
                <w:rFonts w:ascii="Arial" w:cs="Arial" w:eastAsia="Arial" w:hAnsi="Arial"/>
                <w:sz w:val="11"/>
                <w:szCs w:val="11"/>
                <w:b w:val="1"/>
                <w:bCs w:val="1"/>
                <w:color w:val="auto"/>
              </w:rPr>
              <w:t>expense</w:t>
            </w: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70"/>
              <w:spacing w:after="0" w:line="108" w:lineRule="exact"/>
              <w:rPr>
                <w:sz w:val="20"/>
                <w:szCs w:val="20"/>
                <w:color w:val="auto"/>
              </w:rPr>
            </w:pPr>
            <w:r>
              <w:rPr>
                <w:rFonts w:ascii="Arial" w:cs="Arial" w:eastAsia="Arial" w:hAnsi="Arial"/>
                <w:sz w:val="11"/>
                <w:szCs w:val="11"/>
                <w:b w:val="1"/>
                <w:bCs w:val="1"/>
                <w:color w:val="auto"/>
                <w:w w:val="99"/>
              </w:rPr>
              <w:t>expense</w:t>
            </w: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income taxes</w:t>
            </w:r>
          </w:p>
        </w:tc>
        <w:tc>
          <w:tcPr>
            <w:tcW w:w="100" w:type="dxa"/>
            <w:vAlign w:val="bottom"/>
          </w:tcPr>
          <w:p>
            <w:pPr>
              <w:spacing w:after="0"/>
              <w:rPr>
                <w:sz w:val="13"/>
                <w:szCs w:val="13"/>
                <w:color w:val="auto"/>
              </w:rPr>
            </w:pPr>
          </w:p>
        </w:tc>
        <w:tc>
          <w:tcPr>
            <w:tcW w:w="540" w:type="dxa"/>
            <w:vAlign w:val="bottom"/>
          </w:tcPr>
          <w:p>
            <w:pPr>
              <w:jc w:val="center"/>
              <w:ind w:right="5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4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taxes</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(benefit)</w:t>
            </w: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taxes</w:t>
            </w:r>
          </w:p>
        </w:tc>
        <w:tc>
          <w:tcPr>
            <w:tcW w:w="660" w:type="dxa"/>
            <w:vAlign w:val="bottom"/>
          </w:tcPr>
          <w:p>
            <w:pPr>
              <w:jc w:val="right"/>
              <w:ind w:right="53"/>
              <w:spacing w:after="0"/>
              <w:rPr>
                <w:sz w:val="20"/>
                <w:szCs w:val="20"/>
                <w:color w:val="auto"/>
              </w:rPr>
            </w:pPr>
            <w:r>
              <w:rPr>
                <w:rFonts w:ascii="Arial" w:cs="Arial" w:eastAsia="Arial" w:hAnsi="Arial"/>
                <w:sz w:val="11"/>
                <w:szCs w:val="11"/>
                <w:b w:val="1"/>
                <w:bCs w:val="1"/>
                <w:color w:val="auto"/>
              </w:rPr>
              <w:t>(benefit)</w:t>
            </w:r>
          </w:p>
        </w:tc>
        <w:tc>
          <w:tcPr>
            <w:tcW w:w="120" w:type="dxa"/>
            <w:vAlign w:val="bottom"/>
          </w:tcPr>
          <w:p>
            <w:pPr>
              <w:spacing w:after="0"/>
              <w:rPr>
                <w:sz w:val="13"/>
                <w:szCs w:val="13"/>
                <w:color w:val="auto"/>
              </w:rPr>
            </w:pPr>
          </w:p>
        </w:tc>
        <w:tc>
          <w:tcPr>
            <w:tcW w:w="900" w:type="dxa"/>
            <w:vAlign w:val="bottom"/>
            <w:gridSpan w:val="2"/>
          </w:tcPr>
          <w:p>
            <w:pPr>
              <w:ind w:left="300"/>
              <w:spacing w:after="0"/>
              <w:rPr>
                <w:sz w:val="20"/>
                <w:szCs w:val="20"/>
                <w:color w:val="auto"/>
              </w:rPr>
            </w:pPr>
            <w:r>
              <w:rPr>
                <w:rFonts w:ascii="Arial" w:cs="Arial" w:eastAsia="Arial" w:hAnsi="Arial"/>
                <w:sz w:val="11"/>
                <w:szCs w:val="11"/>
                <w:b w:val="1"/>
                <w:bCs w:val="1"/>
                <w:color w:val="auto"/>
              </w:rPr>
              <w:t>rate</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income taxes</w:t>
            </w:r>
          </w:p>
        </w:tc>
        <w:tc>
          <w:tcPr>
            <w:tcW w:w="120" w:type="dxa"/>
            <w:vAlign w:val="bottom"/>
          </w:tcPr>
          <w:p>
            <w:pPr>
              <w:spacing w:after="0"/>
              <w:rPr>
                <w:sz w:val="13"/>
                <w:szCs w:val="13"/>
                <w:color w:val="auto"/>
              </w:rPr>
            </w:pPr>
          </w:p>
        </w:tc>
        <w:tc>
          <w:tcPr>
            <w:tcW w:w="580" w:type="dxa"/>
            <w:vAlign w:val="bottom"/>
          </w:tcPr>
          <w:p>
            <w:pPr>
              <w:jc w:val="center"/>
              <w:ind w:right="5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13"/>
                <w:szCs w:val="13"/>
                <w:color w:val="auto"/>
              </w:rPr>
            </w:pPr>
          </w:p>
        </w:tc>
        <w:tc>
          <w:tcPr>
            <w:tcW w:w="780" w:type="dxa"/>
            <w:vAlign w:val="bottom"/>
          </w:tcPr>
          <w:p>
            <w:pPr>
              <w:jc w:val="right"/>
              <w:ind w:right="237"/>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16"/>
        </w:trPr>
        <w:tc>
          <w:tcPr>
            <w:tcW w:w="1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1,419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709</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7,366</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6"/>
                <w:szCs w:val="16"/>
                <w:color w:val="auto"/>
              </w:rPr>
              <w:t>$ 1,326</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18.0 %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11,076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2,238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15"/>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Adjustments(a)</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1,933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2,622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ETR-adjusted</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3,352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663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4,135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805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9,988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6"/>
                <w:szCs w:val="16"/>
                <w:color w:val="auto"/>
              </w:rPr>
              <w:t>$ 1,932</w:t>
            </w: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19.3 %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12,418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2,528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340" w:hanging="332"/>
        <w:spacing w:after="0" w:line="272"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84"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2025</w:t>
            </w:r>
          </w:p>
        </w:tc>
        <w:tc>
          <w:tcPr>
            <w:tcW w:w="200" w:type="dxa"/>
            <w:vAlign w:val="bottom"/>
          </w:tcPr>
          <w:p>
            <w:pPr>
              <w:spacing w:after="0"/>
              <w:rPr>
                <w:sz w:val="14"/>
                <w:szCs w:val="14"/>
                <w:color w:val="auto"/>
              </w:rPr>
            </w:pPr>
          </w:p>
        </w:tc>
        <w:tc>
          <w:tcPr>
            <w:tcW w:w="1560" w:type="dxa"/>
            <w:vAlign w:val="bottom"/>
          </w:tcPr>
          <w:p>
            <w:pPr>
              <w:jc w:val="right"/>
              <w:ind w:right="224"/>
              <w:spacing w:after="0"/>
              <w:rPr>
                <w:sz w:val="20"/>
                <w:szCs w:val="20"/>
                <w:color w:val="auto"/>
              </w:rPr>
            </w:pPr>
            <w:r>
              <w:rPr>
                <w:rFonts w:ascii="Arial" w:cs="Arial" w:eastAsia="Arial" w:hAnsi="Arial"/>
                <w:sz w:val="13"/>
                <w:szCs w:val="13"/>
                <w:b w:val="1"/>
                <w:bCs w:val="1"/>
                <w:color w:val="auto"/>
              </w:rPr>
              <w:t>September 30, 2024</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11.1</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26"/>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69.5</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600" w:type="dxa"/>
            <w:vAlign w:val="bottom"/>
          </w:tcPr>
          <w:p>
            <w:pPr>
              <w:jc w:val="right"/>
              <w:ind w:right="140"/>
              <w:spacing w:after="0"/>
              <w:rPr>
                <w:sz w:val="20"/>
                <w:szCs w:val="20"/>
                <w:color w:val="auto"/>
              </w:rPr>
            </w:pPr>
            <w:r>
              <w:rPr>
                <w:rFonts w:ascii="Arial" w:cs="Arial" w:eastAsia="Arial" w:hAnsi="Arial"/>
                <w:sz w:val="14"/>
                <w:szCs w:val="14"/>
                <w:b w:val="1"/>
                <w:bCs w:val="1"/>
                <w:color w:val="auto"/>
              </w:rPr>
              <w:t>September 30, 2024</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14.2</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69.5</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160" w:type="dxa"/>
            <w:vAlign w:val="bottom"/>
          </w:tcPr>
          <w:p>
            <w:pPr>
              <w:spacing w:after="0"/>
              <w:rPr>
                <w:sz w:val="18"/>
                <w:szCs w:val="18"/>
                <w:color w:val="auto"/>
              </w:rPr>
            </w:pP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9.8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(22.7)</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73.0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automotive cash provided by operating activities to adjusted automotive free cash flow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2025</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2024</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19,174</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(7,495)</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Restructuring actions</w:t>
            </w: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GMI plant wind down</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China restructuring actions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Ultium strategic realignment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Employee separation costs</w:t>
            </w: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2025, 26.4% of GM's wholesale vehicle sales volume was generated outside the U.S. The following table summarizes wholesale vehicle sales by our Automotive operations (vehicles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80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94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September 30, 2025</w:t>
            </w: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2025</w:t>
            </w:r>
          </w:p>
        </w:tc>
        <w:tc>
          <w:tcPr>
            <w:tcW w:w="1500" w:type="dxa"/>
            <w:vAlign w:val="bottom"/>
          </w:tcPr>
          <w:p>
            <w:pPr>
              <w:jc w:val="right"/>
              <w:ind w:right="1"/>
              <w:spacing w:after="0"/>
              <w:rPr>
                <w:sz w:val="20"/>
                <w:szCs w:val="20"/>
                <w:color w:val="auto"/>
              </w:rPr>
            </w:pPr>
            <w:r>
              <w:rPr>
                <w:rFonts w:ascii="Arial" w:cs="Arial" w:eastAsia="Arial" w:hAnsi="Arial"/>
                <w:sz w:val="14"/>
                <w:szCs w:val="14"/>
                <w:b w:val="1"/>
                <w:bCs w:val="1"/>
                <w:color w:val="auto"/>
              </w:rPr>
              <w:t>September 30, 2024</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2,588</w:t>
            </w:r>
          </w:p>
        </w:tc>
      </w:tr>
      <w:tr>
        <w:trPr>
          <w:trHeight w:val="21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383</w:t>
            </w:r>
          </w:p>
        </w:tc>
      </w:tr>
      <w:tr>
        <w:trPr>
          <w:trHeight w:val="23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2,971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September 30, 2025</w:t>
            </w:r>
          </w:p>
        </w:tc>
        <w:tc>
          <w:tcPr>
            <w:tcW w:w="8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September 30, 2024</w:t>
            </w:r>
          </w:p>
        </w:tc>
        <w:tc>
          <w:tcPr>
            <w:tcW w:w="80" w:type="dxa"/>
            <w:vAlign w:val="bottom"/>
          </w:tcPr>
          <w:p>
            <w:pPr>
              <w:spacing w:after="0"/>
              <w:rPr>
                <w:sz w:val="17"/>
                <w:szCs w:val="17"/>
                <w:color w:val="auto"/>
              </w:rPr>
            </w:pPr>
          </w:p>
        </w:tc>
        <w:tc>
          <w:tcPr>
            <w:tcW w:w="230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80" w:type="dxa"/>
            <w:vAlign w:val="bottom"/>
          </w:tcPr>
          <w:p>
            <w:pPr>
              <w:spacing w:after="0"/>
              <w:rPr>
                <w:sz w:val="12"/>
                <w:szCs w:val="12"/>
                <w:color w:val="auto"/>
              </w:rPr>
            </w:pPr>
          </w:p>
        </w:tc>
        <w:tc>
          <w:tcPr>
            <w:tcW w:w="90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184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12,026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12.5 %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12.8 %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15,523</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14,910</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133"/>
        </w:trPr>
        <w:tc>
          <w:tcPr>
            <w:tcW w:w="18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 East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40" w:type="dxa"/>
            <w:vAlign w:val="bottom"/>
          </w:tcPr>
          <w:p>
            <w:pPr>
              <w:ind w:left="180"/>
              <w:spacing w:after="0"/>
              <w:rPr>
                <w:sz w:val="20"/>
                <w:szCs w:val="20"/>
                <w:color w:val="auto"/>
              </w:rPr>
            </w:pPr>
            <w:r>
              <w:rPr>
                <w:rFonts w:ascii="Arial" w:cs="Arial" w:eastAsia="Arial" w:hAnsi="Arial"/>
                <w:sz w:val="14"/>
                <w:szCs w:val="14"/>
                <w:b w:val="1"/>
                <w:bCs w:val="1"/>
                <w:color w:val="auto"/>
              </w:rPr>
              <w:t>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18,123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2.7 %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2.7 %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16,603</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16,310</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37"/>
        </w:trPr>
        <w:tc>
          <w:tcPr>
            <w:tcW w:w="18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 Middle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12,499</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12,121</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35,903</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1,729</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34,433</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90"/>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East and 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991</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3,176</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2,849</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192"/>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spacing w:after="0"/>
              <w:rPr>
                <w:sz w:val="20"/>
                <w:szCs w:val="20"/>
                <w:color w:val="auto"/>
              </w:rPr>
            </w:pPr>
            <w:r>
              <w:rPr>
                <w:rFonts w:ascii="Arial" w:cs="Arial" w:eastAsia="Arial" w:hAnsi="Arial"/>
                <w:sz w:val="14"/>
                <w:szCs w:val="14"/>
                <w:color w:val="auto"/>
              </w:rPr>
              <w:t>18,868</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1,563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18,185</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1,476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54,602</w:t>
            </w: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4,549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52,193</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12,493</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12,541</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6.9 %</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67,095</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64,734</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2,080</w:t>
            </w: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2,207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32.6 %</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13.8 %</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13.1 %</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7,018</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6,683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2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12,026</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978</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19,299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18,123</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Cuba, Iran, North Korea, Syria and certain regions of Ukraine are subject to broad economic sanctions. Accordingly, these countries are excluded from industry sales data and corresponding calculation of market share.</w:t>
      </w:r>
    </w:p>
    <w:p>
      <w:pPr>
        <w:spacing w:after="0" w:line="289"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3320" w:type="dxa"/>
            <w:vAlign w:val="bottom"/>
            <w:tcBorders>
              <w:bottom w:val="single" w:sz="8" w:color="auto"/>
            </w:tcBorders>
            <w:gridSpan w:val="3"/>
          </w:tcPr>
          <w:p>
            <w:pPr>
              <w:jc w:val="right"/>
              <w:ind w:right="88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8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2025</w:t>
            </w: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2024</w:t>
            </w: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2025</w:t>
            </w:r>
          </w:p>
        </w:tc>
        <w:tc>
          <w:tcPr>
            <w:tcW w:w="1620" w:type="dxa"/>
            <w:vAlign w:val="bottom"/>
          </w:tcPr>
          <w:p>
            <w:pPr>
              <w:jc w:val="right"/>
              <w:ind w:right="61"/>
              <w:spacing w:after="0"/>
              <w:rPr>
                <w:sz w:val="20"/>
                <w:szCs w:val="20"/>
                <w:color w:val="auto"/>
              </w:rPr>
            </w:pPr>
            <w:r>
              <w:rPr>
                <w:rFonts w:ascii="Arial" w:cs="Arial" w:eastAsia="Arial" w:hAnsi="Arial"/>
                <w:sz w:val="14"/>
                <w:szCs w:val="14"/>
                <w:b w:val="1"/>
                <w:bCs w:val="1"/>
                <w:color w:val="auto"/>
              </w:rPr>
              <w:t>September 30, 2024</w:t>
            </w: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6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148</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447</w:t>
            </w: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274</w:t>
            </w:r>
          </w:p>
        </w:tc>
      </w:tr>
      <w:tr>
        <w:trPr>
          <w:trHeight w:val="23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fleet sales</w:t>
            </w:r>
          </w:p>
        </w:tc>
        <w:tc>
          <w:tcPr>
            <w:tcW w:w="16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721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Fleet sales as a percentage of total vehicle sales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149"/>
        </w:trPr>
        <w:tc>
          <w:tcPr>
            <w:tcW w:w="4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 capacity two-shift utilization</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2025-10-21T06:41:26Z</dcterms:created>
  <dcterms:modified xsi:type="dcterms:W3CDTF">2025-10-21T06:41:26Z</dcterms:modified>
</cp:coreProperties>
</file>