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41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4111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3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Harvey Rory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20"/>
        <w:spacing w:after="0" w:line="310"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0" w:lineRule="exact"/>
        <w:rPr>
          <w:sz w:val="24"/>
          <w:szCs w:val="24"/>
          <w:color w:val="auto"/>
        </w:rPr>
      </w:pPr>
    </w:p>
    <w:p>
      <w:pPr>
        <w:sectPr>
          <w:pgSz w:w="11900" w:h="16838" w:orient="portrait"/>
          <w:cols w:equalWidth="0" w:num="3">
            <w:col w:w="3200" w:space="720"/>
            <w:col w:w="3103" w:space="720"/>
            <w:col w:w="3337"/>
          </w:cols>
          <w:pgMar w:left="460" w:top="216" w:right="359" w:bottom="376"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right"/>
              <w:ind w:right="154"/>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48265</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10/23/2024</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5,652</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14,165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10/23/2024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5,652</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54.01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10/23/2024</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3,655</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9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39</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12,168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10/23/2024</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3,655</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8,513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5,652</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right="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w:t>
            </w: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10/23/2024</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5,652</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02/07/2033</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11,304</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3,655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w:t>
            </w: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10/23/2024</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3,655</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02/13/2029</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$54.00 to $54.03, inclusive. The Reporting Person undertakes to provide to the SEC, GM and any security holder, upon request, full information regarding the number of shares sold at each price point within the ranges set forth in this footnote.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7, 2023, and one-third has vested. The remaining two installments will vest on February 7, 2025 and February 7,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2019 and are fully vested.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Tia Y. Turk, Attorney-in-</w:t>
            </w:r>
          </w:p>
        </w:tc>
        <w:tc>
          <w:tcPr>
            <w:tcW w:w="1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10/24/2024</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Fact for Mr. Harvey</w:t>
            </w:r>
          </w:p>
        </w:tc>
        <w:tc>
          <w:tcPr>
            <w:tcW w:w="6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795"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2024-10-24T15:54:50Z</dcterms:created>
  <dcterms:modified xsi:type="dcterms:W3CDTF">2024-10-24T15:54:50Z</dcterms:modified>
</cp:coreProperties>
</file>