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Neumann Karl-Thomas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6"/>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5,938</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5,938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3,117</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2,821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2,821</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79"/>
              </w:rPr>
              <w:t>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0000FF"/>
                <w:w w:val="93"/>
              </w:rPr>
              <w:t>5,938</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5,938</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5,938</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 in cash, less a portion withheld for taxes.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2013 and began being settled in three equal, annual installments on March 31,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Dr.</w:t>
      </w:r>
      <w:r>
        <w:rPr>
          <w:sz w:val="20"/>
          <w:szCs w:val="20"/>
          <w:color w:val="auto"/>
        </w:rPr>
        <w:tab/>
      </w:r>
      <w:r>
        <w:rPr>
          <w:rFonts w:ascii="Arial" w:cs="Arial" w:eastAsia="Arial" w:hAnsi="Arial"/>
          <w:sz w:val="15"/>
          <w:szCs w:val="15"/>
          <w:color w:val="0000FF"/>
        </w:rPr>
        <w:t>04/02/2015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Neumann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33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30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2019-12-08T22:20:11Z</dcterms:created>
  <dcterms:modified xsi:type="dcterms:W3CDTF">2019-12-08T22:20:11Z</dcterms:modified>
</cp:coreProperties>
</file>