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w:t>
      </w:r>
      <w:r>
        <w:rPr>
          <w:rFonts w:ascii="Arial" w:cs="Arial" w:eastAsia="Arial" w:hAnsi="Arial"/>
          <w:sz w:val="18"/>
          <w:szCs w:val="18"/>
          <w:color w:val="auto"/>
        </w:rPr>
        <w:t>GM ANNUAL MEETING: IMPORTANT MESSAGE FROM RANDY ARICKX AND JILL SUTTON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promised in our May 19th email to you that we would provide occasional updates. Accordingly, we thought you might be interested in the attached press release that reports both ISS and Glass Lewis have recommended GM shareholders vote FOR ALL of the GM Board’s Nominees and AGAINST the Greenlight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you know, you can learn more by reviewing our 2017 Proxy Statement and related materials we have made available at www.gmproxy.com.</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you have further questions or if we have not already spoken with you, we would welcome the opportunity to address your questions and discuss our thoughts on these matters with you before you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investment in 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Randy Arickx, Vice President, Corporate Communications and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Sutton, Corporate Secretary and Deputy General Counsel, Corporate, Finance &amp; Strategic Transactions</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Important Additional Information Regarding Proxy Solicitation: </w:t>
      </w:r>
      <w:r>
        <w:rPr>
          <w:rFonts w:ascii="Arial" w:cs="Arial" w:eastAsia="Arial" w:hAnsi="Arial"/>
          <w:sz w:val="17"/>
          <w:szCs w:val="17"/>
          <w:color w:val="auto"/>
        </w:rPr>
        <w:t>General Motors Company (“GM”) has filed a definitive proxy statement and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r>
        <w:rPr>
          <w:sz w:val="20"/>
          <w:szCs w:val="20"/>
          <w:color w:val="auto"/>
        </w:rPr>
        <w:tab/>
      </w:r>
      <w:r>
        <w:rPr>
          <w:rFonts w:ascii="Arial" w:cs="Arial" w:eastAsia="Arial" w:hAnsi="Arial"/>
          <w:sz w:val="15"/>
          <w:szCs w:val="15"/>
          <w:b w:val="1"/>
          <w:bCs w:val="1"/>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Saturday, May 27,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Both ISS and Glass Lewis Recommend that GM Shareholders Vote FOR ALL GM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Nominees and AGAINST the Greenlight Proposal</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Institutional Shareholder Services (“ISS”), a leading independent proxy advisory firm,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has recommended that GM shareholders vote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of the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at the Company’s 2017 Annual Meeting of Shareholders to be held on June 6, 2017. Glass Lewis, another leading independent proxy advisory firm, had previously issued similar recommendations in favor of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w:t>
      </w:r>
      <w:r>
        <w:rPr>
          <w:rFonts w:ascii="Arial" w:cs="Arial" w:eastAsia="Arial" w:hAnsi="Arial"/>
          <w:sz w:val="18"/>
          <w:szCs w:val="18"/>
          <w:b w:val="1"/>
          <w:bCs w:val="1"/>
          <w:color w:val="auto"/>
        </w:rPr>
        <w:t>GM</w:t>
      </w:r>
      <w:r>
        <w:rPr>
          <w:rFonts w:ascii="Arial" w:cs="Arial" w:eastAsia="Arial" w:hAnsi="Arial"/>
          <w:sz w:val="18"/>
          <w:szCs w:val="18"/>
          <w:color w:val="auto"/>
        </w:rPr>
        <w:t xml:space="preserve"> Board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w:t>
      </w:r>
    </w:p>
    <w:p>
      <w:pPr>
        <w:spacing w:after="0" w:line="180"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color w:val="auto"/>
        </w:rPr>
        <w:t xml:space="preserve">Consistent with the ISS and Glass Lewis recommendations, GM urges shareholders to vote </w:t>
      </w:r>
      <w:r>
        <w:rPr>
          <w:rFonts w:ascii="Arial" w:cs="Arial" w:eastAsia="Arial" w:hAnsi="Arial"/>
          <w:sz w:val="17"/>
          <w:szCs w:val="17"/>
          <w:b w:val="1"/>
          <w:bCs w:val="1"/>
          <w:u w:val="single" w:color="auto"/>
          <w:color w:val="auto"/>
        </w:rPr>
        <w:t>FOR ALL</w:t>
      </w:r>
      <w:r>
        <w:rPr>
          <w:rFonts w:ascii="Arial" w:cs="Arial" w:eastAsia="Arial" w:hAnsi="Arial"/>
          <w:sz w:val="17"/>
          <w:szCs w:val="17"/>
          <w:color w:val="auto"/>
        </w:rPr>
        <w:t xml:space="preserve"> of the Board nominees and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the Greenlight proposal </w:t>
      </w:r>
      <w:r>
        <w:rPr>
          <w:rFonts w:ascii="Arial" w:cs="Arial" w:eastAsia="Arial" w:hAnsi="Arial"/>
          <w:sz w:val="17"/>
          <w:szCs w:val="17"/>
          <w:b w:val="1"/>
          <w:bCs w:val="1"/>
          <w:u w:val="single" w:color="auto"/>
          <w:color w:val="auto"/>
        </w:rPr>
        <w:t>TODAY</w:t>
      </w:r>
      <w:r>
        <w:rPr>
          <w:rFonts w:ascii="Arial" w:cs="Arial" w:eastAsia="Arial" w:hAnsi="Arial"/>
          <w:sz w:val="17"/>
          <w:szCs w:val="17"/>
          <w:color w:val="auto"/>
        </w:rPr>
        <w:t xml:space="preserve"> by telephone, online or by signing, dating and returning the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proxy card in the postage-paid envelope provided.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its May 26, 2017 report, ISS concluded:</w:t>
      </w:r>
    </w:p>
    <w:p>
      <w:pPr>
        <w:spacing w:after="0" w:line="131" w:lineRule="exact"/>
        <w:rPr>
          <w:sz w:val="20"/>
          <w:szCs w:val="20"/>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negative outcomes associated with the proposed dual class share structure combined with the lack of visibility regarding value creation for shareholders drive our recommendation against the dual class proposal.” (ISS Report, pg. 19)</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“…considering that the dissident’s dual class share proposal does not warrant shareholder support, the dissident has not made a compelling case that change at the board level focusing on the implementation of its proposal is warranted.” (ISS Report, pg. 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support of its conclusion, ISS stated:</w:t>
      </w:r>
    </w:p>
    <w:p>
      <w:pPr>
        <w:spacing w:after="0" w:line="131" w:lineRule="exact"/>
        <w:rPr>
          <w:sz w:val="20"/>
          <w:szCs w:val="20"/>
          <w:color w:val="auto"/>
        </w:rPr>
      </w:pPr>
    </w:p>
    <w:p>
      <w:pPr>
        <w:ind w:left="900" w:right="2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bottom line of this analysis is that Barra and her management team have delivered objective operational improvements.” (ISS Report, pg. 17)</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closed the performance gap relative to peers since Barra took over as CEO, while outperforming Ford, and… the market has not reacted positively to the dissident’s proposal.” (ISS Report, pg. 16)</w:t>
      </w:r>
    </w:p>
    <w:p>
      <w:pPr>
        <w:spacing w:after="0" w:line="75"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 class structure would create conflicts of interest as dividend and capital appreciation shareholders would have different objectives, adding complexity to decisions regarding the company’s capital structure and investments. For example, an investment to grow profits would primarily benefit capital appreciation shareholders.” (ISS Report, pg. 18)</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Your vote is important, no matter how many or how few shares you own. To follow the recommendations of ISS, Glass Lewis and the Board, shareholders should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your Board’s nominees and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Greenlight proposal </w:t>
      </w:r>
      <w:r>
        <w:rPr>
          <w:rFonts w:ascii="Arial" w:cs="Arial" w:eastAsia="Arial" w:hAnsi="Arial"/>
          <w:sz w:val="18"/>
          <w:szCs w:val="18"/>
          <w:b w:val="1"/>
          <w:bCs w:val="1"/>
          <w:u w:val="single" w:color="auto"/>
          <w:color w:val="auto"/>
        </w:rPr>
        <w:t>TODAY</w:t>
      </w:r>
      <w:r>
        <w:rPr>
          <w:rFonts w:ascii="Arial" w:cs="Arial" w:eastAsia="Arial" w:hAnsi="Arial"/>
          <w:sz w:val="18"/>
          <w:szCs w:val="18"/>
          <w:color w:val="auto"/>
        </w:rPr>
        <w:t xml:space="preserve"> by telephone, online or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w:t>
      </w:r>
    </w:p>
    <w:p>
      <w:pPr>
        <w:sectPr>
          <w:pgSz w:w="11900" w:h="16838" w:orient="portrait"/>
          <w:cols w:equalWidth="0" w:num="1">
            <w:col w:w="11420"/>
          </w:cols>
          <w:pgMar w:left="240" w:top="27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questions about how to vote your shares, or need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25895" cy="1586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5895" cy="1586230"/>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assistance, please contact the firm assisting us in the solicitation of proxies: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Call Toll-Free: (877) 825-8964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Collect: (212) 750-5833</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REMEMBER: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 urge you NOT to vote using any green card sent to you by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Greenlight, as doing so will revoke your vote on the WHITE proxy card.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Permission to use third-party quotes included herein neither sought nor obtained.</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Important Additional Information Regarding Proxy Solicitation: </w:t>
      </w:r>
      <w:r>
        <w:rPr>
          <w:rFonts w:ascii="Arial" w:cs="Arial" w:eastAsia="Arial" w:hAnsi="Arial"/>
          <w:sz w:val="18"/>
          <w:szCs w:val="18"/>
          <w:color w:val="auto"/>
        </w:rPr>
        <w:t>General Motors Company (“GM”) has filed a definitive proxy statement and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w:t>
      </w:r>
    </w:p>
    <w:p>
      <w:pPr>
        <w:sectPr>
          <w:pgSz w:w="11900" w:h="16838" w:orient="portrait"/>
          <w:cols w:equalWidth="0" w:num="1">
            <w:col w:w="11420"/>
          </w:cols>
          <w:pgMar w:left="240" w:top="287"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 Manager,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248-918-8946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david.barnas@gm.com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6"/>
    </w:lvl>
  </w:abstractNum>
  <w:abstractNum w:abstractNumId="9">
    <w:nsid w:val="4DB127F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2019-12-07T10:51:02Z</dcterms:created>
  <dcterms:modified xsi:type="dcterms:W3CDTF">2019-12-07T10:51:02Z</dcterms:modified>
</cp:coreProperties>
</file>