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54,359,551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54,485,396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54,485,396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72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General Motors Co.</w:t>
      </w:r>
    </w:p>
    <w:p>
      <w:pPr>
        <w:spacing w:after="0" w:line="12" w:lineRule="exact"/>
        <w:rPr>
          <w:rFonts w:ascii="Arial" w:cs="Arial" w:eastAsia="Arial" w:hAnsi="Arial"/>
          <w:sz w:val="19"/>
          <w:szCs w:val="19"/>
          <w:b w:val="1"/>
          <w:bCs w:val="1"/>
          <w:color w:val="auto"/>
        </w:rPr>
      </w:pPr>
    </w:p>
    <w:p>
      <w:pPr>
        <w:jc w:val="both"/>
        <w:ind w:left="1580" w:right="508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300 Renaissance Center, , Detroit, MI 48265-3000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580" w:right="73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37045V100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40"/>
            <w:col w:w="870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54,485,396 **</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3.8%</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2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20" w:right="78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54,359,551</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54,485,396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500" w:space="280"/>
            <w:col w:w="4240"/>
          </w:cols>
          <w:pgMar w:left="400" w:top="423" w:right="479" w:bottom="0" w:gutter="0" w:footer="0" w:header="0"/>
          <w:type w:val="continuous"/>
        </w:sectPr>
      </w:pPr>
    </w:p>
    <w:p>
      <w:pPr>
        <w:ind w:right="80"/>
        <w:spacing w:after="0" w:line="282"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line="251" w:lineRule="auto"/>
        <w:rPr>
          <w:sz w:val="20"/>
          <w:szCs w:val="20"/>
          <w:color w:val="auto"/>
        </w:rPr>
      </w:pPr>
      <w:r>
        <w:rPr>
          <w:rFonts w:ascii="Arial" w:cs="Arial" w:eastAsia="Arial" w:hAnsi="Arial"/>
          <w:sz w:val="22"/>
          <w:szCs w:val="22"/>
          <w:color w:val="auto"/>
        </w:rPr>
        <w:t>"Capital World Investors." CWI is deemed to be the beneficial owner of 54,485,396 shares or 3.8% of the 1,420,696,787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8" w:right="47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2023-02-13T13:57:04Z</dcterms:created>
  <dcterms:modified xsi:type="dcterms:W3CDTF">2023-02-13T13:57:04Z</dcterms:modified>
</cp:coreProperties>
</file>