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Common Stock, par value US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2944495</wp:posOffset>
            </wp:positionH>
            <wp:positionV relativeFrom="paragraph">
              <wp:posOffset>-10160</wp:posOffset>
            </wp:positionV>
            <wp:extent cx="13684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500" w:hanging="195"/>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52" w:lineRule="exact"/>
        <w:rPr>
          <w:rFonts w:ascii="Arial" w:cs="Arial" w:eastAsia="Arial" w:hAnsi="Arial"/>
          <w:sz w:val="18"/>
          <w:szCs w:val="18"/>
          <w:color w:val="auto"/>
        </w:rPr>
      </w:pPr>
    </w:p>
    <w:p>
      <w:pPr>
        <w:jc w:val="both"/>
        <w:ind w:left="1300" w:right="8780" w:firstLine="5"/>
        <w:spacing w:after="0" w:line="563" w:lineRule="auto"/>
        <w:tabs>
          <w:tab w:leader="none" w:pos="149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1" w:lineRule="exact"/>
        <w:rPr>
          <w:sz w:val="24"/>
          <w:szCs w:val="24"/>
          <w:color w:val="auto"/>
        </w:rPr>
      </w:pPr>
    </w:p>
    <w:p>
      <w:pPr>
        <w:ind w:right="240"/>
        <w:spacing w:after="0" w:line="216" w:lineRule="auto"/>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859790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980"/>
        <w:spacing w:after="0"/>
        <w:tabs>
          <w:tab w:leader="none" w:pos="5420" w:val="left"/>
          <w:tab w:leader="none" w:pos="9240" w:val="left"/>
        </w:tabs>
        <w:rPr>
          <w:sz w:val="20"/>
          <w:szCs w:val="20"/>
          <w:color w:val="auto"/>
        </w:rPr>
      </w:pPr>
      <w:r>
        <w:rPr>
          <w:rFonts w:ascii="Arial" w:cs="Arial" w:eastAsia="Arial" w:hAnsi="Arial"/>
          <w:sz w:val="18"/>
          <w:szCs w:val="18"/>
          <w:color w:val="auto"/>
        </w:rPr>
        <w:t>CUSIP No. 37045V100</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23323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32355" cy="1714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-142875</wp:posOffset>
            </wp:positionV>
            <wp:extent cx="24269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2540</wp:posOffset>
            </wp:positionV>
            <wp:extent cx="24269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6970" cy="171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1600" w:right="7200" w:hanging="1011"/>
        <w:spacing w:after="0" w:line="523" w:lineRule="auto"/>
        <w:tabs>
          <w:tab w:leader="none" w:pos="1438" w:val="left"/>
        </w:tabs>
        <w:numPr>
          <w:ilvl w:val="0"/>
          <w:numId w:val="2"/>
        </w:numPr>
        <w:rPr>
          <w:rFonts w:ascii="Arial" w:cs="Arial" w:eastAsia="Arial" w:hAnsi="Arial"/>
          <w:sz w:val="19"/>
          <w:szCs w:val="19"/>
          <w:b w:val="1"/>
          <w:bCs w:val="1"/>
          <w:color w:val="auto"/>
        </w:rPr>
      </w:pPr>
      <w:r>
        <w:rPr>
          <w:rFonts w:ascii="Arial" w:cs="Arial" w:eastAsia="Arial" w:hAnsi="Arial"/>
          <w:sz w:val="16"/>
          <w:szCs w:val="16"/>
          <w:color w:val="auto"/>
        </w:rPr>
        <w:t>NAMES OF REPORTING PERSONS Motors Liquidation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060" w:type="dxa"/>
            <w:vAlign w:val="bottom"/>
            <w:tcBorders>
              <w:top w:val="single" w:sz="8" w:color="auto"/>
            </w:tcBorders>
          </w:tcPr>
          <w:p>
            <w:pPr>
              <w:jc w:val="right"/>
              <w:ind w:right="252"/>
              <w:spacing w:after="0" w:line="210" w:lineRule="exact"/>
              <w:rPr>
                <w:sz w:val="20"/>
                <w:szCs w:val="20"/>
                <w:color w:val="auto"/>
              </w:rPr>
            </w:pPr>
            <w:r>
              <w:rPr>
                <w:rFonts w:ascii="Arial" w:cs="Arial" w:eastAsia="Arial" w:hAnsi="Arial"/>
                <w:sz w:val="22"/>
                <w:szCs w:val="22"/>
                <w:b w:val="1"/>
                <w:bCs w:val="1"/>
                <w:color w:val="auto"/>
              </w:rPr>
              <w:t>2</w:t>
            </w:r>
          </w:p>
        </w:tc>
        <w:tc>
          <w:tcPr>
            <w:tcW w:w="6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38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(a)[  ]</w:t>
            </w:r>
          </w:p>
        </w:tc>
      </w:tr>
      <w:tr>
        <w:trPr>
          <w:trHeight w:val="237"/>
        </w:trPr>
        <w:tc>
          <w:tcPr>
            <w:tcW w:w="106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    [X]</w:t>
            </w:r>
          </w:p>
        </w:tc>
        <w:tc>
          <w:tcPr>
            <w:tcW w:w="3800" w:type="dxa"/>
            <w:vAlign w:val="bottom"/>
            <w:tcBorders>
              <w:bottom w:val="single" w:sz="8" w:color="auto"/>
            </w:tcBorders>
          </w:tcPr>
          <w:p>
            <w:pPr>
              <w:spacing w:after="0"/>
              <w:rPr>
                <w:sz w:val="20"/>
                <w:szCs w:val="20"/>
                <w:color w:val="auto"/>
              </w:rPr>
            </w:pPr>
          </w:p>
        </w:tc>
      </w:tr>
      <w:tr>
        <w:trPr>
          <w:trHeight w:val="267"/>
        </w:trPr>
        <w:tc>
          <w:tcPr>
            <w:tcW w:w="1060" w:type="dxa"/>
            <w:vAlign w:val="bottom"/>
          </w:tcPr>
          <w:p>
            <w:pPr>
              <w:jc w:val="right"/>
              <w:ind w:right="252"/>
              <w:spacing w:after="0"/>
              <w:rPr>
                <w:sz w:val="20"/>
                <w:szCs w:val="20"/>
                <w:color w:val="auto"/>
              </w:rPr>
            </w:pPr>
            <w:r>
              <w:rPr>
                <w:rFonts w:ascii="Arial" w:cs="Arial" w:eastAsia="Arial" w:hAnsi="Arial"/>
                <w:sz w:val="22"/>
                <w:szCs w:val="22"/>
                <w:b w:val="1"/>
                <w:bCs w:val="1"/>
                <w:color w:val="auto"/>
              </w:rPr>
              <w:t>3</w:t>
            </w:r>
          </w:p>
        </w:tc>
        <w:tc>
          <w:tcPr>
            <w:tcW w:w="6560" w:type="dxa"/>
            <w:vAlign w:val="bottom"/>
          </w:tcPr>
          <w:p>
            <w:pPr>
              <w:ind w:left="380"/>
              <w:spacing w:after="0"/>
              <w:rPr>
                <w:sz w:val="20"/>
                <w:szCs w:val="20"/>
                <w:color w:val="auto"/>
              </w:rPr>
            </w:pPr>
            <w:r>
              <w:rPr>
                <w:rFonts w:ascii="Arial" w:cs="Arial" w:eastAsia="Arial" w:hAnsi="Arial"/>
                <w:sz w:val="18"/>
                <w:szCs w:val="18"/>
                <w:color w:val="auto"/>
              </w:rPr>
              <w:t>SEC USE ONLY</w:t>
            </w:r>
          </w:p>
        </w:tc>
        <w:tc>
          <w:tcPr>
            <w:tcW w:w="38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440" w:hanging="851"/>
        <w:spacing w:after="0" w:line="208" w:lineRule="auto"/>
        <w:tabs>
          <w:tab w:leader="none" w:pos="144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97"/>
              <w:spacing w:after="0"/>
              <w:rPr>
                <w:sz w:val="20"/>
                <w:szCs w:val="20"/>
                <w:color w:val="auto"/>
              </w:rPr>
            </w:pPr>
            <w:r>
              <w:rPr>
                <w:rFonts w:ascii="Arial" w:cs="Arial" w:eastAsia="Arial" w:hAnsi="Arial"/>
                <w:sz w:val="22"/>
                <w:szCs w:val="22"/>
                <w:b w:val="1"/>
                <w:bCs w:val="1"/>
                <w:color w:val="auto"/>
              </w:rPr>
              <w:t>5</w:t>
            </w:r>
          </w:p>
        </w:tc>
        <w:tc>
          <w:tcPr>
            <w:tcW w:w="80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5"/>
        </w:trPr>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422,727,270 (See Item 4)</w:t>
            </w:r>
          </w:p>
        </w:tc>
        <w:tc>
          <w:tcPr>
            <w:tcW w:w="0" w:type="dxa"/>
            <w:vAlign w:val="bottom"/>
          </w:tcPr>
          <w:p>
            <w:pPr>
              <w:spacing w:after="0"/>
              <w:rPr>
                <w:sz w:val="1"/>
                <w:szCs w:val="1"/>
                <w:color w:val="auto"/>
              </w:rPr>
            </w:pPr>
          </w:p>
        </w:tc>
      </w:tr>
      <w:tr>
        <w:trPr>
          <w:trHeight w:val="189"/>
        </w:trPr>
        <w:tc>
          <w:tcPr>
            <w:tcW w:w="2500" w:type="dxa"/>
            <w:vAlign w:val="bottom"/>
            <w:vMerge w:val="continue"/>
          </w:tcPr>
          <w:p>
            <w:pPr>
              <w:spacing w:after="0"/>
              <w:rPr>
                <w:sz w:val="16"/>
                <w:szCs w:val="16"/>
                <w:color w:val="auto"/>
              </w:rPr>
            </w:pPr>
          </w:p>
        </w:tc>
        <w:tc>
          <w:tcPr>
            <w:tcW w:w="840" w:type="dxa"/>
            <w:vAlign w:val="bottom"/>
          </w:tcPr>
          <w:p>
            <w:pPr>
              <w:jc w:val="right"/>
              <w:ind w:right="197"/>
              <w:spacing w:after="0" w:line="189" w:lineRule="exact"/>
              <w:rPr>
                <w:sz w:val="20"/>
                <w:szCs w:val="20"/>
                <w:color w:val="auto"/>
              </w:rPr>
            </w:pPr>
            <w:r>
              <w:rPr>
                <w:rFonts w:ascii="Arial" w:cs="Arial" w:eastAsia="Arial" w:hAnsi="Arial"/>
                <w:sz w:val="21"/>
                <w:szCs w:val="21"/>
                <w:b w:val="1"/>
                <w:bCs w:val="1"/>
                <w:color w:val="auto"/>
              </w:rPr>
              <w:t>6</w:t>
            </w:r>
          </w:p>
        </w:tc>
        <w:tc>
          <w:tcPr>
            <w:tcW w:w="8080" w:type="dxa"/>
            <w:vAlign w:val="bottom"/>
          </w:tcPr>
          <w:p>
            <w:pPr>
              <w:ind w:left="300"/>
              <w:spacing w:after="0" w:line="18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2500" w:type="dxa"/>
            <w:vAlign w:val="bottom"/>
          </w:tcPr>
          <w:p>
            <w:pPr>
              <w:jc w:val="center"/>
              <w:spacing w:after="0" w:line="201" w:lineRule="exact"/>
              <w:rPr>
                <w:sz w:val="20"/>
                <w:szCs w:val="20"/>
                <w:color w:val="auto"/>
              </w:rPr>
            </w:pPr>
            <w:r>
              <w:rPr>
                <w:rFonts w:ascii="Arial" w:cs="Arial" w:eastAsia="Arial" w:hAnsi="Arial"/>
                <w:sz w:val="18"/>
                <w:szCs w:val="18"/>
                <w:color w:val="auto"/>
                <w:w w:val="91"/>
              </w:rPr>
              <w:t>SHARES</w:t>
            </w:r>
          </w:p>
        </w:tc>
        <w:tc>
          <w:tcPr>
            <w:tcW w:w="84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840" w:type="dxa"/>
            <w:vAlign w:val="bottom"/>
          </w:tcPr>
          <w:p>
            <w:pPr>
              <w:spacing w:after="0"/>
              <w:rPr>
                <w:sz w:val="18"/>
                <w:szCs w:val="18"/>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0 (See Item 4)</w:t>
            </w:r>
          </w:p>
        </w:tc>
        <w:tc>
          <w:tcPr>
            <w:tcW w:w="0" w:type="dxa"/>
            <w:vAlign w:val="bottom"/>
          </w:tcPr>
          <w:p>
            <w:pPr>
              <w:spacing w:after="0"/>
              <w:rPr>
                <w:sz w:val="1"/>
                <w:szCs w:val="1"/>
                <w:color w:val="auto"/>
              </w:rPr>
            </w:pPr>
          </w:p>
        </w:tc>
      </w:tr>
      <w:tr>
        <w:trPr>
          <w:trHeight w:val="48"/>
        </w:trPr>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500" w:type="dxa"/>
            <w:vAlign w:val="bottom"/>
            <w:vMerge w:val="continue"/>
          </w:tcPr>
          <w:p>
            <w:pPr>
              <w:spacing w:after="0"/>
              <w:rPr>
                <w:sz w:val="14"/>
                <w:szCs w:val="14"/>
                <w:color w:val="auto"/>
              </w:rPr>
            </w:pPr>
          </w:p>
        </w:tc>
        <w:tc>
          <w:tcPr>
            <w:tcW w:w="840" w:type="dxa"/>
            <w:vAlign w:val="bottom"/>
          </w:tcPr>
          <w:p>
            <w:pPr>
              <w:jc w:val="right"/>
              <w:ind w:right="197"/>
              <w:spacing w:after="0" w:line="164" w:lineRule="exact"/>
              <w:rPr>
                <w:sz w:val="20"/>
                <w:szCs w:val="20"/>
                <w:color w:val="auto"/>
              </w:rPr>
            </w:pPr>
            <w:r>
              <w:rPr>
                <w:rFonts w:ascii="Arial" w:cs="Arial" w:eastAsia="Arial" w:hAnsi="Arial"/>
                <w:sz w:val="18"/>
                <w:szCs w:val="18"/>
                <w:b w:val="1"/>
                <w:bCs w:val="1"/>
                <w:color w:val="auto"/>
              </w:rPr>
              <w:t>7</w:t>
            </w:r>
          </w:p>
        </w:tc>
        <w:tc>
          <w:tcPr>
            <w:tcW w:w="8080" w:type="dxa"/>
            <w:vAlign w:val="bottom"/>
          </w:tcPr>
          <w:p>
            <w:pPr>
              <w:ind w:left="300"/>
              <w:spacing w:after="0" w:line="16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2500" w:type="dxa"/>
            <w:vAlign w:val="bottom"/>
          </w:tcPr>
          <w:p>
            <w:pPr>
              <w:jc w:val="center"/>
              <w:spacing w:after="0" w:line="200" w:lineRule="exact"/>
              <w:rPr>
                <w:sz w:val="20"/>
                <w:szCs w:val="20"/>
                <w:color w:val="auto"/>
              </w:rPr>
            </w:pPr>
            <w:r>
              <w:rPr>
                <w:rFonts w:ascii="Arial" w:cs="Arial" w:eastAsia="Arial" w:hAnsi="Arial"/>
                <w:sz w:val="18"/>
                <w:szCs w:val="18"/>
                <w:color w:val="auto"/>
                <w:w w:val="95"/>
              </w:rPr>
              <w:t>EACH</w:t>
            </w:r>
          </w:p>
        </w:tc>
        <w:tc>
          <w:tcPr>
            <w:tcW w:w="84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840" w:type="dxa"/>
            <w:vAlign w:val="bottom"/>
          </w:tcPr>
          <w:p>
            <w:pPr>
              <w:spacing w:after="0"/>
              <w:rPr>
                <w:sz w:val="20"/>
                <w:szCs w:val="20"/>
                <w:color w:val="auto"/>
              </w:rPr>
            </w:pPr>
          </w:p>
        </w:tc>
        <w:tc>
          <w:tcPr>
            <w:tcW w:w="8080" w:type="dxa"/>
            <w:vAlign w:val="bottom"/>
          </w:tcPr>
          <w:p>
            <w:pPr>
              <w:ind w:left="460"/>
              <w:spacing w:after="0"/>
              <w:rPr>
                <w:sz w:val="20"/>
                <w:szCs w:val="20"/>
                <w:color w:val="auto"/>
              </w:rPr>
            </w:pPr>
            <w:r>
              <w:rPr>
                <w:rFonts w:ascii="Arial" w:cs="Arial" w:eastAsia="Arial" w:hAnsi="Arial"/>
                <w:sz w:val="18"/>
                <w:szCs w:val="18"/>
                <w:color w:val="auto"/>
              </w:rPr>
              <w:t>422,727,270 (See Item 4)</w:t>
            </w:r>
          </w:p>
        </w:tc>
        <w:tc>
          <w:tcPr>
            <w:tcW w:w="0" w:type="dxa"/>
            <w:vAlign w:val="bottom"/>
          </w:tcPr>
          <w:p>
            <w:pPr>
              <w:spacing w:after="0"/>
              <w:rPr>
                <w:sz w:val="1"/>
                <w:szCs w:val="1"/>
                <w:color w:val="auto"/>
              </w:rPr>
            </w:pPr>
          </w:p>
        </w:tc>
      </w:tr>
      <w:tr>
        <w:trPr>
          <w:trHeight w:val="61"/>
        </w:trPr>
        <w:tc>
          <w:tcPr>
            <w:tcW w:w="25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89"/>
              </w:rPr>
              <w:t>PERSON</w:t>
            </w:r>
          </w:p>
        </w:tc>
        <w:tc>
          <w:tcPr>
            <w:tcW w:w="840" w:type="dxa"/>
            <w:vAlign w:val="bottom"/>
            <w:tcBorders>
              <w:bottom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500" w:type="dxa"/>
            <w:vAlign w:val="bottom"/>
            <w:vMerge w:val="continue"/>
          </w:tcPr>
          <w:p>
            <w:pPr>
              <w:spacing w:after="0"/>
              <w:rPr>
                <w:sz w:val="10"/>
                <w:szCs w:val="10"/>
                <w:color w:val="auto"/>
              </w:rPr>
            </w:pPr>
          </w:p>
        </w:tc>
        <w:tc>
          <w:tcPr>
            <w:tcW w:w="840" w:type="dxa"/>
            <w:vAlign w:val="bottom"/>
            <w:vMerge w:val="restart"/>
          </w:tcPr>
          <w:p>
            <w:pPr>
              <w:jc w:val="right"/>
              <w:ind w:right="197"/>
              <w:spacing w:after="0"/>
              <w:rPr>
                <w:sz w:val="20"/>
                <w:szCs w:val="20"/>
                <w:color w:val="auto"/>
              </w:rPr>
            </w:pPr>
            <w:r>
              <w:rPr>
                <w:rFonts w:ascii="Arial" w:cs="Arial" w:eastAsia="Arial" w:hAnsi="Arial"/>
                <w:sz w:val="22"/>
                <w:szCs w:val="22"/>
                <w:b w:val="1"/>
                <w:bCs w:val="1"/>
                <w:color w:val="auto"/>
              </w:rPr>
              <w:t>8</w:t>
            </w:r>
          </w:p>
        </w:tc>
        <w:tc>
          <w:tcPr>
            <w:tcW w:w="8080" w:type="dxa"/>
            <w:vAlign w:val="bottom"/>
            <w:vMerge w:val="restart"/>
          </w:tcPr>
          <w:p>
            <w:pPr>
              <w:ind w:left="3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0"/>
        </w:trPr>
        <w:tc>
          <w:tcPr>
            <w:tcW w:w="25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840" w:type="dxa"/>
            <w:vAlign w:val="bottom"/>
            <w:vMerge w:val="continue"/>
          </w:tcPr>
          <w:p>
            <w:pPr>
              <w:spacing w:after="0"/>
              <w:rPr>
                <w:sz w:val="13"/>
                <w:szCs w:val="13"/>
                <w:color w:val="auto"/>
              </w:rPr>
            </w:pPr>
          </w:p>
        </w:tc>
        <w:tc>
          <w:tcPr>
            <w:tcW w:w="8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5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0 (See Item 4)</w:t>
      </w:r>
    </w:p>
    <w:p>
      <w:pPr>
        <w:spacing w:after="0" w:line="14" w:lineRule="exact"/>
        <w:rPr>
          <w:sz w:val="20"/>
          <w:szCs w:val="20"/>
          <w:color w:val="auto"/>
        </w:rPr>
      </w:pPr>
    </w:p>
    <w:p>
      <w:pPr>
        <w:ind w:left="1440" w:hanging="851"/>
        <w:spacing w:after="0"/>
        <w:tabs>
          <w:tab w:leader="none" w:pos="144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422,727,270* (See Item 4)</w:t>
      </w:r>
    </w:p>
    <w:p>
      <w:pPr>
        <w:spacing w:after="0" w:line="14" w:lineRule="exact"/>
        <w:rPr>
          <w:sz w:val="20"/>
          <w:szCs w:val="20"/>
          <w:color w:val="auto"/>
        </w:rPr>
      </w:pPr>
    </w:p>
    <w:p>
      <w:pPr>
        <w:ind w:left="1440" w:hanging="905"/>
        <w:spacing w:after="0"/>
        <w:tabs>
          <w:tab w:leader="none" w:pos="144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420"/>
        <w:spacing w:after="0"/>
        <w:rPr>
          <w:sz w:val="20"/>
          <w:szCs w:val="20"/>
          <w:color w:val="auto"/>
        </w:rPr>
      </w:pPr>
      <w:r>
        <w:rPr>
          <w:rFonts w:ascii="Arial" w:cs="Arial" w:eastAsia="Arial" w:hAnsi="Arial"/>
          <w:sz w:val="18"/>
          <w:szCs w:val="18"/>
          <w:color w:val="auto"/>
        </w:rPr>
        <w:t>[ ]</w:t>
      </w:r>
    </w:p>
    <w:p>
      <w:pPr>
        <w:spacing w:after="0" w:line="25" w:lineRule="exact"/>
        <w:rPr>
          <w:sz w:val="20"/>
          <w:szCs w:val="20"/>
          <w:color w:val="auto"/>
        </w:rPr>
      </w:pPr>
    </w:p>
    <w:p>
      <w:pPr>
        <w:ind w:left="1440" w:hanging="899"/>
        <w:spacing w:after="0"/>
        <w:tabs>
          <w:tab w:leader="none" w:pos="144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23.1% (See Item 4)</w:t>
      </w:r>
    </w:p>
    <w:p>
      <w:pPr>
        <w:spacing w:after="0" w:line="36" w:lineRule="exact"/>
        <w:rPr>
          <w:sz w:val="20"/>
          <w:szCs w:val="20"/>
          <w:color w:val="auto"/>
        </w:rPr>
      </w:pPr>
    </w:p>
    <w:p>
      <w:pPr>
        <w:ind w:left="1600" w:right="7480" w:hanging="1065"/>
        <w:spacing w:after="0" w:line="474" w:lineRule="auto"/>
        <w:tabs>
          <w:tab w:leader="none" w:pos="1438" w:val="left"/>
        </w:tabs>
        <w:numPr>
          <w:ilvl w:val="0"/>
          <w:numId w:val="7"/>
        </w:numPr>
        <w:rPr>
          <w:rFonts w:ascii="Arial" w:cs="Arial" w:eastAsia="Arial" w:hAnsi="Arial"/>
          <w:sz w:val="22"/>
          <w:szCs w:val="22"/>
          <w:b w:val="1"/>
          <w:bCs w:val="1"/>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*Includes all Common Stock of the Issuer beneficially owned by Motors Liquidation Company as of the date hereof; provided, that, pursuant to the Amended and Restated Master Sale and Purchase Agreement, dated June 26, 2009, as amended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filed as Exhibit 2.1 to the Reporting Person’s Current Report on Form 8-K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2, 2009, the Reporting Person may be eligible to receive, under certain circumstances, up to 30,000,000 additional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 Detroit, Michigan, 48265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13G is being filed by Motors Liquidation Company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office of the Reporting Person is located at 401 S. Old Woodward, Suite 370, Birmingham, Michigan, 48009.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 is a Delaware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and Class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US $0.01 per share, of the Issuer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37045V100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56" w:lineRule="exact"/>
        <w:rPr>
          <w:sz w:val="20"/>
          <w:szCs w:val="20"/>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52" w:lineRule="exact"/>
        <w:rPr>
          <w:rFonts w:ascii="Arial" w:cs="Arial" w:eastAsia="Arial" w:hAnsi="Arial"/>
          <w:sz w:val="18"/>
          <w:szCs w:val="18"/>
          <w:color w:val="auto"/>
        </w:rPr>
      </w:pPr>
    </w:p>
    <w:p>
      <w:pPr>
        <w:ind w:left="1460" w:hanging="978"/>
        <w:spacing w:after="0" w:line="277" w:lineRule="auto"/>
        <w:tabs>
          <w:tab w:leader="none" w:pos="974"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spacing w:after="0" w:line="197"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52" w:lineRule="exact"/>
        <w:rPr>
          <w:rFonts w:ascii="Arial" w:cs="Arial" w:eastAsia="Arial" w:hAnsi="Arial"/>
          <w:sz w:val="18"/>
          <w:szCs w:val="18"/>
          <w:color w:val="auto"/>
        </w:rPr>
      </w:pPr>
    </w:p>
    <w:p>
      <w:pPr>
        <w:ind w:left="960" w:hanging="478"/>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262255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00" w:top="513" w:right="27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firstLine="656"/>
        <w:spacing w:after="0" w:line="297" w:lineRule="auto"/>
        <w:tabs>
          <w:tab w:leader="none" w:pos="893"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December 31, 2010, the Reporting Person may be deemed to be the beneficial owner of an aggregate of 422,727,270 shares of Common Stock. This amount is based on the Reporting Person’s ownership of (i) 150,000,000 shares of Common Stock, (ii) 136,363,635 warrants each exercisable for one share of Common Stock at an exercise price of $10.00 per share (“</w:t>
      </w:r>
      <w:r>
        <w:rPr>
          <w:rFonts w:ascii="Arial" w:cs="Arial" w:eastAsia="Arial" w:hAnsi="Arial"/>
          <w:sz w:val="16"/>
          <w:szCs w:val="16"/>
          <w:u w:val="single" w:color="auto"/>
          <w:color w:val="auto"/>
        </w:rPr>
        <w:t>Warrant A</w:t>
      </w:r>
      <w:r>
        <w:rPr>
          <w:rFonts w:ascii="Arial" w:cs="Arial" w:eastAsia="Arial" w:hAnsi="Arial"/>
          <w:sz w:val="16"/>
          <w:szCs w:val="16"/>
          <w:color w:val="auto"/>
        </w:rPr>
        <w:t>”), and 136,363,635 warrants each exercisable for one share of Common Stock at an exercise price of $18.33 per share (“</w:t>
      </w:r>
      <w:r>
        <w:rPr>
          <w:rFonts w:ascii="Arial" w:cs="Arial" w:eastAsia="Arial" w:hAnsi="Arial"/>
          <w:sz w:val="16"/>
          <w:szCs w:val="16"/>
          <w:u w:val="single" w:color="auto"/>
          <w:color w:val="auto"/>
        </w:rPr>
        <w:t>Warrant B</w:t>
      </w:r>
      <w:r>
        <w:rPr>
          <w:rFonts w:ascii="Arial" w:cs="Arial" w:eastAsia="Arial" w:hAnsi="Arial"/>
          <w:sz w:val="16"/>
          <w:szCs w:val="16"/>
          <w:color w:val="auto"/>
        </w:rPr>
        <w:t>”, and together with Warrant A, the “</w:t>
      </w:r>
      <w:r>
        <w:rPr>
          <w:rFonts w:ascii="Arial" w:cs="Arial" w:eastAsia="Arial" w:hAnsi="Arial"/>
          <w:sz w:val="16"/>
          <w:szCs w:val="16"/>
          <w:u w:val="single" w:color="auto"/>
          <w:color w:val="auto"/>
        </w:rPr>
        <w:t>Warrants</w:t>
      </w:r>
      <w:r>
        <w:rPr>
          <w:rFonts w:ascii="Arial" w:cs="Arial" w:eastAsia="Arial" w:hAnsi="Arial"/>
          <w:sz w:val="16"/>
          <w:szCs w:val="16"/>
          <w:color w:val="auto"/>
        </w:rPr>
        <w:t>”). Pursuant to the Purchase Agreement, the Reporting Person may be eligible to receive, under certain circumstances, up to 30,000,000 additional shares of Common Stock (the “</w:t>
      </w:r>
      <w:r>
        <w:rPr>
          <w:rFonts w:ascii="Arial" w:cs="Arial" w:eastAsia="Arial" w:hAnsi="Arial"/>
          <w:sz w:val="16"/>
          <w:szCs w:val="16"/>
          <w:u w:val="single" w:color="auto"/>
          <w:color w:val="auto"/>
        </w:rPr>
        <w:t>Adjustment Shares</w:t>
      </w:r>
      <w:r>
        <w:rPr>
          <w:rFonts w:ascii="Arial" w:cs="Arial" w:eastAsia="Arial" w:hAnsi="Arial"/>
          <w:sz w:val="16"/>
          <w:szCs w:val="16"/>
          <w:color w:val="auto"/>
        </w:rPr>
        <w:t>”).</w:t>
      </w:r>
    </w:p>
    <w:p>
      <w:pPr>
        <w:spacing w:after="0" w:line="185" w:lineRule="exact"/>
        <w:rPr>
          <w:rFonts w:ascii="Arial" w:cs="Arial" w:eastAsia="Arial" w:hAnsi="Arial"/>
          <w:sz w:val="16"/>
          <w:szCs w:val="16"/>
          <w:color w:val="auto"/>
        </w:rPr>
      </w:pPr>
    </w:p>
    <w:p>
      <w:pPr>
        <w:ind w:right="40" w:firstLine="656"/>
        <w:spacing w:after="0" w:line="257"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the date hereof, the Reporting Person may be deemed to be the beneficial owner of 23.1% of the outstanding shares of Common Stock (including the Warrants held by the Reporting Person, but excluding the Adjustment Shares). This percentage is based on a total of 1,833,470,329 shares of Common Stock, based on the sum of 1,560,743,059 shares of Common Stock outstanding as of February 15, 2011 as reported on the Issuer’s Annual Report on Form 10-K filed with the SEC on March 1, 2011 and 272,727,270 shares of Common Stock that would be required to be issued pursuant to the exercise of the Warrants.</w:t>
      </w:r>
    </w:p>
    <w:p>
      <w:pPr>
        <w:spacing w:after="0" w:line="215"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0" w:lineRule="exact"/>
        <w:rPr>
          <w:sz w:val="20"/>
          <w:szCs w:val="20"/>
          <w:color w:val="auto"/>
        </w:rPr>
      </w:pPr>
    </w:p>
    <w:p>
      <w:pPr>
        <w:spacing w:after="0" w:line="268" w:lineRule="exact"/>
        <w:rPr>
          <w:sz w:val="20"/>
          <w:szCs w:val="20"/>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52" w:lineRule="exact"/>
        <w:rPr>
          <w:sz w:val="20"/>
          <w:szCs w:val="20"/>
          <w:color w:val="auto"/>
        </w:rPr>
      </w:pPr>
    </w:p>
    <w:p>
      <w:pPr>
        <w:ind w:right="80" w:firstLine="1638"/>
        <w:spacing w:after="0" w:line="277" w:lineRule="auto"/>
        <w:rPr>
          <w:sz w:val="20"/>
          <w:szCs w:val="20"/>
          <w:color w:val="auto"/>
        </w:rPr>
      </w:pPr>
      <w:r>
        <w:rPr>
          <w:rFonts w:ascii="Arial" w:cs="Arial" w:eastAsia="Arial" w:hAnsi="Arial"/>
          <w:sz w:val="18"/>
          <w:szCs w:val="18"/>
          <w:color w:val="auto"/>
        </w:rPr>
        <w:t>422,727,270 shares of Common Stock. This amount is based on the Reporting Person’s ownership of 150,000,000 shares of Common Stock and 272,727,270 Warrants.</w:t>
      </w:r>
    </w:p>
    <w:p>
      <w:pPr>
        <w:spacing w:after="0" w:line="197"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52" w:lineRule="exact"/>
        <w:rPr>
          <w:rFonts w:ascii="Arial" w:cs="Arial" w:eastAsia="Arial" w:hAnsi="Arial"/>
          <w:sz w:val="18"/>
          <w:szCs w:val="18"/>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52" w:lineRule="exact"/>
        <w:rPr>
          <w:sz w:val="20"/>
          <w:szCs w:val="20"/>
          <w:color w:val="auto"/>
        </w:rPr>
      </w:pPr>
    </w:p>
    <w:p>
      <w:pPr>
        <w:jc w:val="both"/>
        <w:ind w:right="80" w:firstLine="1638"/>
        <w:spacing w:after="0" w:line="264" w:lineRule="auto"/>
        <w:rPr>
          <w:sz w:val="20"/>
          <w:szCs w:val="20"/>
          <w:color w:val="auto"/>
        </w:rPr>
      </w:pPr>
      <w:r>
        <w:rPr>
          <w:rFonts w:ascii="Arial" w:cs="Arial" w:eastAsia="Arial" w:hAnsi="Arial"/>
          <w:sz w:val="18"/>
          <w:szCs w:val="18"/>
          <w:color w:val="auto"/>
        </w:rPr>
        <w:t>422,727,270 shares of Common Stock. This amount is based on the Reporting Person’s ownership of 150,000,000 shares of Common Stock and 272,727,270 Warrants, and is subject to the approval of the Reporting Person's Second Amended Chapter 11 Plan by the United States Bankruptcy Court for the Southern District of New York.</w:t>
      </w:r>
    </w:p>
    <w:p>
      <w:pPr>
        <w:spacing w:after="0" w:line="208"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owners of more than five percent of the Common Stock,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60" w:right="76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262255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13" w:right="1440" w:bottom="1440" w:gutter="0" w:footer="0" w:header="0"/>
        </w:sectPr>
      </w:pPr>
    </w:p>
    <w:bookmarkStart w:id="5" w:name="page6"/>
    <w:bookmarkEnd w:id="5"/>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2011</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MOTORS LIQUIDATION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Selzer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Selzer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sectPr>
      <w:pgSz w:w="11900" w:h="16838" w:orient="portrait"/>
      <w:cols w:equalWidth="0" w:num="1">
        <w:col w:w="11120"/>
      </w:cols>
      <w:pgMar w:left="240" w:top="51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2"/>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2019-12-11T08:17:02Z</dcterms:created>
  <dcterms:modified xsi:type="dcterms:W3CDTF">2019-12-11T08:17:02Z</dcterms:modified>
</cp:coreProperties>
</file>