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7924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9241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06/30/2012</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24"/>
        <w:spacing w:after="0"/>
        <w:rPr>
          <w:sz w:val="20"/>
          <w:szCs w:val="20"/>
          <w:color w:val="auto"/>
        </w:rPr>
      </w:pPr>
      <w:r>
        <w:rPr>
          <w:rFonts w:ascii="Arial" w:cs="Arial" w:eastAsia="Arial" w:hAnsi="Arial"/>
          <w:sz w:val="17"/>
          <w:szCs w:val="17"/>
          <w:color w:val="0000FF"/>
        </w:rPr>
        <w:t>Senior Vice President</w:t>
      </w:r>
    </w:p>
    <w:p>
      <w:pPr>
        <w:spacing w:after="0" w:line="439" w:lineRule="exact"/>
        <w:rPr>
          <w:sz w:val="24"/>
          <w:szCs w:val="24"/>
          <w:color w:val="auto"/>
        </w:rPr>
      </w:pPr>
    </w:p>
    <w:p>
      <w:pPr>
        <w:sectPr>
          <w:pgSz w:w="11900" w:h="16838"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0"/>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5"/>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5,622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95,257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3,890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91,367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1,732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89,635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4,326</w:t>
            </w:r>
            <w:r>
              <w:rPr>
                <w:rFonts w:ascii="Arial" w:cs="Arial" w:eastAsia="Arial" w:hAnsi="Arial"/>
                <w:sz w:val="21"/>
                <w:szCs w:val="21"/>
                <w:color w:val="008000"/>
                <w:w w:val="83"/>
                <w:vertAlign w:val="superscript"/>
              </w:rPr>
              <w:t>(4)</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93,961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2,993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90,968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9"/>
              </w:rPr>
              <w:t>1,333</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89,635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(5)</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83"/>
              </w:rPr>
              <w:t>1,386</w:t>
            </w:r>
            <w:r>
              <w:rPr>
                <w:rFonts w:ascii="Arial" w:cs="Arial" w:eastAsia="Arial" w:hAnsi="Arial"/>
                <w:sz w:val="21"/>
                <w:szCs w:val="21"/>
                <w:color w:val="008000"/>
                <w:w w:val="83"/>
                <w:vertAlign w:val="superscript"/>
              </w:rPr>
              <w:t>(6)</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91,021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D</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959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90,062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1"/>
              </w:rPr>
              <w:t>06/30/2012</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0000FF"/>
                <w:w w:val="91"/>
              </w:rPr>
              <w:t>427</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19.62</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jc w:val="right"/>
              <w:ind w:right="379"/>
              <w:spacing w:after="0"/>
              <w:rPr>
                <w:sz w:val="20"/>
                <w:szCs w:val="20"/>
                <w:color w:val="auto"/>
              </w:rPr>
            </w:pPr>
            <w:r>
              <w:rPr>
                <w:rFonts w:ascii="Arial" w:cs="Arial" w:eastAsia="Arial" w:hAnsi="Arial"/>
                <w:sz w:val="17"/>
                <w:szCs w:val="17"/>
                <w:color w:val="0000FF"/>
              </w:rPr>
              <w:t>89,635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5,622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6"/>
                <w:szCs w:val="6"/>
                <w:color w:val="auto"/>
              </w:rPr>
            </w:pPr>
          </w:p>
        </w:tc>
        <w:tc>
          <w:tcPr>
            <w:tcW w:w="5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5,622</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11"/>
                <w:szCs w:val="11"/>
                <w:color w:val="008000"/>
              </w:rPr>
              <w:t>(2)</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11,243</w:t>
            </w: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4,326</w:t>
            </w:r>
            <w:r>
              <w:rPr>
                <w:rFonts w:ascii="Arial" w:cs="Arial" w:eastAsia="Arial" w:hAnsi="Arial"/>
                <w:sz w:val="21"/>
                <w:szCs w:val="21"/>
                <w:color w:val="008000"/>
                <w:w w:val="84"/>
                <w:vertAlign w:val="superscript"/>
              </w:rPr>
              <w:t>(4)</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4,326</w:t>
            </w:r>
            <w:r>
              <w:rPr>
                <w:rFonts w:ascii="Arial" w:cs="Arial" w:eastAsia="Arial" w:hAnsi="Arial"/>
                <w:sz w:val="21"/>
                <w:szCs w:val="21"/>
                <w:color w:val="008000"/>
                <w:w w:val="87"/>
                <w:vertAlign w:val="superscript"/>
              </w:rPr>
              <w:t>(4)</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4,326</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4"/>
              </w:rPr>
              <w:t>1,386</w:t>
            </w:r>
            <w:r>
              <w:rPr>
                <w:rFonts w:ascii="Arial" w:cs="Arial" w:eastAsia="Arial" w:hAnsi="Arial"/>
                <w:sz w:val="21"/>
                <w:szCs w:val="21"/>
                <w:color w:val="008000"/>
                <w:w w:val="84"/>
                <w:vertAlign w:val="superscript"/>
              </w:rPr>
              <w:t>(6)</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1,386</w:t>
            </w:r>
            <w:r>
              <w:rPr>
                <w:rFonts w:ascii="Arial" w:cs="Arial" w:eastAsia="Arial" w:hAnsi="Arial"/>
                <w:sz w:val="21"/>
                <w:szCs w:val="21"/>
                <w:color w:val="008000"/>
                <w:w w:val="87"/>
                <w:vertAlign w:val="superscript"/>
              </w:rPr>
              <w:t>(6)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jc w:val="center"/>
              <w:ind w:left="83"/>
              <w:spacing w:after="0"/>
              <w:rPr>
                <w:sz w:val="20"/>
                <w:szCs w:val="20"/>
                <w:color w:val="auto"/>
              </w:rPr>
            </w:pPr>
            <w:r>
              <w:rPr>
                <w:rFonts w:ascii="Arial" w:cs="Arial" w:eastAsia="Arial" w:hAnsi="Arial"/>
                <w:sz w:val="11"/>
                <w:szCs w:val="11"/>
                <w:color w:val="008000"/>
                <w:w w:val="88"/>
              </w:rPr>
              <w:t>(2)</w:t>
            </w: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(2)</w:t>
            </w: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31,856</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jc w:val="right"/>
              <w:spacing w:after="0" w:line="140" w:lineRule="exact"/>
              <w:rPr>
                <w:sz w:val="20"/>
                <w:szCs w:val="20"/>
                <w:color w:val="auto"/>
              </w:rPr>
            </w:pPr>
            <w:r>
              <w:rPr>
                <w:rFonts w:ascii="Arial" w:cs="Arial" w:eastAsia="Arial" w:hAnsi="Arial"/>
                <w:sz w:val="13"/>
                <w:szCs w:val="13"/>
                <w:color w:val="0000FF"/>
              </w:rPr>
              <w:t>31,856</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(7)</w:t>
            </w:r>
          </w:p>
        </w:tc>
        <w:tc>
          <w:tcPr>
            <w:tcW w:w="740" w:type="dxa"/>
            <w:vAlign w:val="bottom"/>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31,856</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(8)</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63"/>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9"/>
              </w:rPr>
              <w:t>5,734</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06/30/2012</w:t>
            </w:r>
          </w:p>
        </w:tc>
        <w:tc>
          <w:tcPr>
            <w:tcW w:w="1100" w:type="dxa"/>
            <w:vAlign w:val="bottom"/>
          </w:tcPr>
          <w:p>
            <w:pPr>
              <w:spacing w:after="0"/>
              <w:rPr>
                <w:sz w:val="6"/>
                <w:szCs w:val="6"/>
                <w:color w:val="auto"/>
              </w:rPr>
            </w:pPr>
          </w:p>
        </w:tc>
        <w:tc>
          <w:tcPr>
            <w:tcW w:w="780" w:type="dxa"/>
            <w:vAlign w:val="bottom"/>
            <w:gridSpan w:val="2"/>
            <w:vMerge w:val="restart"/>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vMerge w:val="restart"/>
          </w:tcPr>
          <w:p>
            <w:pPr>
              <w:jc w:val="right"/>
              <w:ind w:right="40"/>
              <w:spacing w:after="0" w:line="140" w:lineRule="exact"/>
              <w:rPr>
                <w:sz w:val="20"/>
                <w:szCs w:val="20"/>
                <w:color w:val="auto"/>
              </w:rPr>
            </w:pPr>
            <w:r>
              <w:rPr>
                <w:rFonts w:ascii="Arial" w:cs="Arial" w:eastAsia="Arial" w:hAnsi="Arial"/>
                <w:sz w:val="13"/>
                <w:szCs w:val="13"/>
                <w:color w:val="0000FF"/>
              </w:rPr>
              <w:t>5,734</w:t>
            </w:r>
          </w:p>
        </w:tc>
        <w:tc>
          <w:tcPr>
            <w:tcW w:w="56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restart"/>
          </w:tcPr>
          <w:p>
            <w:pPr>
              <w:jc w:val="center"/>
              <w:ind w:left="199"/>
              <w:spacing w:after="0" w:line="140" w:lineRule="exact"/>
              <w:rPr>
                <w:sz w:val="20"/>
                <w:szCs w:val="20"/>
                <w:color w:val="auto"/>
              </w:rPr>
            </w:pPr>
            <w:r>
              <w:rPr>
                <w:rFonts w:ascii="Arial" w:cs="Arial" w:eastAsia="Arial" w:hAnsi="Arial"/>
                <w:sz w:val="13"/>
                <w:szCs w:val="13"/>
                <w:color w:val="0000FF"/>
                <w:w w:val="92"/>
              </w:rPr>
              <w:t>5,734</w:t>
            </w:r>
          </w:p>
        </w:tc>
        <w:tc>
          <w:tcPr>
            <w:tcW w:w="280" w:type="dxa"/>
            <w:vAlign w:val="bottom"/>
          </w:tcPr>
          <w:p>
            <w:pPr>
              <w:spacing w:after="0"/>
              <w:rPr>
                <w:sz w:val="6"/>
                <w:szCs w:val="6"/>
                <w:color w:val="auto"/>
              </w:rPr>
            </w:pPr>
          </w:p>
        </w:tc>
        <w:tc>
          <w:tcPr>
            <w:tcW w:w="68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(9)</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74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2011 pursuant to the Company's Salary Stock Plan (the "GMSSP") and vested upon grant. The portion of this award currently payable was settled on June 30, 2012 in cash, less a portion withheld for taxes.</w:t>
      </w:r>
    </w:p>
    <w:p>
      <w:pPr>
        <w:spacing w:after="0" w:line="22" w:lineRule="exact"/>
        <w:rPr>
          <w:rFonts w:ascii="Arial" w:cs="Arial" w:eastAsia="Arial" w:hAnsi="Arial"/>
          <w:sz w:val="13"/>
          <w:szCs w:val="13"/>
          <w:color w:val="008000"/>
        </w:rPr>
      </w:pPr>
    </w:p>
    <w:p>
      <w:pPr>
        <w:ind w:left="40" w:right="28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$19.62.</w:t>
      </w:r>
    </w:p>
    <w:p>
      <w:pPr>
        <w:spacing w:after="0" w:line="3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2010.</w:t>
      </w:r>
    </w:p>
    <w:p>
      <w:pPr>
        <w:spacing w:after="0" w:line="46" w:lineRule="exact"/>
        <w:rPr>
          <w:rFonts w:ascii="Arial" w:cs="Arial" w:eastAsia="Arial" w:hAnsi="Arial"/>
          <w:sz w:val="13"/>
          <w:szCs w:val="13"/>
          <w:color w:val="008000"/>
        </w:rPr>
      </w:pPr>
    </w:p>
    <w:p>
      <w:pPr>
        <w:ind w:left="40" w:right="160" w:firstLine="4"/>
        <w:spacing w:after="0" w:line="273"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2010 the employee received a grant of 4,327 SSUs, of which 1,442 SSUs were scheduled to be payable on June 30,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12,981 SSUs granted on June 30, 2010 of which 4,326 SSUs became payable on June 30, 2012.</w:t>
      </w:r>
    </w:p>
    <w:p>
      <w:pPr>
        <w:spacing w:after="0" w:line="13" w:lineRule="exact"/>
        <w:rPr>
          <w:rFonts w:ascii="Arial" w:cs="Arial" w:eastAsia="Arial" w:hAnsi="Arial"/>
          <w:sz w:val="12"/>
          <w:szCs w:val="12"/>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2009.</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30, 2009 the employee received a grant of 1,386 SSUs, of which 462 SSUs were scheduled to be payable on June 30, 2012. On November 1, 2010 the Company amended its certificate of incorporation to</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line="295" w:lineRule="auto"/>
        <w:rPr>
          <w:sz w:val="20"/>
          <w:szCs w:val="20"/>
          <w:color w:val="auto"/>
        </w:rPr>
      </w:pPr>
      <w:r>
        <w:rPr>
          <w:rFonts w:ascii="Arial" w:cs="Arial" w:eastAsia="Arial" w:hAnsi="Arial"/>
          <w:sz w:val="12"/>
          <w:szCs w:val="12"/>
          <w:color w:val="008000"/>
        </w:rPr>
        <w:t>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4,158 SSUs granted on June 30, 2009 of which 1,386 SSUs became payable on June 30, 2012.</w:t>
      </w:r>
    </w:p>
    <w:p>
      <w:pPr>
        <w:spacing w:after="0" w:line="1" w:lineRule="exact"/>
        <w:rPr>
          <w:sz w:val="20"/>
          <w:szCs w:val="20"/>
          <w:color w:val="auto"/>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June 30, 2012.</w:t>
      </w:r>
    </w:p>
    <w:p>
      <w:pPr>
        <w:spacing w:after="0" w:line="46" w:lineRule="exact"/>
        <w:rPr>
          <w:rFonts w:ascii="Arial" w:cs="Arial" w:eastAsia="Arial" w:hAnsi="Arial"/>
          <w:sz w:val="13"/>
          <w:szCs w:val="13"/>
          <w:color w:val="008000"/>
        </w:rPr>
      </w:pPr>
    </w:p>
    <w:p>
      <w:pPr>
        <w:ind w:left="140" w:hanging="136"/>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SSUs reported in this item are attributable nunc pro tunc to the first quarter 2012 and were granted on June 30, 2012. They will be settled in three equal, annual installments beginning March 31, 2013.</w:t>
      </w:r>
    </w:p>
    <w:p>
      <w:pPr>
        <w:spacing w:after="0" w:line="79"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160" w:type="dxa"/>
            <w:vAlign w:val="bottom"/>
            <w:gridSpan w:val="3"/>
          </w:tcPr>
          <w:p>
            <w:pPr>
              <w:spacing w:after="0"/>
              <w:rPr>
                <w:sz w:val="20"/>
                <w:szCs w:val="20"/>
                <w:color w:val="auto"/>
              </w:rPr>
            </w:pPr>
            <w:r>
              <w:rPr>
                <w:rFonts w:ascii="Arial" w:cs="Arial" w:eastAsia="Arial" w:hAnsi="Arial"/>
                <w:sz w:val="17"/>
                <w:szCs w:val="17"/>
                <w:color w:val="0000FF"/>
                <w:w w:val="97"/>
              </w:rPr>
              <w:t>/s/ Anne T. Larin, attorney-in-</w:t>
            </w:r>
          </w:p>
        </w:tc>
        <w:tc>
          <w:tcPr>
            <w:tcW w:w="90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9"/>
              </w:rPr>
              <w:t>07/03/2012</w:t>
            </w:r>
          </w:p>
        </w:tc>
        <w:tc>
          <w:tcPr>
            <w:tcW w:w="0" w:type="dxa"/>
            <w:vAlign w:val="bottom"/>
          </w:tcPr>
          <w:p>
            <w:pPr>
              <w:spacing w:after="0"/>
              <w:rPr>
                <w:sz w:val="1"/>
                <w:szCs w:val="1"/>
                <w:color w:val="auto"/>
              </w:rPr>
            </w:pPr>
          </w:p>
        </w:tc>
      </w:tr>
      <w:tr>
        <w:trPr>
          <w:trHeight w:val="85"/>
        </w:trPr>
        <w:tc>
          <w:tcPr>
            <w:tcW w:w="122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fact for Ms. Barra</w:t>
            </w:r>
          </w:p>
        </w:tc>
        <w:tc>
          <w:tcPr>
            <w:tcW w:w="8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2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3400" w:firstLine="4"/>
        <w:spacing w:after="0" w:line="313" w:lineRule="auto"/>
        <w:tabs>
          <w:tab w:leader="none" w:pos="138"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280" w:top="13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2019-12-17T01:31:35Z</dcterms:created>
  <dcterms:modified xsi:type="dcterms:W3CDTF">2019-12-17T01:31:35Z</dcterms:modified>
</cp:coreProperties>
</file>