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40"/>
        <w:spacing w:after="0"/>
        <w:tabs>
          <w:tab w:leader="none" w:pos="27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3161030</wp:posOffset>
            </wp:positionH>
            <wp:positionV relativeFrom="paragraph">
              <wp:posOffset>1905</wp:posOffset>
            </wp:positionV>
            <wp:extent cx="934720"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472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GENERAL MOTORS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1720" w:type="dxa"/>
        <w:tblCellMar>
          <w:top w:w="0" w:type="dxa"/>
          <w:left w:w="0" w:type="dxa"/>
          <w:bottom w:w="0" w:type="dxa"/>
          <w:right w:w="0" w:type="dxa"/>
        </w:tblCellMar>
      </w:tblPr>
      <w:tr>
        <w:trPr>
          <w:trHeight w:val="164"/>
        </w:trPr>
        <w:tc>
          <w:tcPr>
            <w:tcW w:w="23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STATE OF DELAWARE</w:t>
            </w:r>
          </w:p>
        </w:tc>
        <w:tc>
          <w:tcPr>
            <w:tcW w:w="5640" w:type="dxa"/>
            <w:vAlign w:val="bottom"/>
            <w:gridSpan w:val="2"/>
          </w:tcPr>
          <w:p>
            <w:pPr>
              <w:jc w:val="center"/>
              <w:ind w:left="3237"/>
              <w:spacing w:after="0"/>
              <w:rPr>
                <w:sz w:val="20"/>
                <w:szCs w:val="20"/>
                <w:color w:val="auto"/>
              </w:rPr>
            </w:pPr>
            <w:r>
              <w:rPr>
                <w:rFonts w:ascii="Arial" w:cs="Arial" w:eastAsia="Arial" w:hAnsi="Arial"/>
                <w:sz w:val="13"/>
                <w:szCs w:val="13"/>
                <w:b w:val="1"/>
                <w:bCs w:val="1"/>
                <w:color w:val="auto"/>
                <w:w w:val="89"/>
              </w:rPr>
              <w:t>27-0756180</w:t>
            </w:r>
          </w:p>
        </w:tc>
        <w:tc>
          <w:tcPr>
            <w:tcW w:w="160" w:type="dxa"/>
            <w:vAlign w:val="bottom"/>
          </w:tcPr>
          <w:p>
            <w:pPr>
              <w:spacing w:after="0"/>
              <w:rPr>
                <w:sz w:val="14"/>
                <w:szCs w:val="14"/>
                <w:color w:val="auto"/>
              </w:rPr>
            </w:pPr>
          </w:p>
        </w:tc>
      </w:tr>
      <w:tr>
        <w:trPr>
          <w:trHeight w:val="164"/>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91"/>
              </w:rPr>
              <w:t>(State or other jurisdiction of</w:t>
            </w:r>
          </w:p>
        </w:tc>
        <w:tc>
          <w:tcPr>
            <w:tcW w:w="3300" w:type="dxa"/>
            <w:vAlign w:val="bottom"/>
          </w:tcPr>
          <w:p>
            <w:pPr>
              <w:spacing w:after="0"/>
              <w:rPr>
                <w:sz w:val="14"/>
                <w:szCs w:val="14"/>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3"/>
                <w:szCs w:val="13"/>
                <w:i w:val="1"/>
                <w:iCs w:val="1"/>
                <w:color w:val="auto"/>
                <w:w w:val="88"/>
              </w:rPr>
              <w:t>(I.R.S. Employer</w:t>
            </w:r>
          </w:p>
        </w:tc>
      </w:tr>
      <w:tr>
        <w:trPr>
          <w:trHeight w:val="160"/>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92"/>
              </w:rPr>
              <w:t>incorporation or organization)</w:t>
            </w:r>
          </w:p>
        </w:tc>
        <w:tc>
          <w:tcPr>
            <w:tcW w:w="3300" w:type="dxa"/>
            <w:vAlign w:val="bottom"/>
          </w:tcPr>
          <w:p>
            <w:pPr>
              <w:spacing w:after="0"/>
              <w:rPr>
                <w:sz w:val="13"/>
                <w:szCs w:val="13"/>
                <w:color w:val="auto"/>
              </w:rPr>
            </w:pPr>
          </w:p>
        </w:tc>
        <w:tc>
          <w:tcPr>
            <w:tcW w:w="2500" w:type="dxa"/>
            <w:vAlign w:val="bottom"/>
            <w:gridSpan w:val="2"/>
          </w:tcPr>
          <w:p>
            <w:pPr>
              <w:jc w:val="center"/>
              <w:ind w:right="160"/>
              <w:spacing w:after="0"/>
              <w:rPr>
                <w:sz w:val="20"/>
                <w:szCs w:val="20"/>
                <w:color w:val="auto"/>
              </w:rPr>
            </w:pPr>
            <w:r>
              <w:rPr>
                <w:rFonts w:ascii="Arial" w:cs="Arial" w:eastAsia="Arial" w:hAnsi="Arial"/>
                <w:sz w:val="13"/>
                <w:szCs w:val="13"/>
                <w:i w:val="1"/>
                <w:iCs w:val="1"/>
                <w:color w:val="auto"/>
                <w:w w:val="92"/>
              </w:rPr>
              <w:t>Identification No.)</w:t>
            </w:r>
          </w:p>
        </w:tc>
      </w:tr>
      <w:tr>
        <w:trPr>
          <w:trHeight w:val="324"/>
        </w:trPr>
        <w:tc>
          <w:tcPr>
            <w:tcW w:w="2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300 Renaissance Center, Detroit, Michigan</w:t>
            </w:r>
          </w:p>
        </w:tc>
        <w:tc>
          <w:tcPr>
            <w:tcW w:w="5640" w:type="dxa"/>
            <w:vAlign w:val="bottom"/>
            <w:gridSpan w:val="2"/>
          </w:tcPr>
          <w:p>
            <w:pPr>
              <w:jc w:val="center"/>
              <w:ind w:left="3237"/>
              <w:spacing w:after="0"/>
              <w:rPr>
                <w:sz w:val="20"/>
                <w:szCs w:val="20"/>
                <w:color w:val="auto"/>
              </w:rPr>
            </w:pPr>
            <w:r>
              <w:rPr>
                <w:rFonts w:ascii="Arial" w:cs="Arial" w:eastAsia="Arial" w:hAnsi="Arial"/>
                <w:sz w:val="13"/>
                <w:szCs w:val="13"/>
                <w:b w:val="1"/>
                <w:bCs w:val="1"/>
                <w:color w:val="auto"/>
                <w:w w:val="89"/>
              </w:rPr>
              <w:t>48265-3000</w:t>
            </w:r>
          </w:p>
        </w:tc>
        <w:tc>
          <w:tcPr>
            <w:tcW w:w="160" w:type="dxa"/>
            <w:vAlign w:val="bottom"/>
          </w:tcPr>
          <w:p>
            <w:pPr>
              <w:spacing w:after="0"/>
              <w:rPr>
                <w:sz w:val="24"/>
                <w:szCs w:val="24"/>
                <w:color w:val="auto"/>
              </w:rPr>
            </w:pPr>
          </w:p>
        </w:tc>
      </w:tr>
      <w:tr>
        <w:trPr>
          <w:trHeight w:val="187"/>
        </w:trPr>
        <w:tc>
          <w:tcPr>
            <w:tcW w:w="2380" w:type="dxa"/>
            <w:vAlign w:val="bottom"/>
            <w:gridSpan w:val="3"/>
          </w:tcPr>
          <w:p>
            <w:pPr>
              <w:jc w:val="center"/>
              <w:ind w:right="10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3300" w:type="dxa"/>
            <w:vAlign w:val="bottom"/>
          </w:tcPr>
          <w:p>
            <w:pPr>
              <w:spacing w:after="0"/>
              <w:rPr>
                <w:sz w:val="16"/>
                <w:szCs w:val="16"/>
                <w:color w:val="auto"/>
              </w:rPr>
            </w:pPr>
          </w:p>
        </w:tc>
        <w:tc>
          <w:tcPr>
            <w:tcW w:w="2500" w:type="dxa"/>
            <w:vAlign w:val="bottom"/>
            <w:gridSpan w:val="2"/>
          </w:tcPr>
          <w:p>
            <w:pPr>
              <w:jc w:val="center"/>
              <w:ind w:right="160"/>
              <w:spacing w:after="0"/>
              <w:rPr>
                <w:sz w:val="20"/>
                <w:szCs w:val="20"/>
                <w:color w:val="auto"/>
              </w:rPr>
            </w:pPr>
            <w:r>
              <w:rPr>
                <w:rFonts w:ascii="Arial" w:cs="Arial" w:eastAsia="Arial" w:hAnsi="Arial"/>
                <w:sz w:val="13"/>
                <w:szCs w:val="13"/>
                <w:i w:val="1"/>
                <w:iCs w:val="1"/>
                <w:color w:val="auto"/>
                <w:w w:val="87"/>
              </w:rPr>
              <w:t>(Zip Code)</w:t>
            </w:r>
          </w:p>
        </w:tc>
      </w:tr>
      <w:tr>
        <w:trPr>
          <w:trHeight w:val="149"/>
        </w:trPr>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0" w:type="dxa"/>
            <w:vAlign w:val="bottom"/>
            <w:gridSpan w:val="3"/>
          </w:tcPr>
          <w:p>
            <w:pPr>
              <w:jc w:val="center"/>
              <w:ind w:right="2560"/>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64"/>
        </w:trPr>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0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(313) 556-5000</w:t>
            </w: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57"/>
        </w:trPr>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0" w:type="dxa"/>
            <w:vAlign w:val="bottom"/>
            <w:gridSpan w:val="3"/>
          </w:tcPr>
          <w:p>
            <w:pPr>
              <w:jc w:val="center"/>
              <w:ind w:right="256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r>
      <w:tr>
        <w:trPr>
          <w:trHeight w:val="286"/>
        </w:trPr>
        <w:tc>
          <w:tcPr>
            <w:tcW w:w="68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160" w:type="dxa"/>
            <w:vAlign w:val="bottom"/>
          </w:tcPr>
          <w:p>
            <w:pPr>
              <w:spacing w:after="0"/>
              <w:rPr>
                <w:sz w:val="24"/>
                <w:szCs w:val="24"/>
                <w:color w:val="auto"/>
              </w:rPr>
            </w:pPr>
          </w:p>
        </w:tc>
      </w:tr>
      <w:tr>
        <w:trPr>
          <w:trHeight w:val="194"/>
        </w:trPr>
        <w:tc>
          <w:tcPr>
            <w:tcW w:w="680" w:type="dxa"/>
            <w:vAlign w:val="bottom"/>
          </w:tcPr>
          <w:p>
            <w:pPr>
              <w:spacing w:after="0"/>
              <w:rPr>
                <w:sz w:val="16"/>
                <w:szCs w:val="16"/>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3"/>
                <w:szCs w:val="13"/>
                <w:color w:val="auto"/>
                <w:w w:val="87"/>
              </w:rPr>
              <w:t>Common Stock</w:t>
            </w:r>
          </w:p>
        </w:tc>
        <w:tc>
          <w:tcPr>
            <w:tcW w:w="5800" w:type="dxa"/>
            <w:vAlign w:val="bottom"/>
            <w:gridSpan w:val="3"/>
          </w:tcPr>
          <w:p>
            <w:pPr>
              <w:jc w:val="center"/>
              <w:ind w:left="3077"/>
              <w:spacing w:after="0"/>
              <w:rPr>
                <w:sz w:val="20"/>
                <w:szCs w:val="20"/>
                <w:color w:val="auto"/>
              </w:rPr>
            </w:pPr>
            <w:r>
              <w:rPr>
                <w:rFonts w:ascii="Arial" w:cs="Arial" w:eastAsia="Arial" w:hAnsi="Arial"/>
                <w:sz w:val="13"/>
                <w:szCs w:val="13"/>
                <w:color w:val="auto"/>
                <w:w w:val="88"/>
              </w:rPr>
              <w:t>New York Stock Exchange/Toronto Stock Exchange</w:t>
            </w:r>
          </w:p>
        </w:tc>
      </w:tr>
      <w:tr>
        <w:trPr>
          <w:trHeight w:val="189"/>
        </w:trPr>
        <w:tc>
          <w:tcPr>
            <w:tcW w:w="2380" w:type="dxa"/>
            <w:vAlign w:val="bottom"/>
            <w:gridSpan w:val="3"/>
          </w:tcPr>
          <w:p>
            <w:pPr>
              <w:jc w:val="center"/>
              <w:ind w:right="80"/>
              <w:spacing w:after="0"/>
              <w:rPr>
                <w:sz w:val="20"/>
                <w:szCs w:val="20"/>
                <w:color w:val="auto"/>
              </w:rPr>
            </w:pPr>
            <w:r>
              <w:rPr>
                <w:rFonts w:ascii="Arial" w:cs="Arial" w:eastAsia="Arial" w:hAnsi="Arial"/>
                <w:sz w:val="13"/>
                <w:szCs w:val="13"/>
                <w:color w:val="auto"/>
                <w:w w:val="88"/>
              </w:rPr>
              <w:t>Warrants (expiring July 10, 2019)</w:t>
            </w:r>
          </w:p>
        </w:tc>
        <w:tc>
          <w:tcPr>
            <w:tcW w:w="3300" w:type="dxa"/>
            <w:vAlign w:val="bottom"/>
          </w:tcPr>
          <w:p>
            <w:pPr>
              <w:spacing w:after="0"/>
              <w:rPr>
                <w:sz w:val="16"/>
                <w:szCs w:val="16"/>
                <w:color w:val="auto"/>
              </w:rPr>
            </w:pPr>
          </w:p>
        </w:tc>
        <w:tc>
          <w:tcPr>
            <w:tcW w:w="25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New York Stock Exchange</w:t>
            </w:r>
          </w:p>
        </w:tc>
      </w:tr>
    </w:tbl>
    <w:p>
      <w:pPr>
        <w:spacing w:after="0" w:line="106" w:lineRule="exact"/>
        <w:rPr>
          <w:sz w:val="24"/>
          <w:szCs w:val="24"/>
          <w:color w:val="auto"/>
        </w:rPr>
      </w:pPr>
    </w:p>
    <w:p>
      <w:pPr>
        <w:ind w:left="4000"/>
        <w:spacing w:after="0"/>
        <w:rPr>
          <w:sz w:val="20"/>
          <w:szCs w:val="20"/>
          <w:color w:val="auto"/>
        </w:rPr>
      </w:pPr>
      <w:r>
        <w:rPr>
          <w:rFonts w:ascii="Arial" w:cs="Arial" w:eastAsia="Arial" w:hAnsi="Arial"/>
          <w:sz w:val="13"/>
          <w:szCs w:val="13"/>
          <w:b w:val="1"/>
          <w:bCs w:val="1"/>
          <w:color w:val="auto"/>
        </w:rPr>
        <w:t>Securities registered pursuant to Section 12 (g) of the Act: None</w:t>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 -K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63" w:lineRule="exact"/>
        <w:rPr>
          <w:sz w:val="24"/>
          <w:szCs w:val="24"/>
          <w:color w:val="auto"/>
        </w:rPr>
      </w:pPr>
    </w:p>
    <w:p>
      <w:pPr>
        <w:ind w:left="30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p>
    <w:p>
      <w:pPr>
        <w:spacing w:after="0" w:line="132"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Do not check if a smaller reporting company</w:t>
      </w:r>
    </w:p>
    <w:p>
      <w:pPr>
        <w:spacing w:after="0" w:line="8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ind w:right="80"/>
        <w:spacing w:after="0" w:line="255" w:lineRule="auto"/>
        <w:rPr>
          <w:sz w:val="20"/>
          <w:szCs w:val="20"/>
          <w:color w:val="auto"/>
        </w:rPr>
      </w:pPr>
      <w:r>
        <w:rPr>
          <w:rFonts w:ascii="Arial" w:cs="Arial" w:eastAsia="Arial" w:hAnsi="Arial"/>
          <w:sz w:val="13"/>
          <w:szCs w:val="13"/>
          <w:color w:val="auto"/>
        </w:rPr>
        <w:t>The aggregate market value of the voting stock held by non-affiliates of the registrant (assuming only for purposes of this computation that directors and executive officers may be affiliates) was approximately $44.1 billion as of June 30, 2016.</w:t>
      </w:r>
    </w:p>
    <w:p>
      <w:pPr>
        <w:spacing w:after="0" w:line="87" w:lineRule="exact"/>
        <w:rPr>
          <w:sz w:val="24"/>
          <w:szCs w:val="24"/>
          <w:color w:val="auto"/>
        </w:rPr>
      </w:pPr>
    </w:p>
    <w:p>
      <w:pPr>
        <w:spacing w:after="0"/>
        <w:rPr>
          <w:sz w:val="20"/>
          <w:szCs w:val="20"/>
          <w:color w:val="auto"/>
        </w:rPr>
      </w:pPr>
      <w:r>
        <w:rPr>
          <w:rFonts w:ascii="Arial" w:cs="Arial" w:eastAsia="Arial" w:hAnsi="Arial"/>
          <w:sz w:val="13"/>
          <w:szCs w:val="13"/>
          <w:color w:val="auto"/>
        </w:rPr>
        <w:t>As of January 31, 2017 the number of shares outstanding of common stock was 1,497,964,557 shares.</w:t>
      </w:r>
    </w:p>
    <w:p>
      <w:pPr>
        <w:spacing w:after="0" w:line="211" w:lineRule="exact"/>
        <w:rPr>
          <w:sz w:val="24"/>
          <w:szCs w:val="24"/>
          <w:color w:val="auto"/>
        </w:rPr>
      </w:pPr>
    </w:p>
    <w:p>
      <w:pPr>
        <w:ind w:left="43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definitive Proxy Statement related to the Annual Stockholders Meeting to be filed subsequently are incorporated by reference into Part III of this Form 10-K.</w:t>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22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Business</w:t>
            </w:r>
          </w:p>
        </w:tc>
        <w:tc>
          <w:tcPr>
            <w:tcW w:w="8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w w:val="93"/>
              </w:rPr>
              <w:t>Risk Factors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1220" w:type="dxa"/>
            <w:vAlign w:val="bottom"/>
          </w:tcPr>
          <w:p>
            <w:pPr>
              <w:ind w:left="260"/>
              <w:spacing w:after="0" w:line="202" w:lineRule="exact"/>
              <w:rPr>
                <w:sz w:val="20"/>
                <w:szCs w:val="20"/>
                <w:color w:val="auto"/>
              </w:rPr>
            </w:pPr>
            <w:r>
              <w:rPr>
                <w:rFonts w:ascii="Arial" w:cs="Arial" w:eastAsia="Arial" w:hAnsi="Arial"/>
                <w:sz w:val="18"/>
                <w:szCs w:val="18"/>
                <w:color w:val="auto"/>
              </w:rPr>
              <w:t>Properties</w:t>
            </w:r>
          </w:p>
        </w:tc>
        <w:tc>
          <w:tcPr>
            <w:tcW w:w="8720" w:type="dxa"/>
            <w:vAlign w:val="bottom"/>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PART II</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Income Statements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Balance Sheets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Consolidated Statements of Equity</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99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Property</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Goodwill and Intangible Assets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Accrued and Other Liabilities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15.</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16.</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17.</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18.</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Interest Income and Other Non-Operating Income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19.</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20.</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82</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21.</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 Incentive Plans</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22.</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Supplementary Quarterly Financial Information (Unaudited)</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1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Note 23.</w:t>
            </w:r>
          </w:p>
        </w:tc>
        <w:tc>
          <w:tcPr>
            <w:tcW w:w="8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20" w:type="dxa"/>
            <w:vAlign w:val="bottom"/>
          </w:tcPr>
          <w:p>
            <w:pPr>
              <w:ind w:left="400"/>
              <w:spacing w:after="0" w:line="202" w:lineRule="exact"/>
              <w:rPr>
                <w:sz w:val="20"/>
                <w:szCs w:val="20"/>
                <w:color w:val="auto"/>
              </w:rPr>
            </w:pPr>
            <w:r>
              <w:rPr>
                <w:rFonts w:ascii="Arial" w:cs="Arial" w:eastAsia="Arial" w:hAnsi="Arial"/>
                <w:sz w:val="18"/>
                <w:szCs w:val="18"/>
                <w:color w:val="auto"/>
              </w:rPr>
              <w:t>Note 24.</w:t>
            </w:r>
          </w:p>
        </w:tc>
        <w:tc>
          <w:tcPr>
            <w:tcW w:w="8720" w:type="dxa"/>
            <w:vAlign w:val="bottom"/>
          </w:tcPr>
          <w:p>
            <w:pPr>
              <w:ind w:left="60"/>
              <w:spacing w:after="0" w:line="202" w:lineRule="exact"/>
              <w:rPr>
                <w:sz w:val="20"/>
                <w:szCs w:val="20"/>
                <w:color w:val="auto"/>
              </w:rPr>
            </w:pPr>
            <w:r>
              <w:rPr>
                <w:rFonts w:ascii="Arial" w:cs="Arial" w:eastAsia="Arial" w:hAnsi="Arial"/>
                <w:sz w:val="18"/>
                <w:szCs w:val="18"/>
                <w:color w:val="auto"/>
              </w:rPr>
              <w:t>Supplemental Information for the Consolidated Statements of Cash Flows</w:t>
            </w: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r>
      <w:tr>
        <w:trPr>
          <w:trHeight w:val="48"/>
        </w:trPr>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9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c>
          <w:tcPr>
            <w:tcW w:w="20" w:type="dxa"/>
            <w:vAlign w:val="bottom"/>
            <w:shd w:val="clear" w:color="auto" w:fill="CCEEFF"/>
          </w:tcPr>
          <w:p>
            <w:pPr>
              <w:spacing w:after="0"/>
              <w:rPr>
                <w:sz w:val="21"/>
                <w:szCs w:val="21"/>
                <w:color w:val="auto"/>
              </w:rPr>
            </w:pPr>
          </w:p>
        </w:tc>
      </w:tr>
      <w:tr>
        <w:trPr>
          <w:trHeight w:val="243"/>
        </w:trPr>
        <w:tc>
          <w:tcPr>
            <w:tcW w:w="980" w:type="dxa"/>
            <w:vAlign w:val="bottom"/>
            <w:tcBorders>
              <w:top w:val="single" w:sz="8" w:color="CCEEFF"/>
            </w:tcBorders>
          </w:tcPr>
          <w:p>
            <w:pPr>
              <w:spacing w:after="0"/>
              <w:rPr>
                <w:sz w:val="21"/>
                <w:szCs w:val="21"/>
                <w:color w:val="auto"/>
              </w:rPr>
            </w:pPr>
          </w:p>
        </w:tc>
        <w:tc>
          <w:tcPr>
            <w:tcW w:w="9880" w:type="dxa"/>
            <w:vAlign w:val="bottom"/>
            <w:tcBorders>
              <w:top w:val="single" w:sz="8" w:color="CCEEFF"/>
            </w:tcBorders>
          </w:tcPr>
          <w:p>
            <w:pPr>
              <w:ind w:left="4380"/>
              <w:spacing w:after="0"/>
              <w:rPr>
                <w:sz w:val="20"/>
                <w:szCs w:val="20"/>
                <w:color w:val="auto"/>
              </w:rPr>
            </w:pPr>
            <w:r>
              <w:rPr>
                <w:rFonts w:ascii="Arial" w:cs="Arial" w:eastAsia="Arial" w:hAnsi="Arial"/>
                <w:sz w:val="18"/>
                <w:szCs w:val="18"/>
                <w:b w:val="1"/>
                <w:bCs w:val="1"/>
                <w:color w:val="auto"/>
              </w:rPr>
              <w:t>PART III</w:t>
            </w:r>
          </w:p>
        </w:tc>
        <w:tc>
          <w:tcPr>
            <w:tcW w:w="3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880" w:type="dxa"/>
            <w:vAlign w:val="bottom"/>
          </w:tcPr>
          <w:p>
            <w:pPr>
              <w:ind w:left="20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2"/>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r>
      <w:tr>
        <w:trPr>
          <w:trHeight w:val="48"/>
        </w:trPr>
        <w:tc>
          <w:tcPr>
            <w:tcW w:w="9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Accountant Fees and Services</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20" w:type="dxa"/>
            <w:vAlign w:val="bottom"/>
            <w:shd w:val="clear" w:color="auto" w:fill="CCEEFF"/>
          </w:tcPr>
          <w:p>
            <w:pPr>
              <w:spacing w:after="0"/>
              <w:rPr>
                <w:sz w:val="21"/>
                <w:szCs w:val="21"/>
                <w:color w:val="auto"/>
              </w:rPr>
            </w:pPr>
          </w:p>
        </w:tc>
      </w:tr>
      <w:tr>
        <w:trPr>
          <w:trHeight w:val="243"/>
        </w:trPr>
        <w:tc>
          <w:tcPr>
            <w:tcW w:w="980" w:type="dxa"/>
            <w:vAlign w:val="bottom"/>
            <w:tcBorders>
              <w:top w:val="single" w:sz="8" w:color="CCEEFF"/>
            </w:tcBorders>
          </w:tcPr>
          <w:p>
            <w:pPr>
              <w:spacing w:after="0"/>
              <w:rPr>
                <w:sz w:val="21"/>
                <w:szCs w:val="21"/>
                <w:color w:val="auto"/>
              </w:rPr>
            </w:pPr>
          </w:p>
        </w:tc>
        <w:tc>
          <w:tcPr>
            <w:tcW w:w="9880" w:type="dxa"/>
            <w:vAlign w:val="bottom"/>
            <w:tcBorders>
              <w:top w:val="single" w:sz="8" w:color="CCEEFF"/>
            </w:tcBorders>
          </w:tcPr>
          <w:p>
            <w:pPr>
              <w:ind w:left="4380"/>
              <w:spacing w:after="0"/>
              <w:rPr>
                <w:sz w:val="20"/>
                <w:szCs w:val="20"/>
                <w:color w:val="auto"/>
              </w:rPr>
            </w:pPr>
            <w:r>
              <w:rPr>
                <w:rFonts w:ascii="Arial" w:cs="Arial" w:eastAsia="Arial" w:hAnsi="Arial"/>
                <w:sz w:val="18"/>
                <w:szCs w:val="18"/>
                <w:b w:val="1"/>
                <w:bCs w:val="1"/>
                <w:color w:val="auto"/>
              </w:rPr>
              <w:t>PART IV</w:t>
            </w:r>
          </w:p>
        </w:tc>
        <w:tc>
          <w:tcPr>
            <w:tcW w:w="3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9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5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20" w:type="dxa"/>
            <w:vAlign w:val="bottom"/>
            <w:shd w:val="clear" w:color="auto" w:fill="CCEEFF"/>
          </w:tcPr>
          <w:p>
            <w:pPr>
              <w:spacing w:after="0"/>
              <w:rPr>
                <w:sz w:val="17"/>
                <w:szCs w:val="17"/>
                <w:color w:val="auto"/>
              </w:rPr>
            </w:pPr>
          </w:p>
        </w:tc>
      </w:tr>
      <w:tr>
        <w:trPr>
          <w:trHeight w:val="48"/>
        </w:trPr>
        <w:tc>
          <w:tcPr>
            <w:tcW w:w="9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Signatures</w:t>
            </w:r>
          </w:p>
        </w:tc>
        <w:tc>
          <w:tcPr>
            <w:tcW w:w="9880" w:type="dxa"/>
            <w:vAlign w:val="bottom"/>
          </w:tcPr>
          <w:p>
            <w:pPr>
              <w:spacing w:after="0"/>
              <w:rPr>
                <w:sz w:val="17"/>
                <w:szCs w:val="17"/>
                <w:color w:val="auto"/>
              </w:rPr>
            </w:pPr>
          </w:p>
        </w:tc>
        <w:tc>
          <w:tcPr>
            <w:tcW w:w="540" w:type="dxa"/>
            <w:vAlign w:val="bottom"/>
            <w:gridSpan w:val="2"/>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9" w:right="23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General Motors Company (sometimes referred to as we, our, us, ourselves, the Company, General Motors, or GM) was incorporated as a Delaware corporation in 2009. We design, build and sell cars, trucks, crossovers and automobile parts worldwide. We also provide automotive financing services through General Motors Financial Company, Inc. (GM Financial). Except for per share amounts or as otherwise specified, amounts presented within tables are stated in millions.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Our automotive operations meet the demands of our customers through our automotive segments: GM North America (GMNA), GM Europe</w:t>
      </w:r>
      <w:r>
        <w:rPr>
          <w:rFonts w:ascii="Arial" w:cs="Arial" w:eastAsia="Arial" w:hAnsi="Arial"/>
          <w:sz w:val="18"/>
          <w:szCs w:val="18"/>
          <w:b w:val="1"/>
          <w:bCs w:val="1"/>
          <w:color w:val="auto"/>
        </w:rPr>
        <w:t xml:space="preserve"> </w:t>
      </w:r>
      <w:r>
        <w:rPr>
          <w:rFonts w:ascii="Arial" w:cs="Arial" w:eastAsia="Arial" w:hAnsi="Arial"/>
          <w:sz w:val="18"/>
          <w:szCs w:val="18"/>
          <w:color w:val="auto"/>
        </w:rPr>
        <w:t>(GME), GM International Operations (GMIO) and GM South America (GMSA).</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primarily meets the demands of customers in North America with vehicles developed, manufactured and/or marketed under the Buick, Cadillac, Chevrolet and GMC brands. GM primarily meets the demands of customers outside North America with vehicles developed, manufactured and/or marketed under the Buick, Cadillac, Chevrolet, GMC, Holden, Opel and Vauxhall brands. We also have equity ownership stakes in regional joint ventures (JVs), which meet the demands of customers in Asia with vehicles developed, manufactured and/or marketed under the Baojun, Buick, Cadillac, Chevrolet, Jiefang and Wuling brands.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Competitive Position and Vehicle Sales </w:t>
      </w:r>
      <w:r>
        <w:rPr>
          <w:rFonts w:ascii="Arial" w:cs="Arial" w:eastAsia="Arial" w:hAnsi="Arial"/>
          <w:sz w:val="16"/>
          <w:szCs w:val="16"/>
          <w:color w:val="auto"/>
        </w:rPr>
        <w:t>The principal factors that determine consumer vehicle preferences in the markets in which we operate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vehicle design, price, quality, available options, safety, reliability, fuel economy and functionality. Market leadership in individual countries in which we compete varies widely. We present both wholesale and retail vehicle sales data to assist in the analysis of our revenue and our market share.</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year ended December 31, 2016, 46.3% of our wholesale vehicle sales volume was generated outside the U.S. The following table summarizes total wholesale vehicle sales of new vehicles by automotive segment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1,127</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GMSA</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r>
      <w:tr>
        <w:trPr>
          <w:trHeight w:val="27"/>
        </w:trPr>
        <w:tc>
          <w:tcPr>
            <w:tcW w:w="5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9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Market</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86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17,882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17,854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20,234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Germany</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Total Europe(a)</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20,209</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19,307</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18,705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China(b)</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28,270</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25,050</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3,730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24,035</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w w:val="95"/>
              </w:rPr>
              <w:t>Total Asia/Pacific, Middle East and Africa</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47,175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44,577</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43,757</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South America</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Brazil</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Total South America</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Worldwide(c)</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92,926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89,572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9,959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88,009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9,932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United States</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Trucks</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United States</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17,882</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3,043</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17,854</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3,082</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China(b)</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SGMS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SGMW and FAW-GM</w:t>
            </w: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China</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28,270</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25,050</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24,035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Europe sales include Opel and Vauxhall sales of 1,159, 1,113 and 1,078, and market share of 5.7%, 5.8% and 5.8% in the years ending December 31, 2016, 2015 and 2014.</w:t>
      </w:r>
    </w:p>
    <w:p>
      <w:pPr>
        <w:jc w:val="both"/>
        <w:ind w:left="340" w:hanging="332"/>
        <w:spacing w:after="0" w:line="24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China sales include the Automotive China JVs SAIC General Motors Sales Co., Ltd. (SGMS), SAIC GM Wuling Automobile Co., Ltd. (SGMW) and FAW-GM Light Duty Commercial Vehicle Co., Ltd. (FAW-GM). Wholesale volumes were used for Industry, GM and Market Share. Our retail sales in China were 3,871, 3,613 and 3,435 in the years ended December 31, 2016, 2015 and 2014. In 2017, we will begin using vehicle registrations data as the basis for calculating industry volume and market share in China on a prospective basis.</w:t>
      </w:r>
    </w:p>
    <w:p>
      <w:pPr>
        <w:spacing w:after="0" w:line="2" w:lineRule="exact"/>
        <w:rPr>
          <w:rFonts w:ascii="Arial" w:cs="Arial" w:eastAsia="Arial" w:hAnsi="Arial"/>
          <w:sz w:val="16"/>
          <w:szCs w:val="16"/>
          <w:color w:val="auto"/>
        </w:rPr>
      </w:pPr>
    </w:p>
    <w:p>
      <w:pPr>
        <w:ind w:left="340" w:right="20" w:hanging="332"/>
        <w:spacing w:after="0" w:line="27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w:t>
      </w:r>
      <w:r>
        <w:rPr>
          <w:rFonts w:ascii="Arial" w:cs="Arial" w:eastAsia="Arial" w:hAnsi="Arial"/>
          <w:sz w:val="18"/>
          <w:szCs w:val="18"/>
          <w:color w:val="auto"/>
        </w:rPr>
        <w:t>.</w:t>
      </w:r>
      <w:r>
        <w:rPr>
          <w:rFonts w:ascii="Arial" w:cs="Arial" w:eastAsia="Arial" w:hAnsi="Arial"/>
          <w:sz w:val="16"/>
          <w:szCs w:val="16"/>
          <w:color w:val="auto"/>
        </w:rPr>
        <w:t xml:space="preserve"> Accordingly these countries are excluded from industry sales data and corresponding calculation of market share.</w:t>
      </w:r>
    </w:p>
    <w:p>
      <w:pPr>
        <w:spacing w:after="0" w:line="17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ended December 31, 2016 we estimate we had the largest market share in North America and South America, the number three market share in the Asia/Pacific, Middle East and Africa region, which included the number two market share in China, and the number eight market share in Europe. In the year ended December 31, 2016 the Asia/Pacific, Middle East and Africa region was our largest region by retail vehicle sales volume and represented 45.8% of our global retail vehicle sales. Refer to the Overview in Management's Discussion and Analysis of Financial Condition and Results of Operations (MD&amp;A) for discussion on changes in market share by region.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954"/>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GME</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GMSA</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32"/>
        </w:trPr>
        <w:tc>
          <w:tcPr>
            <w:tcW w:w="7280" w:type="dxa"/>
            <w:vAlign w:val="bottom"/>
          </w:tcPr>
          <w:p>
            <w:pPr>
              <w:ind w:left="180"/>
              <w:spacing w:after="0"/>
              <w:rPr>
                <w:sz w:val="20"/>
                <w:szCs w:val="20"/>
                <w:color w:val="auto"/>
              </w:rPr>
            </w:pPr>
            <w:r>
              <w:rPr>
                <w:rFonts w:ascii="Arial" w:cs="Arial" w:eastAsia="Arial" w:hAnsi="Arial"/>
                <w:sz w:val="18"/>
                <w:szCs w:val="18"/>
                <w:color w:val="auto"/>
              </w:rPr>
              <w:t>The following table summarizes U.S. fleet sales (vehicles in thousands):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80" w:type="dxa"/>
            <w:vAlign w:val="bottom"/>
          </w:tcPr>
          <w:p>
            <w:pPr>
              <w:spacing w:after="0"/>
              <w:rPr>
                <w:sz w:val="24"/>
                <w:szCs w:val="24"/>
                <w:color w:val="auto"/>
              </w:rPr>
            </w:pPr>
          </w:p>
        </w:tc>
        <w:tc>
          <w:tcPr>
            <w:tcW w:w="3120" w:type="dxa"/>
            <w:vAlign w:val="bottom"/>
            <w:tcBorders>
              <w:bottom w:val="single" w:sz="8" w:color="auto"/>
            </w:tcBorders>
            <w:gridSpan w:val="5"/>
          </w:tcPr>
          <w:p>
            <w:pPr>
              <w:jc w:val="center"/>
              <w:ind w:left="954"/>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Fleet sales as a percentage of total U.S. retail vehicle sales</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Trucks</w:t>
            </w: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Total vehicles</w:t>
            </w: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Product Pricing </w:t>
      </w:r>
      <w:r>
        <w:rPr>
          <w:rFonts w:ascii="Arial" w:cs="Arial" w:eastAsia="Arial" w:hAnsi="Arial"/>
          <w:sz w:val="18"/>
          <w:szCs w:val="18"/>
          <w:color w:val="auto"/>
        </w:rPr>
        <w:t>Several methods are used to promote our products, including the use of dealer, retail and fleet incentives such as customer rebates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rate support. The level of incentives is dependent in large part upon the level of competition in the markets in which we operate and the level of demand for our products. In 2017 we plan to continue to price vehicles competitively, including offering incentives as required. We believe this strategy, coupled with sound inventory management, will continue to strengthen our brands.</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 xml:space="preserve">Cyclical Nature of Business </w:t>
      </w:r>
      <w:r>
        <w:rPr>
          <w:rFonts w:ascii="Arial" w:cs="Arial" w:eastAsia="Arial" w:hAnsi="Arial"/>
          <w:sz w:val="17"/>
          <w:szCs w:val="17"/>
          <w:color w:val="auto"/>
        </w:rPr>
        <w:t>Retail sales are cyclical and production varies from month to month. Vehicle model changeovers occur throughout the year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of new market entries. The market for vehicles depends on general economic conditions, credit availability and consumer spending.</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Dealers </w:t>
      </w:r>
      <w:r>
        <w:rPr>
          <w:rFonts w:ascii="Arial" w:cs="Arial" w:eastAsia="Arial" w:hAnsi="Arial"/>
          <w:sz w:val="18"/>
          <w:szCs w:val="18"/>
          <w:color w:val="auto"/>
        </w:rPr>
        <w:t>We market vehicles worldwide primarily through a network of independent authorized retail dealers. These outlets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dealers and authorized sales, service and parts outlets.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number of authorized dealerships: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6,633</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1,272</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19,452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20,252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20,512</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and our joint ventures enter into a contract with each authorized dealer agreeing to sell to the dealer one or more specified product lines at wholesale prices and granting the dealer the right to sell those vehicles to retail customers from an approved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location. Our dealers often offer more than one GM brand at a single dealership in a number of our markets in order to enhance dealer profitability. Authorized dealers offer parts, accessories, service and repairs for GM vehicles in the product lines that they sell using GM parts and accessories. Our dealers are authorized to service GM vehicles under our limited warranty program and those repairs are made only with GM parts. Our dealers generally provide their customers with access to credit or lease financing, vehicle insurance and extended service contracts provided by GM Financial and other financial institutions.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quality of GM dealerships and our relationship with our dealers and distributors are critical to our success as dealers maintain the primary sales and service interface with the end consumer of our products. In addition to the terms of our contracts with our dealers we are regulated by various country and state franchise laws that may supersede those contractual terms and impose specific regulatory requirements and standards for initiating dealer network changes, pursuing terminations for cause and other contractual matters.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Research, Product and Business Development and Intellectual Property </w:t>
      </w:r>
      <w:r>
        <w:rPr>
          <w:rFonts w:ascii="Arial" w:cs="Arial" w:eastAsia="Arial" w:hAnsi="Arial"/>
          <w:sz w:val="17"/>
          <w:szCs w:val="17"/>
          <w:color w:val="auto"/>
        </w:rPr>
        <w:t>Costs for research, manufacturing engineering, product engineering and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development activities relate primarily to developing new products or services or improving existing products or services including activities related to vehicle emissions control, improved fuel economy, the safety of drivers and passengers, urban mobility and autonomous vehicles. In the years ended December 31, 2016, 2015 and 2014 research and development expenses were $8.1 billion, $7.5 billion and $7.4 billion.</w:t>
      </w:r>
    </w:p>
    <w:p>
      <w:pPr>
        <w:spacing w:after="0" w:line="17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The Product Development organization is responsible for designing and integrating vehicle and powertrain components to maximize</w:t>
      </w:r>
      <w:r>
        <w:rPr>
          <w:rFonts w:ascii="Arial" w:cs="Arial" w:eastAsia="Arial" w:hAnsi="Arial"/>
          <w:sz w:val="16"/>
          <w:szCs w:val="16"/>
          <w:i w:val="1"/>
          <w:iCs w:val="1"/>
          <w:color w:val="auto"/>
        </w:rPr>
        <w:t xml:space="preserve"> </w:t>
      </w:r>
      <w:r>
        <w:rPr>
          <w:rFonts w:ascii="Arial" w:cs="Arial" w:eastAsia="Arial" w:hAnsi="Arial"/>
          <w:sz w:val="16"/>
          <w:szCs w:val="16"/>
          <w:color w:val="auto"/>
        </w:rPr>
        <w:t>part sharing across multiple vehicle segments. Global teams in Design, Program Management, Component &amp; Subsystem Engineering, Product Integrity, Safety, Propulsion and Purchasing &amp; Supply Chain collaborate to meet customer requirements and maximize global economies of scale.</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global vehicle architecture development has been consolidated and headquartered at our Global Technical Center in Warren, Michigan, to further the standardization of our overall vehicle development process. Cross-segment part sharing is an essential enabler to our Vehicle Set Strategy, designed to reduce our overall number of global vehicle architectures to four major vehicle sets. As we implement the four vehicle sets, we will continue to leverage our current architecture portfolio to accommodate our customers around the world while achieving our financial goals.</w:t>
      </w:r>
    </w:p>
    <w:p>
      <w:pPr>
        <w:spacing w:after="0" w:line="17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Hybrid, Plug-In, Extended Range and Battery Electric Vehicles </w:t>
      </w:r>
      <w:r>
        <w:rPr>
          <w:rFonts w:ascii="Arial" w:cs="Arial" w:eastAsia="Arial" w:hAnsi="Arial"/>
          <w:sz w:val="17"/>
          <w:szCs w:val="17"/>
          <w:color w:val="auto"/>
        </w:rPr>
        <w:t>We are investing in multiple technologies offering increasing levels of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electrification including eAssist, plug-in hybrid, full hybrid, extended range and battery electric vehicles. We currently offer six models in the U.S. featuring some form of electrification and continue to develop plug-in hybrid electric vehicle technology and extended range electric vehicles such as the Chevrolet Volt. In 2016 we began production and sales of the Chevrolet Bolt EV, which provides an EPA-rated 238 miles of range on a full charge.</w:t>
      </w:r>
    </w:p>
    <w:p>
      <w:pPr>
        <w:spacing w:after="0" w:line="17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i w:val="1"/>
          <w:iCs w:val="1"/>
          <w:color w:val="auto"/>
        </w:rPr>
        <w:t xml:space="preserve">Car- and Ride-Sharing </w:t>
      </w:r>
      <w:r>
        <w:rPr>
          <w:rFonts w:ascii="Arial" w:cs="Arial" w:eastAsia="Arial" w:hAnsi="Arial"/>
          <w:sz w:val="16"/>
          <w:szCs w:val="16"/>
          <w:color w:val="auto"/>
        </w:rPr>
        <w:t>In 2016, we executed several steps in our strategy to redefine personal mobility. In January 2016 we announced a new car-sharing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called Maven, which combines our multiple car-sharing programs under a single brand. Maven gives customers access to highly personalized, on-demand mobility services. During 2016 we expanded our Maven offerings to 16 cities across the U.S. In January 2016 we also purchased a 9% equity ownership interest in Lyft, Inc. (Lyft), a privately held company, for $0.5 billion. In March 2016 we announced a new program called Express Drive, which leverages our Lyft relationship to expand our ride-sharing offerings. Under the Express Drive program, Lyft drivers in multiple cities across the U.S. can rent General Motors vehicles on a weekly basis. We are also considering additional options to expand our ride-sharing offerings. In November 2016 we announced that we are partnering with Uber Technologies Inc. (Uber) to pilot a program under which Uber drivers can rent General Motors vehicles on a weekly basis. Additionally, we plan to develop an integrated network of on-demand autonomous vehicles in the U.S.</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i w:val="1"/>
          <w:iCs w:val="1"/>
          <w:color w:val="auto"/>
        </w:rPr>
        <w:t xml:space="preserve">Autonomous Technology </w:t>
      </w:r>
      <w:r>
        <w:rPr>
          <w:rFonts w:ascii="Arial" w:cs="Arial" w:eastAsia="Arial" w:hAnsi="Arial"/>
          <w:sz w:val="16"/>
          <w:szCs w:val="16"/>
          <w:color w:val="auto"/>
        </w:rPr>
        <w:t>We see autonomous technology leading to significant advances in convenience, mobility and safety, since more than 90% of</w:t>
      </w:r>
      <w:r>
        <w:rPr>
          <w:rFonts w:ascii="Arial" w:cs="Arial" w:eastAsia="Arial" w:hAnsi="Arial"/>
          <w:sz w:val="16"/>
          <w:szCs w:val="16"/>
          <w:i w:val="1"/>
          <w:iCs w:val="1"/>
          <w:color w:val="auto"/>
        </w:rPr>
        <w:t xml:space="preserve"> </w:t>
      </w:r>
      <w:r>
        <w:rPr>
          <w:rFonts w:ascii="Arial" w:cs="Arial" w:eastAsia="Arial" w:hAnsi="Arial"/>
          <w:sz w:val="16"/>
          <w:szCs w:val="16"/>
          <w:color w:val="auto"/>
        </w:rPr>
        <w:t>crashes are caused by driver error. We have millions of miles of real-world experience with embedded connectivity through OnStar, LLC (OnStar) and advanced safety features that are the building blocks to more advanced automation features that we believe will eventually lead to fully autonomous vehicles. An example of advanced automation is Super Cruise, a hands-free driving customer convenience feature that will debut in 2017 on the Cadillac CT6 sedan.</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May 2016 we acquired all of the outstanding capital stock of Cruise Automation Inc. (Cruise), an autonomous vehicle technology company, to further accelerate our development of autonomous vehicles. We are also actively testing autonomous vehicles on public roads in San Francisco, California, Scottsdale, Arizona and Warren, Michigan.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Alternative Fuel Vehicles </w:t>
      </w:r>
      <w:r>
        <w:rPr>
          <w:rFonts w:ascii="Arial" w:cs="Arial" w:eastAsia="Arial" w:hAnsi="Arial"/>
          <w:sz w:val="17"/>
          <w:szCs w:val="17"/>
          <w:color w:val="auto"/>
        </w:rPr>
        <w:t>We believe alternative fuels offer significant potential to reduce petroleum consumption in the transportation sector. By leveraging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and capability developed around these technologies in our global operations we continue to develop FlexFuel vehicles that can run on gasoline-ethanol blend fuels as well as vehicles that run on compressed natural gas (CNG) and liquefied petroleum gas (LPG).</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currently offer 11 FlexFuel vehicles in the U.S. for the 2017 model year to retail customers plus an additional seven models to fleet and commercial customers capable of operating on gasoline, E85 ethanol or any combination of the two. In Brazil a substantial majority of vehicles sold were FlexFuel vehicles capable of running on 100% ethanol blends. We also market FlexFuel vehicles in other global markets where biofuels have emerged in the marketplace. In addition, we are studying ethanol-based fuels as well as other high-octane fuel blends and the role they can play in maximizing efficiencies of future internal combustion engine technology development to meet the escalating fuel economy and greenhouse gas emission regulations in the U.S. and other markets.</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produce CNG bi-fuel capable vehicles in Europe such as the Opel Zafira Tourer and the Opel Combo van. In the U.S. we are developing a program to offer a wide selection of truck and van options through a specialty vehicle manufacturing program, operating on CNG or LPG, which are suitable for fleet and commercial applications and retail customers alike. Availability is scheduled to begin in 2017. Globally, we offer CNG and LPG capable vehicles in select markets reflecting the infrastructure, regulatory focus and natural resource availability of the markets in which they are sold. We support the development of biodiesel blend fuels, which are alternative diesel fuels produced from renewable sources.</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Hydrogen Fuel Cell Technology </w:t>
      </w:r>
      <w:r>
        <w:rPr>
          <w:rFonts w:ascii="Arial" w:cs="Arial" w:eastAsia="Arial" w:hAnsi="Arial"/>
          <w:sz w:val="16"/>
          <w:szCs w:val="16"/>
          <w:color w:val="auto"/>
        </w:rPr>
        <w:t>As part of our long-term strategy to reduce petroleum consumption and greenhouse gas emissions we are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our hydrogen fuel cell technology. Our Chevrolet Equinox fuel cell electric vehicle demonstration programs, such as Project Driveway, have accumulated more than 3 million miles of real-world driving by consumers, celebrities, business partners and government agencies. These programs are helping us identify consumer and infrastructure needs to understand the business case for potential production of vehicles with this technology. We are exploring non-traditional automotive uses for fuel cells in several areas, including demonstrations with the U.S. Army and U.S. Navy.</w:t>
      </w:r>
    </w:p>
    <w:p>
      <w:pPr>
        <w:spacing w:after="0" w:line="15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signed a co-development agreement with Honda Motor Company in October 2016 for a next-generation fuel cell system and hydrogen storage technologies, aiming for the 2020 timeframe for commercialization. The collaboration expects to succeed by sharing expertise, economies of scale and common sourcing strategies and builds upon GM's and Honda Motor Company's strengths as leaders in hydrogen fuel cell technology.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 xml:space="preserve">Fuel Efficiency </w:t>
      </w:r>
      <w:r>
        <w:rPr>
          <w:rFonts w:ascii="Arial" w:cs="Arial" w:eastAsia="Arial" w:hAnsi="Arial"/>
          <w:sz w:val="17"/>
          <w:szCs w:val="17"/>
          <w:color w:val="auto"/>
        </w:rPr>
        <w:t>We are committed to improving fuel efficiency and meeting regulatory standards through a combination of strategies including:</w:t>
      </w:r>
    </w:p>
    <w:p>
      <w:pPr>
        <w:spacing w:after="0" w:line="35" w:lineRule="exact"/>
        <w:rPr>
          <w:sz w:val="20"/>
          <w:szCs w:val="20"/>
          <w:color w:val="auto"/>
        </w:rPr>
      </w:pPr>
    </w:p>
    <w:p>
      <w:pPr>
        <w:ind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technology improvements to conventional powertrains; (2) increased use of smaller displacement engines and improved and advanced automatic transmissions; and (3) vehicle improvements including increased use of lighter, front-wheel drive architectures.</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OnStar </w:t>
      </w:r>
      <w:r>
        <w:rPr>
          <w:rFonts w:ascii="Arial" w:cs="Arial" w:eastAsia="Arial" w:hAnsi="Arial"/>
          <w:sz w:val="18"/>
          <w:szCs w:val="18"/>
          <w:color w:val="auto"/>
        </w:rPr>
        <w:t>OnStar is a wholly-owned subsidiary of GM serving more than 7.2 million subscribers in the U.S., Canada, Mexico, China (through a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South America and Europe. OnStar is a provider of connected safety, security and mobility solutions and advanced information technology and is available on the majority of our 2017 model year vehicles. OnStar's key services include automatic crash response, stolen vehicle assistance, remote door unlock, turn-by-turn navigation, vehicle diagnostics, hands-free calling and 4G LTE wireless connectivity.</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We generate and hold a significant number of patents in a number of countries in connection with the operation of our business. While</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these patents are individually material to our business as a whole, these patents are important to our operations and continued technological development. We hold a number of trademarks and service marks that are very important to our identity and recognition in the marketplace.</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Raw Materials, Services and Supplies </w:t>
      </w:r>
      <w:r>
        <w:rPr>
          <w:rFonts w:ascii="Arial" w:cs="Arial" w:eastAsia="Arial" w:hAnsi="Arial"/>
          <w:sz w:val="18"/>
          <w:szCs w:val="18"/>
          <w:color w:val="auto"/>
        </w:rPr>
        <w:t>We purchase a wide variety of raw materials, parts, supplies, energy, freight, transportation and other services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suppliers to manufacture our products. The raw materials primarily include steel, aluminum, resins, copper, lead and platinum group metals. We have not experienced any significant shortages of raw materials and normally do not carry substantial inventories of such raw materials in excess of levels reasonably required to meet our production requirements.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some instances, we purchase systems, components, parts and supplies from a single source and may be at an increased risk for supply disruptions. The inability or unwillingness of these sources to supply us with parts and supplies could have a material adverse effect on our production capacity. Refer to Item 1A. Risk Factors for further discussion of these risks. Combined purchases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from our two largest suppliers have ranged from approximately 11% to 12% of our total purchases in the years ended December 31, 2016, 2015 and 2014.</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and Regulatory Matters</w:t>
      </w:r>
    </w:p>
    <w:p>
      <w:pPr>
        <w:spacing w:after="0" w:line="225"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Automotive Emissions Control </w:t>
      </w:r>
      <w:r>
        <w:rPr>
          <w:rFonts w:ascii="Arial" w:cs="Arial" w:eastAsia="Arial" w:hAnsi="Arial"/>
          <w:sz w:val="16"/>
          <w:szCs w:val="16"/>
          <w:color w:val="auto"/>
        </w:rPr>
        <w:t>We are subject to laws and regulations that require us to control automotive emissions, including vehicle exhaust emission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vehicle evaporative emission standards and onboard diagnostic (OBD) system requirements. Advanced OBD systems are used to identify and diagnose problems with emission control systems. Problems detected by the OBD system and in-use compliance monitoring may increase warranty costs and the likelihood of recall. Emission and OBD requirements become more stringent each year as vehicles must meet lower emission standards and new diagnostics are required throughout the world with very little harmonization of global regulations. Zero emission vehicle (ZEV) requirements have been adopted by some U.S. states as well as the Canadian Province of Quebec and there is the possibility that additional jurisdictions could adopt ZEV requirements in the future. While we believe all our products are designed and manufactured in material compliance with substantially all vehicle emissions requirements, regulatory authorities may conduct ongoing evaluations of the emissions compliance of products from all manufacturers. This includes vehicle emissions testing, including CO</w:t>
      </w:r>
      <w:r>
        <w:rPr>
          <w:rFonts w:ascii="Arial" w:cs="Arial" w:eastAsia="Arial" w:hAnsi="Arial"/>
          <w:sz w:val="11"/>
          <w:szCs w:val="11"/>
          <w:color w:val="auto"/>
        </w:rPr>
        <w:t>2</w:t>
      </w:r>
      <w:r>
        <w:rPr>
          <w:rFonts w:ascii="Arial" w:cs="Arial" w:eastAsia="Arial" w:hAnsi="Arial"/>
          <w:sz w:val="16"/>
          <w:szCs w:val="16"/>
          <w:color w:val="auto"/>
        </w:rPr>
        <w:t xml:space="preserve"> and nitrogen oxide emissions testing, and review of emission control strategies.</w:t>
      </w:r>
    </w:p>
    <w:p>
      <w:pPr>
        <w:spacing w:after="0" w:line="16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U.S. federal government imposes stringent emission control requirements on vehicles sold in the U.S. and various state governments impose additional requirements. Canada’s federal government vehicle emission requirements are generally aligned with the U.S. federal requirements. Each model year we must obtain certification for each test group that our vehicles will meet emission requirements from the U.S. Environmental Protection Agency (EPA) before we can sell vehicles in the U.S. and Canada and from the California Air Resources Board (CARB) before we can sell vehicles in California and other states that have adopted the California emissions requirements.</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CARB's latest emission requirements include more stringent exhaust emission and evaporative emission standards including an increase in ZEVs which must be offered for sale in California. CARB has adopted 2018 model year and later requirements for increasing volumes of ZEVs to achieve greenhouse gas as well as criteria pollutant emission reductions to help achieve the state's long-term greenhouse gas reduction goals. The EPA has adopted similar exhaust emission and evaporative emission standards which phase in with the 2017 model year, but do not include ZEV requirements. These new requirements will also increase the time and mileage periods over which manufacturers are responsible for a vehicle's emission performance.</w:t>
      </w:r>
    </w:p>
    <w:p>
      <w:pPr>
        <w:spacing w:after="0" w:line="15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Clean Air Act permits states that have areas with air quality compliance issues to adopt the California car and light-duty truck emission standards in lieu of the federal requirements. Thirteen states currently have these standards in effect and 10 of these 13 states have adopted the ZEV requirements.</w:t>
      </w:r>
    </w:p>
    <w:p>
      <w:pPr>
        <w:spacing w:after="0" w:line="12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Emissions in the European Union are regulated by the European Commission (EC) and by governmental authorities in each European Union Member State (EU Member States). The EC imposes emission control requirements on vehicles sold in all 28 EU Member States. We must demonstrate that vehicles will meet emission requirements from an approval authority in one EU Member State before we can sell vehicles in any EU Member State. The regulatory requirements include random testing of newly assembled vehicles and a manufacturer in-use surveillance program. The European Union requirements are equivalent in terms of stringency and implementation to the framework of the United Nations Economic Commission for Europe.</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existing level of European Union exhaust emission standards for cars and light-duty trucks, Euro 6, was effective in 2014 for new vehicle approvals and 2015 for new vehicle registrations. Future emission standards focus particularly on further reducing emissions from diesel vehicles by introducing new testing criteria based on “real world driving” emissions (RDE). RDE tests will become effective in 2017. The new requirements will require additional technologies and further increase the cost of diesel engines, which currently cost more than gasoline engines to manufacture. To comply with RDE tests we believe it will be necessary to implement technologies which will introduce additional cost pressures on the already challenging European Union market for small and mid-size diesel vehicles. Declines in diesel penetration may make fleet CO</w:t>
      </w:r>
      <w:r>
        <w:rPr>
          <w:rFonts w:ascii="Arial" w:cs="Arial" w:eastAsia="Arial" w:hAnsi="Arial"/>
          <w:sz w:val="11"/>
          <w:szCs w:val="11"/>
          <w:color w:val="auto"/>
        </w:rPr>
        <w:t>2</w:t>
      </w:r>
      <w:r>
        <w:rPr>
          <w:rFonts w:ascii="Arial" w:cs="Arial" w:eastAsia="Arial" w:hAnsi="Arial"/>
          <w:sz w:val="17"/>
          <w:szCs w:val="17"/>
          <w:color w:val="auto"/>
        </w:rPr>
        <w:t xml:space="preserve"> compliance more challenging. Gasoline engines are also affected by the new requirements. The potential implementation of technology into gasoline vehicles to reduce exhaust pollutant emissions may further increase the cost of gasoline engines and could have adverse effects on vehicle fuel economy.</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increased scrutiny of compliance with emissions standards may result in changes to these standards, including the implementation of RDE tests, as well as stricter interpretations or redefinition of these standards and more rigorous enforcement. This may lead to increased costs, penalties, lack of certainty with respect to product portfolio planning, negative publicity or reputation impact for us. Refer to Item 1A. Risk Factors for further discussion of these risks.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long-term, we expect that the EC will continue devising regulatory requirements on the emission test cycle, RDE, low temperature testing, fuel evaporation and OBD.</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China has implemented European type China 4 standards nationally with European OBD requirements for new vehicle registrations. Cities such as Beijing, Shanghai and Guangzhou each currently require China 5 standards for new vehicle registrations. China implemented the China 5 standards for light duty gasoline nationwide at the beginning of 2017. The China 5 standards include more stringent emission requirements and increase the time and mileage periods over which manufacturers are responsible for a vehicle's emission performance. China officially released a unique China 6 emission standard with the potential to combine elements of both European and U.S. standards. Local implementation is expected as early as 2018. Nationwide implementation for new registrations is expected in July 2020 for the base China 6a standard and July 2023 for the more stringent China 6b standard.</w:t>
      </w:r>
    </w:p>
    <w:p>
      <w:pPr>
        <w:spacing w:after="0" w:line="178"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In South America certain countries follow the U.S. test procedures, standards and OBD requirements and others follow the European Union test procedures, standards and OBD requirements with different levels of stringency. Brazil implemented national L6 standards for light diesel vehicles in 2012 and OBD installation for light diesel vehicles in 2015. L6 standards for light gasoline vehicles were implemented in 2015 for all models.</w:t>
      </w:r>
    </w:p>
    <w:p>
      <w:pPr>
        <w:spacing w:after="0" w:line="166"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Automotive Fuel Economy </w:t>
      </w:r>
      <w:r>
        <w:rPr>
          <w:rFonts w:ascii="Arial" w:cs="Arial" w:eastAsia="Arial" w:hAnsi="Arial"/>
          <w:sz w:val="17"/>
          <w:szCs w:val="17"/>
          <w:color w:val="auto"/>
        </w:rPr>
        <w:t>In the U.S., Corporate Average Fuel Economy (CAFE) reporting is required for three separate fleets: domestically produced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cars, imported cars and light-duty trucks. Both car and light-duty truck standards were established using targets for various vehicle sizes and vehicle model sales volumes. In 2017 our domestic car standard is estimated to be 38.1 mpg, our import car standard is estimated to be 41.7 mpg, and our light-duty truck standard is estimated to be 27.6 mpg. Our current product plan is expected to be compliant with the federal CAFE program through the 2017 model year. In addition to federal CAFE reporting, the EPA requires compliance with greenhouse gas requirements that are similar to the CAFE program. Our current product plan is expected to be compliant with the federal greenhouse gas program through the 2017 model year. CARB has agreed that compliance with the federal program is deemed to be compliant with the California program for the 2012 through 2017 model years. Although Canada has no parallel CAFE-style fuel economy regulations there are Canadian greenhouse gas regulations that are aligned with the U.S. EPA regulations and Canadian fleets are expected to be compliant with these regulations through the 2017 model year. We regularly evaluate our current and future product plans and strategies for compliance with fuel economy and greenhouse gas regulations.</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Unlike other jurisdictions, the European Union's climate change policy framework focuses on fleet average CO</w:t>
      </w:r>
      <w:r>
        <w:rPr>
          <w:rFonts w:ascii="Arial" w:cs="Arial" w:eastAsia="Arial" w:hAnsi="Arial"/>
          <w:sz w:val="12"/>
          <w:szCs w:val="12"/>
          <w:color w:val="auto"/>
        </w:rPr>
        <w:t>2</w:t>
      </w:r>
      <w:r>
        <w:rPr>
          <w:rFonts w:ascii="Arial" w:cs="Arial" w:eastAsia="Arial" w:hAnsi="Arial"/>
          <w:sz w:val="18"/>
          <w:szCs w:val="18"/>
          <w:color w:val="auto"/>
        </w:rPr>
        <w:t xml:space="preserve"> emissions rather than fuel economy. The European Union has implemented legislation regulating fleet average CO</w:t>
      </w:r>
      <w:r>
        <w:rPr>
          <w:rFonts w:ascii="Arial" w:cs="Arial" w:eastAsia="Arial" w:hAnsi="Arial"/>
          <w:sz w:val="12"/>
          <w:szCs w:val="12"/>
          <w:color w:val="auto"/>
        </w:rPr>
        <w:t>2</w:t>
      </w:r>
      <w:r>
        <w:rPr>
          <w:rFonts w:ascii="Arial" w:cs="Arial" w:eastAsia="Arial" w:hAnsi="Arial"/>
          <w:sz w:val="18"/>
          <w:szCs w:val="18"/>
          <w:color w:val="auto"/>
        </w:rPr>
        <w:t xml:space="preserve"> emissions in Europe and has adopted an even more stringent fleet average CO</w:t>
      </w:r>
      <w:r>
        <w:rPr>
          <w:rFonts w:ascii="Arial" w:cs="Arial" w:eastAsia="Arial" w:hAnsi="Arial"/>
          <w:sz w:val="12"/>
          <w:szCs w:val="12"/>
          <w:color w:val="auto"/>
        </w:rPr>
        <w:t>2</w:t>
      </w:r>
      <w:r>
        <w:rPr>
          <w:rFonts w:ascii="Arial" w:cs="Arial" w:eastAsia="Arial" w:hAnsi="Arial"/>
          <w:sz w:val="18"/>
          <w:szCs w:val="18"/>
          <w:color w:val="auto"/>
        </w:rPr>
        <w:t xml:space="preserve"> target for 2020. Requirements must be met through the introduction of CO</w:t>
      </w:r>
      <w:r>
        <w:rPr>
          <w:rFonts w:ascii="Arial" w:cs="Arial" w:eastAsia="Arial" w:hAnsi="Arial"/>
          <w:sz w:val="12"/>
          <w:szCs w:val="12"/>
          <w:color w:val="auto"/>
        </w:rPr>
        <w:t>2</w:t>
      </w:r>
      <w:r>
        <w:rPr>
          <w:rFonts w:ascii="Arial" w:cs="Arial" w:eastAsia="Arial" w:hAnsi="Arial"/>
          <w:sz w:val="18"/>
          <w:szCs w:val="18"/>
          <w:color w:val="auto"/>
        </w:rPr>
        <w:t xml:space="preserve"> reducing technologies on conventional gasoline and diesel engines or through ultra-low CO</w:t>
      </w:r>
      <w:r>
        <w:rPr>
          <w:rFonts w:ascii="Arial" w:cs="Arial" w:eastAsia="Arial" w:hAnsi="Arial"/>
          <w:sz w:val="12"/>
          <w:szCs w:val="12"/>
          <w:color w:val="auto"/>
        </w:rPr>
        <w:t>2</w:t>
      </w:r>
      <w:r>
        <w:rPr>
          <w:rFonts w:ascii="Arial" w:cs="Arial" w:eastAsia="Arial" w:hAnsi="Arial"/>
          <w:sz w:val="18"/>
          <w:szCs w:val="18"/>
          <w:color w:val="auto"/>
        </w:rPr>
        <w:t xml:space="preserve"> vehicles. We are developing a compliance plan by adopting operational CO</w:t>
      </w:r>
      <w:r>
        <w:rPr>
          <w:rFonts w:ascii="Arial" w:cs="Arial" w:eastAsia="Arial" w:hAnsi="Arial"/>
          <w:sz w:val="12"/>
          <w:szCs w:val="12"/>
          <w:color w:val="auto"/>
        </w:rPr>
        <w:t>2</w:t>
      </w:r>
      <w:r>
        <w:rPr>
          <w:rFonts w:ascii="Arial" w:cs="Arial" w:eastAsia="Arial" w:hAnsi="Arial"/>
          <w:sz w:val="18"/>
          <w:szCs w:val="18"/>
          <w:color w:val="auto"/>
        </w:rPr>
        <w:t xml:space="preserve"> targets for each market entry in Europe. The EC will also devise regulatory requirements on the CO</w:t>
      </w:r>
      <w:r>
        <w:rPr>
          <w:rFonts w:ascii="Arial" w:cs="Arial" w:eastAsia="Arial" w:hAnsi="Arial"/>
          <w:sz w:val="12"/>
          <w:szCs w:val="12"/>
          <w:color w:val="auto"/>
        </w:rPr>
        <w:t>2</w:t>
      </w:r>
      <w:r>
        <w:rPr>
          <w:rFonts w:ascii="Arial" w:cs="Arial" w:eastAsia="Arial" w:hAnsi="Arial"/>
          <w:sz w:val="18"/>
          <w:szCs w:val="18"/>
          <w:color w:val="auto"/>
        </w:rPr>
        <w:t xml:space="preserve"> emission test cycle as of 2017.</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China has both an individual vehicle pass-fail type approval requirement based on Phase 3 standards and a fleet fuel consumption requirement based on Phase 4 standards effective in 2016. The China Phase 4 fleet fuel consumption standard is based on curb weight with full compliance to 5.0 L/100 km required by 2020. China has continued subsidies for plug-in hybrid, battery electric and fuel cell vehicles. China proposes a Phase 5 fleet fuel consumption standard effective beginning in 2021 with full compliance to 4.0L/100km required by 2025.</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Brazil the government has set fuel economy requirements called Inovar Auto. Original equipment manufacturers have mandatory fleet average compliance required by October 2017 resulting in a reduction from 2012 levels. The Brazilian government provides indirect tax incentives to eligible participant companies that meet certain requirements including these fuel economy targets. The level of potential indirect tax incentives varies based on the timing and degree to which the targets are met. Participating companies that fail to meet the required criteria are subject to clawback provisions and specific fines.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Industrial Environmental Control </w:t>
      </w:r>
      <w:r>
        <w:rPr>
          <w:rFonts w:ascii="Arial" w:cs="Arial" w:eastAsia="Arial" w:hAnsi="Arial"/>
          <w:sz w:val="18"/>
          <w:szCs w:val="18"/>
          <w:color w:val="auto"/>
        </w:rPr>
        <w:t>Our operations are subject to a wide range of environmental protection laws including those regulating air emissions,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 mitigate the effects our worldwide operations have on the environment and reduce greenhouse gas emissions associated with waste disposal, we are committed to converting as many of our worldwide operations as possible to landfill-free operations. At December 31, 2016, 100 (or approximately 60%) of our manufacturing operations were landfill-free. Additionally we have 52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non-manufacturing operations that are landfill-free. At our landfill-free manufacturing operations approximately 90% of waste materials are reused or recycled and approximately 10% are converted to energy at waste-to-energy facilities. Including construction, demolition and remediation wastes, we estimate that we reused, recycled or composted over 2.5 million metric tons of waste materials at our global manufacturing operations, converted over 137,000 metric tons of waste materials to energy at waste-to-energy facilities and avoided approximately 9 million metric tons of greenhouse gas emissions in the year ended December 31, 2016.</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to minimizing our impact on the environment our landfill-free program and total waste reduction commitments generate revenue from the sale of production by-products, reduce our use of material, reduce our carbon footprint and help to reduce the risks and financial liabilities associated with waste disposal.</w:t>
      </w:r>
    </w:p>
    <w:p>
      <w:pPr>
        <w:spacing w:after="0" w:line="18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 xml:space="preserve">We continue to search for ways to increase our use of renewable energy and improve our energy efficiency and work to drive growth and scale of renewables. We have committed to meeting the electricity needs of our operations worldwide with renewable energy by 2050. At December 31, 2016 we had implemented projects globally that had increased our total renewable energy capacity to over 167 megawatts. In 2016 we also met the EPA Energy Star Challenge for Industry (EPA Challenge) </w:t>
      </w:r>
      <w:r>
        <w:rPr>
          <w:rFonts w:ascii="Arial" w:cs="Arial" w:eastAsia="Arial" w:hAnsi="Arial"/>
          <w:sz w:val="17"/>
          <w:szCs w:val="17"/>
          <w:color w:val="222222"/>
        </w:rPr>
        <w:t>at 12 of our sites globally by reducing energy intensity an average of 18% at these sites. To meet the EPA Challenge</w:t>
      </w:r>
      <w:r>
        <w:rPr>
          <w:rFonts w:ascii="Arial" w:cs="Arial" w:eastAsia="Arial" w:hAnsi="Arial"/>
          <w:sz w:val="17"/>
          <w:szCs w:val="17"/>
          <w:color w:val="auto"/>
        </w:rPr>
        <w:t xml:space="preserve"> </w:t>
      </w:r>
      <w:r>
        <w:rPr>
          <w:rFonts w:ascii="Arial" w:cs="Arial" w:eastAsia="Arial" w:hAnsi="Arial"/>
          <w:sz w:val="17"/>
          <w:szCs w:val="17"/>
          <w:color w:val="222222"/>
        </w:rPr>
        <w:t xml:space="preserve">industrial sites must reduce energy intensity by 10% in five years or fewer. Two of the sites achieved the goal for the first time, bringing the total number of GM-owned sites to have met the EPA Challenge to 75, with many sites achieving the goal multiple times. These efforts minimize our utility expenses and </w:t>
      </w:r>
      <w:r>
        <w:rPr>
          <w:rFonts w:ascii="Arial" w:cs="Arial" w:eastAsia="Arial" w:hAnsi="Arial"/>
          <w:sz w:val="17"/>
          <w:szCs w:val="17"/>
          <w:color w:val="000000"/>
        </w:rPr>
        <w:t>are</w:t>
      </w:r>
      <w:r>
        <w:rPr>
          <w:rFonts w:ascii="Arial" w:cs="Arial" w:eastAsia="Arial" w:hAnsi="Arial"/>
          <w:sz w:val="17"/>
          <w:szCs w:val="17"/>
          <w:color w:val="222222"/>
        </w:rPr>
        <w:t xml:space="preserve"> </w:t>
      </w:r>
      <w:r>
        <w:rPr>
          <w:rFonts w:ascii="Arial" w:cs="Arial" w:eastAsia="Arial" w:hAnsi="Arial"/>
          <w:sz w:val="17"/>
          <w:szCs w:val="17"/>
          <w:color w:val="000000"/>
        </w:rPr>
        <w:t>part of our approach to addressing climate change through setting a greenhouse gas emissions reduction target, collecting accurate data, following our business plan and publicly reporting progress against our target.</w:t>
      </w:r>
    </w:p>
    <w:p>
      <w:pPr>
        <w:spacing w:after="0" w:line="1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Chemical Regulations </w:t>
      </w:r>
      <w:r>
        <w:rPr>
          <w:rFonts w:ascii="Arial" w:cs="Arial" w:eastAsia="Arial" w:hAnsi="Arial"/>
          <w:sz w:val="18"/>
          <w:szCs w:val="18"/>
          <w:color w:val="auto"/>
        </w:rPr>
        <w:t>We continually monitor the implementation of chemical regulations to maintain compliance and evaluate their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suppliers and the automotive industry.</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7"/>
          <w:szCs w:val="17"/>
          <w:color w:val="auto"/>
        </w:rPr>
        <w:t xml:space="preserve">Governmental agencies in both the U.S. and Canada continue to introduce new regulations and legislation related to the selection and use of chemicals or substances of concern by mandating broad prohibitions,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Chemical restrictions in Canada are progressing rapidly as a result of Environment Canada’s Chemical Management Plan to assess existing substances and implement risk management controls on any chemical deemed toxic. In </w:t>
      </w:r>
      <w:r>
        <w:rPr>
          <w:rFonts w:ascii="Arial" w:cs="Arial" w:eastAsia="Arial" w:hAnsi="Arial"/>
          <w:sz w:val="17"/>
          <w:szCs w:val="17"/>
          <w:color w:val="151515"/>
        </w:rPr>
        <w:t>June 2016, the U.S. enacted the Chemical Safety for the 21</w:t>
      </w:r>
      <w:r>
        <w:rPr>
          <w:rFonts w:ascii="Arial" w:cs="Arial" w:eastAsia="Arial" w:hAnsi="Arial"/>
          <w:sz w:val="24"/>
          <w:szCs w:val="24"/>
          <w:color w:val="151515"/>
          <w:vertAlign w:val="superscript"/>
        </w:rPr>
        <w:t>st</w:t>
      </w:r>
      <w:r>
        <w:rPr>
          <w:rFonts w:ascii="Arial" w:cs="Arial" w:eastAsia="Arial" w:hAnsi="Arial"/>
          <w:sz w:val="17"/>
          <w:szCs w:val="17"/>
          <w:color w:val="auto"/>
        </w:rPr>
        <w:t xml:space="preserve"> </w:t>
      </w:r>
      <w:r>
        <w:rPr>
          <w:rFonts w:ascii="Arial" w:cs="Arial" w:eastAsia="Arial" w:hAnsi="Arial"/>
          <w:sz w:val="17"/>
          <w:szCs w:val="17"/>
          <w:color w:val="151515"/>
        </w:rPr>
        <w:t>Century Act</w:t>
      </w:r>
      <w:r>
        <w:rPr>
          <w:rFonts w:ascii="Arial" w:cs="Arial" w:eastAsia="Arial" w:hAnsi="Arial"/>
          <w:sz w:val="17"/>
          <w:szCs w:val="17"/>
          <w:color w:val="auto"/>
        </w:rPr>
        <w:t xml:space="preserve"> that grants the EPA more authority to regulate and ban chemicals from use in the U.S. and is expected to increase the level of regulation of chemicals in vehicles. These emerging regulations will potentially lead to increases in costs and supply chain complexity. We believe that we are materially in compliance with substantially all of these requirements or expect to be materially in compliance by the required date.</w:t>
      </w:r>
    </w:p>
    <w:p>
      <w:pPr>
        <w:spacing w:after="0" w:line="19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2007 the European Union implemented its regulatory requirements, the EU REACH regulation among others, to register, evaluate, authorize and restrict the use of chemical substances. This regulation requires chemical substances manufactured in or imported into the European Union to be registered with the European Chemicals Agency before 2018. Under this regulation, “substances of very high concern” may either require authorization for further use or may be restricted in the future. This could potentially increase the cost of certain alternative substances that are used to manufacture vehicles and parts, or result in a supply chain disruption when a substance is no longer available to meet production timelines. Our research and development initiatives may be used to address future requirements. We believe that we are materially in compliance with substantially all of these requirements or expect to be materially in compliance by the required date.</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There are various regulations in China stipulating the requirements for chemical management. Among other things, these regulations catalogue and restrict the use and the import and export of various chemical substances. The failure of our joint venture partners or our suppliers to comply with these regulations could disrupt production in China or prevent our joint venture partners from selling the affected products in the China market.</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Safety </w:t>
      </w:r>
      <w:r>
        <w:rPr>
          <w:rFonts w:ascii="Arial" w:cs="Arial" w:eastAsia="Arial" w:hAnsi="Arial"/>
          <w:sz w:val="17"/>
          <w:szCs w:val="17"/>
          <w:color w:val="auto"/>
        </w:rPr>
        <w:t>In the U.S. the National Traffic and Motor Vehicle Safety Act of 1966 prohibits the sale of any new vehicle or equipment in the U.S. that does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conform to applicable vehicle safety standards established by the National Highway Traffic Safety Administration (NHTSA). If we or NHTSA determine that either a vehicle or vehicle equipment does not comply with a safety standard or if a vehicle defect creates an unreasonable safety risk the manufacturer is required to notify owners and provide a remedy. We are required to report certain information relating to certain customer complaints, warranty claims, field reports and notices and claims involving property damage, injuries and fatalities in the U.S. and claims involving fatalities outside the U.S. We are also required to report certain information concerning safety recalls and other safety campaigns outside the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Outside the U.S. safety standards and recall regulations often have the same purpose as the U.S. standards but may differ in their requirements and test procedures, adding complexity to regulatory compliance.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Automotive Financing - GM Financial </w:t>
      </w:r>
      <w:r>
        <w:rPr>
          <w:rFonts w:ascii="Arial" w:cs="Arial" w:eastAsia="Arial" w:hAnsi="Arial"/>
          <w:sz w:val="18"/>
          <w:szCs w:val="18"/>
          <w:color w:val="auto"/>
        </w:rPr>
        <w:t>GM Financial is our global captive automotive finance company and our global provider of automobile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GM Financial conducts its business in North America, Europe, South America and through a joint venture in China.</w:t>
      </w:r>
    </w:p>
    <w:p>
      <w:pPr>
        <w:spacing w:after="0" w:line="166"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GM Financial provides retail loan and lease lending across the credit spectrum. Additionally GM Financial offers commercial products to dealers that include new and used vehicle inventory financing, inventory insurance, working capital, capital improvement loans, and storage center financing.</w:t>
      </w:r>
    </w:p>
    <w:p>
      <w:pPr>
        <w:spacing w:after="0" w:line="14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North America GM Financial's retail automobile finance programs include prime and sub-prime lending and full credit spectrum leasing. The sub-prime lending program is primarily offered to consumers with FICO scores less than 620 who have limited access to automobile financing through banks and credit unions and is expected to sustain a higher level of credit losses than prime lending. The leasing product is offered through our franchised dealers and primarily targets prime consumers leasing new vehicles. GM Financial has expanded its leasing, near prime and prime lending programs through our franchised dealers, and as a result, leasing and prime lending have become a larger percentage of originations and the retail portfolio balance.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Internationally GM Financial’s retail automobile finance programs focus on prime quality financing through loan and lease products.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Generally GM Financial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where such markets are developed and through the issuance of unsecured debt in public markets including accepting deposits from retail banking customers in Germany.</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Employees </w:t>
      </w:r>
      <w:r>
        <w:rPr>
          <w:rFonts w:ascii="Arial" w:cs="Arial" w:eastAsia="Arial" w:hAnsi="Arial"/>
          <w:sz w:val="17"/>
          <w:szCs w:val="17"/>
          <w:color w:val="auto"/>
        </w:rPr>
        <w:t>At December 31, 2016 we employed 135,000 (60%) hourly employees and 90,000 (40%) salaried employees. At December 31, 2016 55,000</w:t>
      </w:r>
      <w:r>
        <w:rPr>
          <w:rFonts w:ascii="Arial" w:cs="Arial" w:eastAsia="Arial" w:hAnsi="Arial"/>
          <w:sz w:val="17"/>
          <w:szCs w:val="17"/>
          <w:b w:val="1"/>
          <w:bCs w:val="1"/>
          <w:color w:val="auto"/>
        </w:rPr>
        <w:t xml:space="preserve"> </w:t>
      </w:r>
      <w:r>
        <w:rPr>
          <w:rFonts w:ascii="Arial" w:cs="Arial" w:eastAsia="Arial" w:hAnsi="Arial"/>
          <w:sz w:val="17"/>
          <w:szCs w:val="17"/>
          <w:color w:val="auto"/>
        </w:rPr>
        <w:t>(53%) of our U.S. employees were represented by unions, a majority of which were represented by the International Union, United Automobile, Aerospace and Agriculture Implement Workers of America (UAW). The following table summarizes worldwide employment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2016</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2015</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w:t>
            </w:r>
          </w:p>
        </w:tc>
      </w:tr>
      <w:tr>
        <w:trPr>
          <w:trHeight w:val="109"/>
        </w:trPr>
        <w:tc>
          <w:tcPr>
            <w:tcW w:w="64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 xml:space="preserve">Executive Officers of the Registrant </w:t>
      </w:r>
      <w:r>
        <w:rPr>
          <w:rFonts w:ascii="Arial" w:cs="Arial" w:eastAsia="Arial" w:hAnsi="Arial"/>
          <w:sz w:val="16"/>
          <w:szCs w:val="16"/>
          <w:color w:val="auto"/>
        </w:rPr>
        <w:t>As of February 7, 2017 the names and ages of our executive officers and their positions with GM are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Name (Age)</w:t>
            </w:r>
          </w:p>
        </w:tc>
        <w:tc>
          <w:tcPr>
            <w:tcW w:w="12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Present GM Position (Effective Date)</w:t>
            </w:r>
          </w:p>
        </w:tc>
        <w:tc>
          <w:tcPr>
            <w:tcW w:w="100" w:type="dxa"/>
            <w:vAlign w:val="bottom"/>
            <w:tcBorders>
              <w:bottom w:val="single" w:sz="8" w:color="CCEEFF"/>
            </w:tcBorders>
          </w:tcPr>
          <w:p>
            <w:pPr>
              <w:spacing w:after="0"/>
              <w:rPr>
                <w:sz w:val="16"/>
                <w:szCs w:val="16"/>
                <w:color w:val="auto"/>
              </w:rPr>
            </w:pPr>
          </w:p>
        </w:tc>
        <w:tc>
          <w:tcPr>
            <w:tcW w:w="53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Positions Held During the Past Five Years (Effective Date)</w:t>
            </w:r>
          </w:p>
        </w:tc>
      </w:tr>
      <w:tr>
        <w:trPr>
          <w:trHeight w:val="21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Mary T. Barra (55)</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Chairman &amp; Chief Executive Officer (2016)</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Chief Executive Officer and Member of the Board of Directors (2014) Executive</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Vice President, Global Product Development, Purchasing &amp; Supply Chain (2013)</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Global Product Development (2011)</w:t>
            </w: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Daniel Ammann (44)</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President (2014)</w:t>
            </w:r>
          </w:p>
        </w:tc>
        <w:tc>
          <w:tcPr>
            <w:tcW w:w="5360" w:type="dxa"/>
            <w:vAlign w:val="bottom"/>
          </w:tcPr>
          <w:p>
            <w:pPr>
              <w:ind w:left="20"/>
              <w:spacing w:after="0"/>
              <w:rPr>
                <w:sz w:val="20"/>
                <w:szCs w:val="20"/>
                <w:color w:val="auto"/>
              </w:rPr>
            </w:pPr>
            <w:r>
              <w:rPr>
                <w:rFonts w:ascii="Arial" w:cs="Arial" w:eastAsia="Arial" w:hAnsi="Arial"/>
                <w:sz w:val="16"/>
                <w:szCs w:val="16"/>
                <w:color w:val="auto"/>
              </w:rPr>
              <w:t>Executive Vice President &amp; Chief Financial Officer (2013)</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Senior Vice President &amp; Chief Financial Officer (2011)</w:t>
            </w:r>
          </w:p>
        </w:tc>
      </w:tr>
      <w:tr>
        <w:trPr>
          <w:trHeight w:val="236"/>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Alan S. Batey (53)</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Executive Vice President &amp; President, North</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Senior Vice President, Global Chevrolet and Brand Chief and U.S. Sales and</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 (2014)</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(2013)</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GM Vice President, U.S. Sales and Service, and Interim GM Chief Marketing</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(2012)</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U.S. Chevrolet Sales and Service (2010)</w:t>
            </w: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Alicia Boler-Davis (47)</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w:t>
            </w:r>
          </w:p>
        </w:tc>
        <w:tc>
          <w:tcPr>
            <w:tcW w:w="5360" w:type="dxa"/>
            <w:vAlign w:val="bottom"/>
          </w:tcPr>
          <w:p>
            <w:pPr>
              <w:ind w:left="20"/>
              <w:spacing w:after="0"/>
              <w:rPr>
                <w:sz w:val="20"/>
                <w:szCs w:val="20"/>
                <w:color w:val="auto"/>
              </w:rPr>
            </w:pPr>
            <w:r>
              <w:rPr>
                <w:rFonts w:ascii="Arial" w:cs="Arial" w:eastAsia="Arial" w:hAnsi="Arial"/>
                <w:sz w:val="16"/>
                <w:szCs w:val="16"/>
                <w:color w:val="auto"/>
              </w:rPr>
              <w:t>Senior Vice President, Global Connected Customer Experience (2014)</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Manufacturing (2016)</w:t>
            </w: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Global Quality and U.S. Customer Experience (2012)</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Carel Johannes de Nysschen (56)</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Infiniti Motor Company, President (2012)</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Cadillac (2014)</w:t>
            </w: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Audi of America, Inc., President (2004)</w:t>
            </w: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Barry L. Engle (53)</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w w:val="95"/>
              </w:rPr>
              <w:t>Executive Vice President &amp; President, South</w:t>
            </w:r>
          </w:p>
        </w:tc>
        <w:tc>
          <w:tcPr>
            <w:tcW w:w="5360" w:type="dxa"/>
            <w:vAlign w:val="bottom"/>
          </w:tcPr>
          <w:p>
            <w:pPr>
              <w:ind w:left="20"/>
              <w:spacing w:after="0"/>
              <w:rPr>
                <w:sz w:val="20"/>
                <w:szCs w:val="20"/>
                <w:color w:val="auto"/>
              </w:rPr>
            </w:pPr>
            <w:r>
              <w:rPr>
                <w:rFonts w:ascii="Arial" w:cs="Arial" w:eastAsia="Arial" w:hAnsi="Arial"/>
                <w:sz w:val="16"/>
                <w:szCs w:val="16"/>
                <w:color w:val="auto"/>
              </w:rPr>
              <w:t>Agility Fuel Systems, CEO (2011)</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America (2015)</w:t>
            </w:r>
          </w:p>
        </w:tc>
        <w:tc>
          <w:tcPr>
            <w:tcW w:w="5360" w:type="dxa"/>
            <w:vAlign w:val="bottom"/>
          </w:tcPr>
          <w:p>
            <w:pPr>
              <w:spacing w:after="0"/>
              <w:rPr>
                <w:sz w:val="17"/>
                <w:szCs w:val="17"/>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Stefan Jacoby (58)</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Volvo Car Corporation - Global Chief Executive Officer and President (2010)</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International (2013)</w:t>
            </w:r>
          </w:p>
        </w:tc>
        <w:tc>
          <w:tcPr>
            <w:tcW w:w="5360" w:type="dxa"/>
            <w:vAlign w:val="bottom"/>
            <w:tcBorders>
              <w:bottom w:val="single" w:sz="8" w:color="CCEEFF"/>
            </w:tcBorders>
            <w:shd w:val="clear" w:color="auto" w:fill="CCEEFF"/>
          </w:tcPr>
          <w:p>
            <w:pPr>
              <w:spacing w:after="0"/>
              <w:rPr>
                <w:sz w:val="19"/>
                <w:szCs w:val="19"/>
                <w:color w:val="auto"/>
              </w:rPr>
            </w:pP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Craig B. Glidden (59)</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&amp; General</w:t>
            </w:r>
          </w:p>
        </w:tc>
        <w:tc>
          <w:tcPr>
            <w:tcW w:w="5360" w:type="dxa"/>
            <w:vAlign w:val="bottom"/>
          </w:tcPr>
          <w:p>
            <w:pPr>
              <w:ind w:left="20"/>
              <w:spacing w:after="0"/>
              <w:rPr>
                <w:sz w:val="20"/>
                <w:szCs w:val="20"/>
                <w:color w:val="auto"/>
              </w:rPr>
            </w:pPr>
            <w:r>
              <w:rPr>
                <w:rFonts w:ascii="Arial" w:cs="Arial" w:eastAsia="Arial" w:hAnsi="Arial"/>
                <w:sz w:val="16"/>
                <w:szCs w:val="16"/>
                <w:color w:val="auto"/>
              </w:rPr>
              <w:t>LyondellBasell, Executive Vice President and Chief Legal Officer (2009)</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Counsel (2015)</w:t>
            </w:r>
          </w:p>
        </w:tc>
        <w:tc>
          <w:tcPr>
            <w:tcW w:w="5360" w:type="dxa"/>
            <w:vAlign w:val="bottom"/>
          </w:tcPr>
          <w:p>
            <w:pPr>
              <w:spacing w:after="0"/>
              <w:rPr>
                <w:sz w:val="17"/>
                <w:szCs w:val="17"/>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Karl-Thomas Neumann (55)</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CEO, Opel Group GmbH &amp; President, GM Europe (2013)</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 and Chairman of the Management</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Volkswagen Group China - Chief Executive Officer and President (2010)</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Board of Opel Group GmbH (2013)</w:t>
            </w:r>
          </w:p>
        </w:tc>
        <w:tc>
          <w:tcPr>
            <w:tcW w:w="5360" w:type="dxa"/>
            <w:vAlign w:val="bottom"/>
            <w:tcBorders>
              <w:bottom w:val="single" w:sz="8" w:color="CCEEFF"/>
            </w:tcBorders>
            <w:shd w:val="clear" w:color="auto" w:fill="CCEEFF"/>
          </w:tcPr>
          <w:p>
            <w:pPr>
              <w:spacing w:after="0"/>
              <w:rPr>
                <w:sz w:val="19"/>
                <w:szCs w:val="19"/>
                <w:color w:val="auto"/>
              </w:rPr>
            </w:pP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John J. Quattrone (64)</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Senior Vice President, Global Human</w:t>
            </w:r>
          </w:p>
        </w:tc>
        <w:tc>
          <w:tcPr>
            <w:tcW w:w="5360" w:type="dxa"/>
            <w:vAlign w:val="bottom"/>
          </w:tcPr>
          <w:p>
            <w:pPr>
              <w:ind w:left="20"/>
              <w:spacing w:after="0"/>
              <w:rPr>
                <w:sz w:val="20"/>
                <w:szCs w:val="20"/>
                <w:color w:val="auto"/>
              </w:rPr>
            </w:pPr>
            <w:r>
              <w:rPr>
                <w:rFonts w:ascii="Arial" w:cs="Arial" w:eastAsia="Arial" w:hAnsi="Arial"/>
                <w:sz w:val="16"/>
                <w:szCs w:val="16"/>
                <w:color w:val="auto"/>
                <w:w w:val="95"/>
              </w:rPr>
              <w:t>VP of Human Resources, Global Product Development &amp; Global Purchasing &amp;</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Resources (2014)</w:t>
            </w:r>
          </w:p>
        </w:tc>
        <w:tc>
          <w:tcPr>
            <w:tcW w:w="5360" w:type="dxa"/>
            <w:vAlign w:val="bottom"/>
          </w:tcPr>
          <w:p>
            <w:pPr>
              <w:ind w:left="20"/>
              <w:spacing w:after="0"/>
              <w:rPr>
                <w:sz w:val="20"/>
                <w:szCs w:val="20"/>
                <w:color w:val="auto"/>
              </w:rPr>
            </w:pPr>
            <w:r>
              <w:rPr>
                <w:rFonts w:ascii="Arial" w:cs="Arial" w:eastAsia="Arial" w:hAnsi="Arial"/>
                <w:sz w:val="16"/>
                <w:szCs w:val="16"/>
                <w:color w:val="auto"/>
                <w:w w:val="94"/>
              </w:rPr>
              <w:t>Supply Chain / Corporate Strategy, Business Development &amp; Global Planning &amp;</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Program organizations (2009)</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 L. Reuss (53)</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 Product</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North America (2013)</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Development, Purchasing &amp; Supply Chain</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 Vice President &amp; President, North America (2009)</w:t>
            </w:r>
          </w:p>
        </w:tc>
      </w:tr>
      <w:tr>
        <w:trPr>
          <w:trHeight w:val="219"/>
        </w:trPr>
        <w:tc>
          <w:tcPr>
            <w:tcW w:w="2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19"/>
                <w:szCs w:val="19"/>
                <w:color w:val="auto"/>
              </w:rPr>
            </w:pP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Charles K. Stevens, III (57)</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w w:val="99"/>
              </w:rPr>
              <w:t>Executive Vice President &amp; Chief Financial</w:t>
            </w:r>
          </w:p>
        </w:tc>
        <w:tc>
          <w:tcPr>
            <w:tcW w:w="5360" w:type="dxa"/>
            <w:vAlign w:val="bottom"/>
          </w:tcPr>
          <w:p>
            <w:pPr>
              <w:ind w:left="20"/>
              <w:spacing w:after="0"/>
              <w:rPr>
                <w:sz w:val="20"/>
                <w:szCs w:val="20"/>
                <w:color w:val="auto"/>
              </w:rPr>
            </w:pPr>
            <w:r>
              <w:rPr>
                <w:rFonts w:ascii="Arial" w:cs="Arial" w:eastAsia="Arial" w:hAnsi="Arial"/>
                <w:sz w:val="16"/>
                <w:szCs w:val="16"/>
                <w:color w:val="auto"/>
              </w:rPr>
              <w:t>Chief Financial Officer, GM North America (2010)</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Officer (2014)</w:t>
            </w:r>
          </w:p>
        </w:tc>
        <w:tc>
          <w:tcPr>
            <w:tcW w:w="5360" w:type="dxa"/>
            <w:vAlign w:val="bottom"/>
          </w:tcPr>
          <w:p>
            <w:pPr>
              <w:ind w:left="20"/>
              <w:spacing w:after="0"/>
              <w:rPr>
                <w:sz w:val="20"/>
                <w:szCs w:val="20"/>
                <w:color w:val="auto"/>
              </w:rPr>
            </w:pPr>
            <w:r>
              <w:rPr>
                <w:rFonts w:ascii="Arial" w:cs="Arial" w:eastAsia="Arial" w:hAnsi="Arial"/>
                <w:sz w:val="16"/>
                <w:szCs w:val="16"/>
                <w:color w:val="auto"/>
              </w:rPr>
              <w:t>Interim Chief Financial Officer, GM South America (2011)</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Matthew Tsien (56)</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Vice President &amp; President, GM</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GM Consolidated International Operations Vice President, Planning, Program</w:t>
            </w:r>
          </w:p>
        </w:tc>
      </w:tr>
      <w:tr>
        <w:trPr>
          <w:trHeight w:val="203"/>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China (2014)</w:t>
            </w: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&amp; Strategic Alliances China (2012)</w:t>
            </w:r>
          </w:p>
        </w:tc>
      </w:tr>
      <w:tr>
        <w:trPr>
          <w:trHeight w:val="233"/>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Executive Vice President, SAIC GM Wuling (2009)</w:t>
            </w:r>
          </w:p>
        </w:tc>
      </w:tr>
      <w:tr>
        <w:trPr>
          <w:trHeight w:val="22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Thomas S. Timko (48)</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Vice President, Controller &amp; Chief</w:t>
            </w:r>
          </w:p>
        </w:tc>
        <w:tc>
          <w:tcPr>
            <w:tcW w:w="5360" w:type="dxa"/>
            <w:vAlign w:val="bottom"/>
          </w:tcPr>
          <w:p>
            <w:pPr>
              <w:ind w:left="20"/>
              <w:spacing w:after="0"/>
              <w:rPr>
                <w:sz w:val="20"/>
                <w:szCs w:val="20"/>
                <w:color w:val="auto"/>
              </w:rPr>
            </w:pPr>
            <w:r>
              <w:rPr>
                <w:rFonts w:ascii="Arial" w:cs="Arial" w:eastAsia="Arial" w:hAnsi="Arial"/>
                <w:sz w:val="16"/>
                <w:szCs w:val="16"/>
                <w:color w:val="auto"/>
                <w:w w:val="94"/>
              </w:rPr>
              <w:t>Applied Materials Inc. - Corporate Vice President, Chief Accounting Officer, and</w:t>
            </w: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Accounting Officer (2013)</w:t>
            </w:r>
          </w:p>
        </w:tc>
        <w:tc>
          <w:tcPr>
            <w:tcW w:w="5360" w:type="dxa"/>
            <w:vAlign w:val="bottom"/>
          </w:tcPr>
          <w:p>
            <w:pPr>
              <w:ind w:left="20"/>
              <w:spacing w:after="0"/>
              <w:rPr>
                <w:sz w:val="20"/>
                <w:szCs w:val="20"/>
                <w:color w:val="auto"/>
              </w:rPr>
            </w:pPr>
            <w:r>
              <w:rPr>
                <w:rFonts w:ascii="Arial" w:cs="Arial" w:eastAsia="Arial" w:hAnsi="Arial"/>
                <w:sz w:val="16"/>
                <w:szCs w:val="16"/>
                <w:color w:val="auto"/>
              </w:rPr>
              <w:t>Corporate Controller (2010)</w:t>
            </w:r>
          </w:p>
        </w:tc>
      </w:tr>
    </w:tbl>
    <w:p>
      <w:pPr>
        <w:spacing w:after="0" w:line="20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the next annual election of officers and until his or her successor is elected and qualified or until his or her earlier resignation or removal. The Board of Directors elects the officers immediately following each annual meeting of the stockholders and may appoint other officers between annual meetings.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Segment Reporting Data </w:t>
      </w:r>
      <w:r>
        <w:rPr>
          <w:rFonts w:ascii="Arial" w:cs="Arial" w:eastAsia="Arial" w:hAnsi="Arial"/>
          <w:sz w:val="18"/>
          <w:szCs w:val="18"/>
          <w:color w:val="auto"/>
        </w:rPr>
        <w:t>Operating segment data and principal geographic area data for the years ended December 31, 2016, 2015 and 2014 are summarized</w:t>
      </w:r>
      <w:r>
        <w:rPr>
          <w:rFonts w:ascii="Arial" w:cs="Arial" w:eastAsia="Arial" w:hAnsi="Arial"/>
          <w:sz w:val="18"/>
          <w:szCs w:val="18"/>
          <w:b w:val="1"/>
          <w:bCs w:val="1"/>
          <w:color w:val="auto"/>
        </w:rPr>
        <w:t xml:space="preserve"> </w:t>
      </w:r>
      <w:r>
        <w:rPr>
          <w:rFonts w:ascii="Arial" w:cs="Arial" w:eastAsia="Arial" w:hAnsi="Arial"/>
          <w:sz w:val="18"/>
          <w:szCs w:val="18"/>
          <w:color w:val="auto"/>
        </w:rPr>
        <w:t>in Note 23 to our consolidated financial statements.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Website Access to Our Reports </w:t>
      </w:r>
      <w:r>
        <w:rPr>
          <w:rFonts w:ascii="Arial" w:cs="Arial" w:eastAsia="Arial" w:hAnsi="Arial"/>
          <w:sz w:val="18"/>
          <w:szCs w:val="18"/>
          <w:color w:val="auto"/>
        </w:rPr>
        <w:t>Our internet website address is www.gm.com. In addition to the information about us and our subsidiaries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2016 Form 10-K information about us can be found on our website including information on our corporate governance principles and practices. Our Investor Relations website at www.gm.com/investors contains a significant amount of information about us, including financial and other information for investors. We encourage investors to visit our website,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frequently update and post new information about our company on our website and it is possible that this information could be deemed to be material information. Our website and information included in or linked to our website are not part of this 2016 Form 10-K.</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face a number of significant risks and uncertainties in connection with our operations. Our business and the results of our operations could be materially adversely affected by the factors described below. The risks described below are not the only risks facing our operations. Risks and uncertainties not currently known to us or that we currently deem to be immaterial also could have a material adverse impact on our business and results of operations.</w:t>
      </w:r>
    </w:p>
    <w:p>
      <w:pPr>
        <w:spacing w:after="0" w:line="147"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If we do not deliver new products, services and customer experiences in response to new participants in the automotive industry, our business could suffer. </w:t>
      </w:r>
      <w:r>
        <w:rPr>
          <w:rFonts w:ascii="Arial" w:cs="Arial" w:eastAsia="Arial" w:hAnsi="Arial"/>
          <w:sz w:val="16"/>
          <w:szCs w:val="16"/>
          <w:color w:val="auto"/>
        </w:rPr>
        <w:t>We believe that the automotive industry will experience significant and continued change in the coming years. In addition to our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competitors, we must also be responsive to the entrance of non-traditional participants in the automotive industry. These non-traditional participants may seek to disrupt the historic business model of the industry through the introduction of new technologies, new products or services, new business models or new methods of travel. It is strategically significant that we lead the technological disruption occurring in our industry. As our business evolves, the pressure to innovate will encompass a wider range of products and services, including products and services that may be outside of our historically core business, such as autonomous vehicles, car- and ride-sharing and transportation as a service. If we do not accurately predict, prepare for and respond to new kinds of technological innovations, market developments and changing customer needs, our sales, profitability and long-term competitiveness may be harmed.</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Our ability to maintain profitability is dependent upon our ability to fund and introduce new and improved vehicle models that are able to attract a sufficient number of consumers. </w:t>
      </w:r>
      <w:r>
        <w:rPr>
          <w:rFonts w:ascii="Arial" w:cs="Arial" w:eastAsia="Arial" w:hAnsi="Arial"/>
          <w:sz w:val="18"/>
          <w:szCs w:val="18"/>
          <w:color w:val="auto"/>
        </w:rPr>
        <w:t>We operate in a very competitive industry with market participants routinely introducing new and improved vehicle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meet rapidly evolving consumer expectations. Producing new and improved vehicle models competitively and preserving our reputation for designing, building and selling high quality cars and trucks is critical to our long-term profitability. We will launch a substantial number of new vehicles in 2017. Successful launches of our new vehicles are critical to our short-term profitability. In addition, our growth strategies require us to make significant investment in our brands to appeal to new markets.</w:t>
      </w:r>
    </w:p>
    <w:p>
      <w:pPr>
        <w:spacing w:after="0" w:line="193"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Our long-term profitability depends upon successfully creating and funding technological innovations in design, engineering and manufacturing, which requires extensive capital investment and the ability to retain and recruit talent. In some cases the technologies that we plan to employ are not yet commercially practical and depend on significant future technological advances by us and by our suppliers. Although we will seek to obtain intellectual property protection for our innovations to protect our competitive position, it is possible we may not be able to protect some of these innovations. There can be no assurance that advances in technology will occur in a timely or feasible way, or that others will not acquire similar or superior technologies sooner than we do or that we will acquire technologies on an exclusive basis or at a significant price advantage.</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generally takes two years or more to design and develop a new vehicle,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and changes in styling preferences, an initial product concept or design may not result in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Our profitability is dependent upon the success of full-size pick-up trucks and SUVs. </w:t>
      </w:r>
      <w:r>
        <w:rPr>
          <w:rFonts w:ascii="Arial" w:cs="Arial" w:eastAsia="Arial" w:hAnsi="Arial"/>
          <w:sz w:val="17"/>
          <w:szCs w:val="17"/>
          <w:color w:val="auto"/>
        </w:rPr>
        <w:t>While we offer a balanced and complete portfolio of small, mid-size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large cars, crossovers, sport utility vehicles (SUVs) and trucks, we generally recognize higher profit margins on our full-size pick-up trucks and SUVs. Our success is dependent upon consumer preferences and our ability to sell higher margin vehicles in sufficient volumes. Any shift in consumer preferences toward smaller, more fuel efficient vehicles, whether as a result of increases in the price of oil or any sustained shortage of oil, including as a result of global political instability or other reasons, could weaken the demand for our higher margin full-size pick-up trucks and SUVs.</w:t>
      </w:r>
    </w:p>
    <w:p>
      <w:pPr>
        <w:spacing w:after="0" w:line="17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Our business is highly dependent upon global automobile market sales volume, which can be volatile. </w:t>
      </w:r>
      <w:r>
        <w:rPr>
          <w:rFonts w:ascii="Arial" w:cs="Arial" w:eastAsia="Arial" w:hAnsi="Arial"/>
          <w:sz w:val="16"/>
          <w:szCs w:val="16"/>
          <w:color w:val="auto"/>
        </w:rPr>
        <w:t>Our business and financial results are highly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sensitive to sales volume, changes to which can have a disproportionately large effect on our profitability. A number of economic and market conditions drive changes in vehicle sales, including real estate values, levels of unemployment, availability of affordable financing, fluctuations in the cost of fuel, consumer confidence, political unrest and global economic conditions. We cannot predict future economic and market conditions with certainty.</w:t>
      </w:r>
    </w:p>
    <w:p>
      <w:pPr>
        <w:spacing w:after="0" w:line="15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Our business in China is subject to aggressive competition. </w:t>
      </w:r>
      <w:r>
        <w:rPr>
          <w:rFonts w:ascii="Arial" w:cs="Arial" w:eastAsia="Arial" w:hAnsi="Arial"/>
          <w:sz w:val="17"/>
          <w:szCs w:val="17"/>
          <w:color w:val="auto"/>
        </w:rPr>
        <w:t>Maintaining a strong position in the Chinese market is a key component of our global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 share. Increased competition may result in price reductions, reduced margins and our inability to gain or hold market share.</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The international scale and footprint of our operations exposes us to additional risks. </w:t>
      </w:r>
      <w:r>
        <w:rPr>
          <w:rFonts w:ascii="Arial" w:cs="Arial" w:eastAsia="Arial" w:hAnsi="Arial"/>
          <w:sz w:val="16"/>
          <w:szCs w:val="16"/>
          <w:color w:val="auto"/>
        </w:rPr>
        <w:t>We manufacture, sell and service products globally and rely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supply chain to deliver the raw materials, components, systems and parts that we need to manufacture our products. Our global operations subject us to extensive domestic and foreign regulations and expose us to a variety of domestic and foreign political, economic and other risks, including: changes in foreign or domestic government leadership; changes in foreign or domestic laws or regulations impacting our overall business model or restricting our ability to manufacture, purchase or sell products, and political pressures to change any aspect of our business model or practices and source raw materials, components, systems and parts on competitive terms in a manner consistent with our current practice; changes in domestic or foreign tax laws; economic tensions between governments and changes in international trade and investment policies, including restrictions on the repatriation of dividends, especially between the U.S. and China, more detailed inspections, new or higher tariffs, for example, on products imported from Mexico into the U.S.; new barriers to entry or domestic preference procurement requirements, or changes to or withdrawals from free trade agreements; changes in foreign currency exchange rates and interest rates; economic downturns in foreign countries or geographic regions where we have significant operations, such as China; significant changes in conditions in the countries in which we operate with the effect of competition from new market entrants and in the United Kingdom (U.K.) with passage of a referendum to discontinue membership in the European Union; differing local product preferences and product requirements, including fuel economy, vehicle emissions and safety; impact of compliance with U.S. and other foreign countries’ export controls and economic sanctions; liabilities resulting from U.S. and foreign laws and regulations, including those related to the Foreign Corrupt Practices Act and certain other anti-corruption laws; differing labor regulations and union relationships; and difficulties in obtaining financing in foreign countries for local operations.</w:t>
      </w:r>
    </w:p>
    <w:p>
      <w:pPr>
        <w:spacing w:after="0" w:line="169"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A significant amount of our operations are conducted by joint ventures that we cannot operate solely for our benefit. </w:t>
      </w:r>
      <w:r>
        <w:rPr>
          <w:rFonts w:ascii="Arial" w:cs="Arial" w:eastAsia="Arial" w:hAnsi="Arial"/>
          <w:sz w:val="17"/>
          <w:szCs w:val="17"/>
          <w:color w:val="auto"/>
        </w:rPr>
        <w:t>Many of our operations,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China, are carried out by joint ventures. In joint ventures we share ownership and management of a company with one or more parties who may not have the same goals, strategies, priorities or resources as we do and may compete with us outside the joint venture.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foster our relationships with our co-owners as well as promote the overall success of the joint venture, and if a co-owner changes or relationships deteriorate, our success in the joint venture may be materially adversely affected. The benefits from a successful joint venture are shared among the co-owners, therefore we do not receive all the benefits from our successful joint ventures. In addition, because we share ownership and management with one or more parties, we may have limited control over the actions of a joint venture, particularly when we own a minority interest. As a result, we may be unable to prevent misconduct or other violations of applicable laws by a joint venture. Moreover, a joint venture may not follow the same requirements regarding compliance, internal controls and internal control over financial reporting that we follow. To the extent another party makes decisions that negatively impact the joint venture or internal control issues arise within the joint venture, we may have to take responsive or other action or we may be subject to penalties, fines or other related actions for these activities.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We are subject to extensive laws, governmental regulations and policies, including those regarding fuel economy and emissions controls, that can significantly increase our costs and affect how we do business. </w:t>
      </w:r>
      <w:r>
        <w:rPr>
          <w:rFonts w:ascii="Arial" w:cs="Arial" w:eastAsia="Arial" w:hAnsi="Arial"/>
          <w:sz w:val="18"/>
          <w:szCs w:val="18"/>
          <w:color w:val="auto"/>
        </w:rPr>
        <w:t>We are significantly affected by governmental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regulations that can increase costs related to the production of our vehicles and affect our product portfolio. Meeting or exceeding many of these regulations is costly and often technologically challenging, especially where standards may not be harmonized across jurisdictions, a significant challenge with respect to mandated emissions and fuel economy standards. We anticipate that the number and extent of these regulations, and the related costs and changes to our product portfolio, may increase significantly in the future. These government regulatory requirements could significantly affect our plans for global product development and given the uncertainty surrounding enforcement and regulatory definitions, may result in substantial costs, including civil or criminal penalties. In addition, an evolving but un-harmonized regulatory framework may limit or dictate the types of vehicles we sell and where we sell them, which can affect revenue. Refer to the "Environmental and Regulatory Matters" section of Item 1. Business for further information on these regulatory requirements. We also expect that manufacturers will continue to be subject to increased scrutiny from regulators globally. For example, in Germany, the Ministry of Transportation and the Kraftfahrt-Bundesamt have requested the participation of a number of automotive manufacturers, including our German subsidiary, in continuing discussions on emissions control issues and have also requested, from time to time, written responses from our subsidiary on the subject. Our German subsidiary has participated in these discussions and has provided the requested responses to inquiries concerning nitrogen oxide emission control systems of its diesel engines. In addition, the German and the EU Parliaments have instigated Inquiry Commissions into government agencies' oversight of emissions enforcement, requesting our German subsidiary's participation. At the same time, the German government has initiated further industry-wide inquiries about CO</w:t>
      </w:r>
      <w:r>
        <w:rPr>
          <w:rFonts w:ascii="Arial" w:cs="Arial" w:eastAsia="Arial" w:hAnsi="Arial"/>
          <w:sz w:val="11"/>
          <w:szCs w:val="11"/>
          <w:color w:val="auto"/>
        </w:rPr>
        <w:t>2</w:t>
      </w:r>
      <w:r>
        <w:rPr>
          <w:rFonts w:ascii="Arial" w:cs="Arial" w:eastAsia="Arial" w:hAnsi="Arial"/>
          <w:sz w:val="16"/>
          <w:szCs w:val="16"/>
          <w:color w:val="auto"/>
        </w:rPr>
        <w:t xml:space="preserve"> emissions. This scrutiny, regulatory changes or novel interpretations of current regulations, as well as increased enforcement has led to and may result in further increased testing and re-testing of our vehicles and analysis of their emissions control systems, which could lead to increased costs, penalties, negative publicity or reputational impact, and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3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expect that to comply with fuel economy and emission control requirements we will be required to sell a significant volume of hybrid electric vehicles, as well as develop and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 Alternative compliance measures may not be sufficiently available in the marketplace to meet volume driven compliance requirements.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current uncertain regulatory framework, environmental liabilities for which we may be responsible and that are not reasonably estimable could be substantial. Alleged violations of safety or emissions standards could result in legal proceedings, the recall of one or more of our products, negotiated remedial actions, fines, restricted product offerings or a combination of any of those items. Any of these actions could have substantial adverse effects on our operations including facility idling, reduced employment, increased costs and loss of revenue.</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We could be materially adversely affected by a negative outcome in unusual or significant litigation, governmental investigations or other legal proceedings. </w:t>
      </w:r>
      <w:r>
        <w:rPr>
          <w:rFonts w:ascii="Arial" w:cs="Arial" w:eastAsia="Arial" w:hAnsi="Arial"/>
          <w:sz w:val="18"/>
          <w:szCs w:val="18"/>
          <w:color w:val="auto"/>
        </w:rPr>
        <w:t>We are subject to legal proceedings involving various issues, including product liability lawsuits, stockholder litigation and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investigations, such as the legal proceedings related to the Ignition Switch Recall. Such legal proceedings could in the future result in the imposition of damages, including punitive damages, substantial fines, civil lawsuits and criminal penalties, interruptions of business, modification of business practices, equitable remedies and other sanctions against us or our personnel as well as significant legal and other costs. For a further discussion of these matters refer to Note 15 to our consolidated financial statements.</w:t>
      </w:r>
    </w:p>
    <w:p>
      <w:pPr>
        <w:spacing w:after="0" w:line="19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If, in the discretion of the U.S. Attorney’s Office for the Southern District of New York (the Office), we do not comply with the terms of the Deferred Prosecution Agreement (the DPA), the Office may prosecute us for charges alleged by the Office including those relating to faulty ignition switches. </w:t>
      </w:r>
      <w:r>
        <w:rPr>
          <w:rFonts w:ascii="Arial" w:cs="Arial" w:eastAsia="Arial" w:hAnsi="Arial"/>
          <w:sz w:val="17"/>
          <w:szCs w:val="17"/>
          <w:color w:val="auto"/>
        </w:rPr>
        <w: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17, 2015 we announced that we entered into the DPA with the Office regarding its investigation of the events leading up to certain recalls announced in February and March of 2014 relating to faulty ignition switches. Under the DPA, we consented to, among other things, the filing of a two-count information (the Information) in the U.S. District Court for the Southern District of New York charging GM with a scheme to conceal material facts from a government regulator and wire fraud. We pled not guilty to the charges alleged in the Information. The DPA further provides that, in the event the Office determines during the period of deferral of prosecution (or any extensions thereof) that we have violated any provision of the DPA, including violating any U.S. federal law or our obligation to cooperate with and assist the independent monitor, the Office may, in its discretion, either prosecute us on the charges alleged in the Information or impose an extension of the period of deferral of prosecution of up to one additional year. Under such circumstance, the Office would be permitted to rely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admissions we made in the DPA and would benefit from our waiver of certain procedural and evidentiary defenses. Such a criminal prosecution could subject us to penalties.</w:t>
      </w:r>
    </w:p>
    <w:p>
      <w:pPr>
        <w:spacing w:after="0" w:line="170"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The costs and effect on our reputation of product safety recalls could materially adversely affect our business. </w:t>
      </w:r>
      <w:r>
        <w:rPr>
          <w:rFonts w:ascii="Arial" w:cs="Arial" w:eastAsia="Arial" w:hAnsi="Arial"/>
          <w:sz w:val="17"/>
          <w:szCs w:val="17"/>
          <w:color w:val="auto"/>
        </w:rPr>
        <w:t>Government safety standards require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to remedy certain product safety defects through recall campaigns. Under these standards, we could be subject to civil or criminal penalties or may incur various costs, including significant costs for free repairs. At present, the costs we incur in connection with these recalls typically include the cost of the part being replaced and labor to remove and replace the defective part. We currently source a variety of systems, components, raw materials and parts, including but not limited to air bag inflators, from third parties. From time to time these items may have performance or quality issues that could harm our reputation and cause us to incur significant costs. For example, we are currently conducting recalls for certain Takata Corporation (Takata) air bag inflators used in some of our prior model year vehicles. We are continuing to assess the situation. Further recalls, if any, that may be required to remediate Takata air bag inflators in our vehicles could have a material impact on our business. In addition, product recalls can harm our reputation and cause us to lose customers, particularly if those recalls cause consumers to question the safety or reliability of our products. Conversely not issuing a recall or not issuing a recall on a timely basis can harm our reputation, potentially expose us to significant monetary penalties, and cause us to lose customers for the same reasons as expressed above.</w:t>
      </w:r>
    </w:p>
    <w:p>
      <w:pPr>
        <w:spacing w:after="0" w:line="18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Any disruption in our suppliers' operations could disrupt our production schedule. </w:t>
      </w:r>
      <w:r>
        <w:rPr>
          <w:rFonts w:ascii="Arial" w:cs="Arial" w:eastAsia="Arial" w:hAnsi="Arial"/>
          <w:sz w:val="17"/>
          <w:szCs w:val="17"/>
          <w:color w:val="auto"/>
        </w:rPr>
        <w:t>Our automotive operations are dependent upon the continued 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suppliers to deliver the systems, components, raw materials and parts that we need to manufacture our products. Our use of “just-in-time” manufacturing processes allows us to maintain minimal inventory quantities of systems, components, raw materials and parts. As a result our ability to maintain production is dependent upon our suppliers delivering sufficient quantities of systems, components, raw materials and parts on time to meet our production schedules. In some instances we purchase systems, components, raw materials and parts from a single source and may be at an increased risk for supply disruptions. Financial difficulties or solvency problems with our suppliers, including Takata, which may be exacerbated by the cost of remediating quality issues with these items, could lead to uncertainty in our supply chain or cause supply disruptions for us which could, in turn, disrupt our operations, including production of certain of our higher margin vehicles. Where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or suspend production entirely.</w:t>
      </w:r>
    </w:p>
    <w:p>
      <w:pPr>
        <w:spacing w:after="0" w:line="17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We are dependent on our manufacturing facilities around the world. </w:t>
      </w:r>
      <w:r>
        <w:rPr>
          <w:rFonts w:ascii="Arial" w:cs="Arial" w:eastAsia="Arial" w:hAnsi="Arial"/>
          <w:sz w:val="17"/>
          <w:szCs w:val="17"/>
          <w:color w:val="auto"/>
        </w:rPr>
        <w:t>We assemble vehicles at various facilities around the world. These facilities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designed to produce particular models for particular geographic markets. No single facility is designed to manufacture our full range of vehicles. In some cases certain facilities produce products that disproportionately contribute a greater degree to our profitability than others. Should these or other facilities become unavailable either temporarily or permanently for any number of reasons, including labor disruptions, the inability to manufacture vehicles there may result in harm to our reputation, increased costs, lower revenues and the loss of customers. We may not be able to easily shift production of vehicles at an inoperable facility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 Even though we carry business interruption insurance policies, we may suffer losses as a result of business interruptions that exceed the coverage available or any losses which may be excluded under our insurance policies.</w:t>
      </w:r>
    </w:p>
    <w:p>
      <w:pPr>
        <w:spacing w:after="0" w:line="18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We operate in a highly competitive industry that has excess manufacturing capacity and attempts by our competitors to sell more vehicles could have a significant negative effect on our vehicle pricing, market share and operating results. </w:t>
      </w:r>
      <w:r>
        <w:rPr>
          <w:rFonts w:ascii="Arial" w:cs="Arial" w:eastAsia="Arial" w:hAnsi="Arial"/>
          <w:sz w:val="17"/>
          <w:szCs w:val="17"/>
          <w:color w:val="auto"/>
        </w:rPr>
        <w:t>The global automotive industry is highly competitive and overall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capacity in the industry exceeds demand. Many manufacturers have relatively high fixed labor costs as well as significant limitations on their ability to close facilities and reduce fixed costs. Our competitors may respond to these relatively high fixed costs by providing subsidized financing or leasing programs, offering marketing incentives or reducing vehicle prices. Our competitors may also seek to benefit from economies of scale by consolidating or entering into other strategic agreements such as alliances intended to enhance their competitiveness.</w:t>
      </w:r>
    </w:p>
    <w:p>
      <w:pPr>
        <w:spacing w:after="0" w:line="17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Domestic manufacturers in lower cost countries, such as China and India, have become competitors in key emerging markets and announced their intention to export their products to established markets as a low 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 and present a significant risk to our ability to enhance our revenue per vehicle.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27" w:lineRule="auto"/>
        <w:rPr>
          <w:sz w:val="20"/>
          <w:szCs w:val="20"/>
          <w:color w:val="auto"/>
        </w:rPr>
      </w:pPr>
      <w:r>
        <w:rPr>
          <w:rFonts w:ascii="Arial" w:cs="Arial" w:eastAsia="Arial" w:hAnsi="Arial"/>
          <w:sz w:val="15"/>
          <w:szCs w:val="15"/>
          <w:b w:val="1"/>
          <w:bCs w:val="1"/>
          <w:i w:val="1"/>
          <w:iCs w:val="1"/>
          <w:color w:val="auto"/>
        </w:rPr>
        <w:t xml:space="preserve">We may continue to restructure or divest our operations in various countries, but we may not succeed in doing so. </w:t>
      </w:r>
      <w:r>
        <w:rPr>
          <w:rFonts w:ascii="Arial" w:cs="Arial" w:eastAsia="Arial" w:hAnsi="Arial"/>
          <w:sz w:val="15"/>
          <w:szCs w:val="15"/>
          <w:color w:val="auto"/>
        </w:rPr>
        <w:t>We face difficult market and operating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conditions in certain parts of the world that may require us to restructure or rationalize these operations, which may result in impairments. In many countries across our regions we have experienced challenges in our operations and continue to strategically assess the manner in which we operate in certain countries. As we continue to assess our performance throughout our regions, additional restructuring and rationalization actions may be required and may be material.</w:t>
      </w:r>
    </w:p>
    <w:p>
      <w:pPr>
        <w:spacing w:after="0" w:line="14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Our future competitiveness and ability to achieve long-term profitability depends on our ability to control our costs, which requires us to successfully implement operating effectiveness initiatives throughout our automotive operations. </w:t>
      </w:r>
      <w:r>
        <w:rPr>
          <w:rFonts w:ascii="Arial" w:cs="Arial" w:eastAsia="Arial" w:hAnsi="Arial"/>
          <w:sz w:val="16"/>
          <w:szCs w:val="16"/>
          <w:color w:val="auto"/>
        </w:rPr>
        <w:t>We are continuing to implement a number of operating effectiveness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to improve productivity and reduce costs. Our future competitiveness depends upon our continued success in implementing these initiatives throughout our automotive operations.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costs. Reducing costs may prove difficult due to our focus on increasing advertising and our belief that engineering and other expenses necessary to improve the performance, safety and customer satisfaction of our vehicles and to continue to innovate our technology and product offerings to meet changing customer needs and market developments are likely to increase.</w:t>
      </w:r>
    </w:p>
    <w:p>
      <w:pPr>
        <w:spacing w:after="0" w:line="166"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b w:val="1"/>
          <w:bCs w:val="1"/>
          <w:i w:val="1"/>
          <w:iCs w:val="1"/>
          <w:color w:val="auto"/>
        </w:rPr>
        <w:t xml:space="preserve">Security breaches and other disruptions to our vehicles, information technology networks and systems could interfere with the safety of our customers or our operations and could compromise the confidentiality of private customer data or our proprietary information. </w:t>
      </w:r>
      <w:r>
        <w:rPr>
          <w:rFonts w:ascii="Arial" w:cs="Arial" w:eastAsia="Arial" w:hAnsi="Arial"/>
          <w:sz w:val="16"/>
          <w:szCs w:val="16"/>
          <w:color w:val="auto"/>
        </w:rPr>
        <w:t>We rely upon information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and systems, including in-vehicle systems and mobile devices, some of which are managed by third-parties, to process, transmit and store electronic information, and to manage or support a variety of vehicle or business processes and activities. Additionally we collect and store sensitive data, including intellectual property, proprietary business information, proprietary business information of our dealers and suppliers, as well as personally identifiable information of our customers and employees, in data centers and on information technology networks. The secure operation of these information technology networks and in-vehicle systems, and the processing and maintenance of this information, is critical to our business operations and strategy. Despite security measures and business continuity plans, our information technology networks and systems and in-vehicle systems may be vulnerable to damage, disruptions or shutdowns due to attacks by hackers or breaches due to errors or malfeasance by employees, contractors and others who have access to our networks and systems or computer viruses. The occurrence of any of these events could compromise our networks and the information stored there could be accessed, publicly disclosed, lost or stolen. These occurrences could also impact vehicle safety. We have been the target of these types of attacks in the past and future attacks are likely to occur. If successful, these types of attacks on our network or systems, including in-vehicle systems and mobile devices, or service failures could result in, among other things, the loss of proprietary data, interruptions or delays in our business operations and damage to our reputation. In addition, any such access, disruption, technological failures, disclosure or other loss of information could result in legal claims or proceedings, liability or regulatory penalties under laws protecting the privacy of personal information, disrupt operations and reduce the competitive advantage we hope to derive from our investment in advanced technologies.</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We rely on GM Financial to provide financial services to our dealers and customers in a majority of the markets in which we sell vehicles. GM Financial faces a number of business, economic and financial risks that could impair its access to capital and negatively affect its business and operations and its ability to provide leasing and financing to retail consumers and commercial lending to our dealers to support additional sales of our vehicles. </w:t>
      </w:r>
      <w:r>
        <w:rPr>
          <w:rFonts w:ascii="Arial" w:cs="Arial" w:eastAsia="Arial" w:hAnsi="Arial"/>
          <w:sz w:val="16"/>
          <w:szCs w:val="16"/>
          <w:color w:val="auto"/>
        </w:rPr>
        <w:t>We rely on GM Financial in North America, Europe, South America and China to support leasing and sales of our vehicles to consumers requiring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vehicle financing and also to provide commercial lending to our dealers. Any reduction in GM Financial's ability to provide such financial services would negatively affect our efforts to support additional sales of our vehicles and expand our market penetration among consumers and dealers.</w:t>
      </w:r>
    </w:p>
    <w:p>
      <w:pPr>
        <w:spacing w:after="0" w:line="16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and these laws and regulations often create operational constraints both on GM Financial’s ability to implement servicing procedures and on pricing. Laws in the financial services industry are designed primarily for the protection of consumers. The failure to comply with these laws could result in significant statutory civil and criminal penalties, monetary damages, attorneys’ fees and costs, possible revocation of licenses and damage to reputation, brand and valued customer relationships.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primary factors that could adversely affect GM Financial's business and operations and reduce its ability to provide financing services at competitive rates include the availability of borrowings under its credit facilities to fund its retail and commercial finance activities; its ability to access a variety of financing sources including the asset-backed securities market and other secured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unsecured debt markets; the performance of loans and leases in its portfolio, which could be materially affected by delinquencies, defaults or prepayments; wholesale auction values of used vehicles; higher than expected vehicle return rates and the residual value performance on vehicles GM Financial leases to customers; fluctuations in interest rates and currencies; and changes to regulation, supervision and licensing across various jurisdictions, including new regulations or sanctions imposed in the U.S. by the Department of Justice, SEC and Consumer Financial Protection Bureau.</w:t>
      </w:r>
    </w:p>
    <w:p>
      <w:pPr>
        <w:spacing w:after="0" w:line="17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Our defined benefit pension plans are currently underfunded and our pension funding requirements could increase significantly due to a reduction in funded status as a result of a variety of factors, including weak performance of financial markets, declining interest rates, changes in laws or regulations, changes in assumptions or investments that do not achieve adequate returns. </w:t>
      </w:r>
      <w:r>
        <w:rPr>
          <w:rFonts w:ascii="Arial" w:cs="Arial" w:eastAsia="Arial" w:hAnsi="Arial"/>
          <w:sz w:val="17"/>
          <w:szCs w:val="17"/>
          <w:color w:val="auto"/>
        </w:rPr>
        <w:t>Our employee benefit plans currently hold a significant amount of equity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income securities. A detailed description of the investment funds and strategies is disclosed in Note 14 to our consolidated financial statements, which also describes significant concentrations of risk to the plan investments.</w:t>
      </w:r>
    </w:p>
    <w:p>
      <w:pPr>
        <w:spacing w:after="0" w:line="17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future funding requirements for our U.S. defined benefit pension plans depend upon the future performance of assets placed in trusts for these plans, the level of interest rates used to determine funding levels, the level of benefits provided for by the plans and any changes in government laws and regulations. Future funding requirements generally increase if the discount rate decreases or if actual asset returns are lower than expected asset returns, assuming other factors are held constant. Our potential funding requirements are described in Note 14 to our consolidated financial statements.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Factors which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2016 we had over 100 locations in the U.S., excluding our automotive financing operations and dealerships, which are primarily for manufacturing, assembly, distribution, warehousing, engineering and testing. Leased properties are primarily composed of warehouses and administration, engineering and sales offices.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manufacturing, assembly, distribution, office or warehousing operations in 61 countries, including equity interests in associated companies which perform manufacturing, assembly, or distribution operations. The major facilities outside the U.S., which are principally vehicle manufacturing and assembly operations, are located in Argentina, Australia, Brazil, Canada, China, Colombia, Ecuador, Egypt, Germany, Kenya, Mexico, Poland, South Africa, South Korea, Spain, Thailand and the U.K.</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leases facilities for administration and regional credit centers. GM Financial has 50 facilities, of which 25 are located in the U.S. The major facilities outside the U.S. are located in Brazil, Canada, China, Germany, Mexico and the U.K.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our subsidiaries, or associated companies in which we own an equity interest, own most of the above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15 to our consolidated financial statements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Market Information </w:t>
      </w:r>
      <w:r>
        <w:rPr>
          <w:rFonts w:ascii="Arial" w:cs="Arial" w:eastAsia="Arial" w:hAnsi="Arial"/>
          <w:sz w:val="17"/>
          <w:szCs w:val="17"/>
          <w:color w:val="auto"/>
        </w:rPr>
        <w:t>Shares of our common stock have been publicly traded since November 18, 2010 when our common stock was listed and began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on the New York Stock Exchange and the Toronto Stock Exchange. The following table summarizes the quarterly price ranges of our common stock based on high and low prices from intraday trades on the New York Stock Exchange, the principal market on which the stock is traded: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7"/>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2015</w:t>
            </w:r>
          </w:p>
        </w:tc>
        <w:tc>
          <w:tcPr>
            <w:tcW w:w="860" w:type="dxa"/>
            <w:vAlign w:val="bottom"/>
            <w:tcBorders>
              <w:bottom w:val="single" w:sz="8" w:color="auto"/>
            </w:tcBorders>
          </w:tcPr>
          <w:p>
            <w:pPr>
              <w:spacing w:after="0"/>
              <w:rPr>
                <w:sz w:val="22"/>
                <w:szCs w:val="22"/>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High</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Low</w:t>
            </w: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32.36</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33.41</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37.45</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33.06</w:t>
            </w: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36.88</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29.98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At January 31, 2017 we had 1.5 billion issued and outstanding shares of common stock held by 591 holders of record.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Our Board of Directors began declaring quarterly dividends on our common stock in the three months ended March 31, 2014. It is anticipated that</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on our common stock will continue to be declared and paid quarterly. However the declaration of any dividend on our common stock is a matter to be acted upon by our Board of Directors in its sole discretion. Any dividend will be paid out of funds legally available for that purpose. Our payment of dividends in the future will depend on business conditions, our financial condition, earnings, liquidity and capital requirements and other factors. Refer to Item 6. Selected Financial Data for cash dividends declared on our common stock for the years ended December 31, 2016, 2015 and 2014.</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December 31, 2016:</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3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2016 through October 31, 2016</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$4.0 billion</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November 1, 2016 through November 30, 2016</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18,532,366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17,906,695</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2016 through December 31, 2016</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11,537,206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11,311,477</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$3.0 billion</w:t>
            </w:r>
          </w:p>
        </w:tc>
        <w:tc>
          <w:tcPr>
            <w:tcW w:w="0" w:type="dxa"/>
            <w:vAlign w:val="bottom"/>
          </w:tcPr>
          <w:p>
            <w:pPr>
              <w:spacing w:after="0"/>
              <w:rPr>
                <w:sz w:val="1"/>
                <w:szCs w:val="1"/>
                <w:color w:val="auto"/>
              </w:rPr>
            </w:pPr>
          </w:p>
        </w:tc>
      </w:tr>
      <w:tr>
        <w:trPr>
          <w:trHeight w:val="250"/>
        </w:trPr>
        <w:tc>
          <w:tcPr>
            <w:tcW w:w="502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30,111,291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29,218,172</w:t>
            </w: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8890</wp:posOffset>
            </wp:positionV>
            <wp:extent cx="986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8890</wp:posOffset>
            </wp:positionV>
            <wp:extent cx="857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-130175</wp:posOffset>
            </wp:positionV>
            <wp:extent cx="986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-130175</wp:posOffset>
            </wp:positionV>
            <wp:extent cx="857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 w:lineRule="exact"/>
        <w:rPr>
          <w:sz w:val="20"/>
          <w:szCs w:val="20"/>
          <w:color w:val="auto"/>
        </w:rPr>
      </w:pPr>
    </w:p>
    <w:p>
      <w:pPr>
        <w:jc w:val="both"/>
        <w:ind w:left="340" w:right="20" w:hanging="332"/>
        <w:spacing w:after="0" w:line="28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Shares purchased consist of: (1) shares purchased under our previously announced common stock repurchase program; (2) shares retained by us for the payment of the exercise price upon the exercise of warrants; and (3) shares delivered by employees or directors to us for the payment of taxes resulting from issuance of common stock upon the vesting of Restricted Stock Units (RSUs) and Restricted Stock Awards (RSAs) relating to compensation plans. Refer to Note 21 to our consolidated financial statements for additional details on employee stock incentive plans and Note 19 to our consolidated financial statements for additional details on warrants issued.</w:t>
      </w:r>
    </w:p>
    <w:p>
      <w:pPr>
        <w:spacing w:after="0" w:line="1"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2016 our Board of Directors authorized the purchase of up to an additional $4 billion of our common stock under our previously announced common stock repurchase program before the end of 2017. In January 2017 we announced that our Board of Directors had authorized the purchase of up to an additional $5 billion of our common stock with no expiration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At and for the 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
        </w:trPr>
        <w:tc>
          <w:tcPr>
            <w:tcW w:w="5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152,256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9,268</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9,615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4,018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5,331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6,136</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stockholders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income attributable to common stockholders(b)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9,427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9,687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4,859</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common share(a)(b)</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earnings per common share(a)(b)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149,422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Automotive notes and loans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10,752</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8,765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9,350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7,098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5,172</w:t>
            </w: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 notes and loans payable(c)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44,075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40,323</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36,024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43,174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37,000</w:t>
            </w: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_________</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jc w:val="both"/>
        <w:ind w:left="340" w:hanging="332"/>
        <w:spacing w:after="0" w:line="24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year ended December 31, 2015 we recorded the reversal of deferred tax asset valuation allowances of $3.9 billion in GME and recorded charges related to the Ignition Switch Recall for various legal matters of approximately $1.6 billion. In the year ended December 31, 2014 we recorded charges of approximately $2.9 billion in Automotive cost of sales related to recall campaigns and courtesy transportation, a catch-up adjustment of $0.9 billion related to the change in estimate for recall campaigns and a charge of $0.4 billion related to the Ignition Switch Recall compensation program. In the year ended December 31, 2012 we recorded Goodwill impairment charges of $27.1 billion, the reversal of deferred tax asset valuation allowances of $36.3 billion in the U.S. and Canada, pension settlement charges of $2.7 billion and GME long-lived asset impairment charges of $5.5 billion.</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December 2014 we redeemed all of the remaining shares of our Series A Preferred Stock for $3.9 billion, which reduced Net income attributable to common stockholders by $0.8 billion. In September 2013 we purchased 120 million shares of our Series A Preferred Stock held by the UAW Retiree Medical Benefits Trust (New VEBA) for $3.2 billion, which reduced Net income attributable to common stockholders by $0.8 billion.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year ended December 31, 2013 GM Financial acquired Ally Financial Inc.'s international operations in Europe and Latin America.</w:t>
      </w:r>
    </w:p>
    <w:p>
      <w:pPr>
        <w:spacing w:after="0" w:line="20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for a discussion of these risks and uncertainties.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earnings before interest and taxes (EBIT)-adjusted presented net of noncontrolling interests, EPS-diluted-adjusted,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redemptions of preferred stock and certain income tax adjustments divided by weighted-average common shares outstanding-diluted. Examples of income tax adjustments include the establishment or reversal of significant deferred tax asset valuation allowances.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ROIC-adjusted is used by management and can be used by investors to review our investment and capital allocation decisions. We define ROIC-adjusted as EBIT-adjusted for the trailing four quarters divided by average net assets, which is considered to be the average equity balances adjusted for average automotive debt and interest liabilities, exclusive of capital leases; average automotive net pension and other postretirement benefits (OPEB) liabilities; and average automotive net income tax assets during the same period.</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cash flow from operations less capital expenditures adjusted for management actions, primarily related to strengthening our balance sheet, such as prepayments of debt and discretionary contributions to employee benefit plans. Refer to the “Liquidity and Capital Resources” section of this MD&amp;A for our reconciliation of Net Automotive cash provided by (used in) operating activities under U.S. GAAP to this non-GAAP measure.</w:t>
      </w:r>
    </w:p>
    <w:p>
      <w:pPr>
        <w:spacing w:after="0" w:line="19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following table reconciles Net income attributable to stockholders under U.S. GAAP to EBIT-adjusted used in the calculation of ROIC-adjusted: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Ignition switch recall and related legal matters(a)</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Recall campaign catch-up adjustment(b)</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874</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Thailand asset impairments(c)</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Venezuela currency devaluation and asset impairment(d)</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Russia exit costs and asset impairment(e)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37"/>
        </w:trPr>
        <w:tc>
          <w:tcPr>
            <w:tcW w:w="7380" w:type="dxa"/>
            <w:vAlign w:val="bottom"/>
          </w:tcPr>
          <w:p>
            <w:pPr>
              <w:ind w:left="40"/>
              <w:spacing w:after="0"/>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2,327</w:t>
            </w:r>
          </w:p>
        </w:tc>
      </w:tr>
      <w:tr>
        <w:trPr>
          <w:trHeight w:val="27"/>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EBIT-adjusted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6,494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340" w:right="2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340" w:hanging="332"/>
        <w:spacing w:after="0"/>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adjustment was excluded because it resulted from our decision to change the method we use to estimate costs associated with recall campaigns in GMNA.</w:t>
      </w:r>
    </w:p>
    <w:p>
      <w:pPr>
        <w:spacing w:after="0" w:line="16" w:lineRule="exact"/>
        <w:rPr>
          <w:rFonts w:ascii="Arial" w:cs="Arial" w:eastAsia="Arial" w:hAnsi="Arial"/>
          <w:sz w:val="15"/>
          <w:szCs w:val="15"/>
          <w:color w:val="auto"/>
        </w:rPr>
      </w:pPr>
    </w:p>
    <w:p>
      <w:pPr>
        <w:ind w:left="340" w:right="2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adjustments were excluded because of the significant restructuring of our Thailand operations and the strategic actions taken to focus on the production of pick-up trucks and SUVs.</w:t>
      </w: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adjustment was excluded because of the devaluation of the Venezuela Bolivar Fuerte (BsF), our inability to transact at the Complementary System of Foreign Currency Administration (SICAD) rate to obtain U.S. Dollars and the market restrictions imposed by the Venezuelan government.</w:t>
      </w:r>
    </w:p>
    <w:p>
      <w:pPr>
        <w:ind w:left="340" w:hanging="332"/>
        <w:spacing w:after="0" w:line="328"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adjustments were excluded because they were driven by deteriorating market conditions in Russia, which led to asset impairments in 2014 and our decision to exit the Russia market in 2015. The Russia exit costs primarily consisted of sales incentives, dealer restructuring and other contract cancellation costs, and asset impairments.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Redemption and purchase of Series A preferred stock</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 adjustments(a)</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630"/>
              <w:spacing w:after="0"/>
              <w:rPr>
                <w:sz w:val="20"/>
                <w:szCs w:val="20"/>
                <w:color w:val="auto"/>
              </w:rPr>
            </w:pPr>
            <w:r>
              <w:rPr>
                <w:rFonts w:ascii="Arial" w:cs="Arial" w:eastAsia="Arial" w:hAnsi="Arial"/>
                <w:sz w:val="16"/>
                <w:szCs w:val="16"/>
                <w:color w:val="auto"/>
                <w:w w:val="89"/>
              </w:rPr>
              <w:t>________</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the details of each individual adjustment.</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in which the adjustment relates.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42" w:lineRule="exact"/>
        <w:rPr>
          <w:sz w:val="20"/>
          <w:szCs w:val="20"/>
          <w:color w:val="auto"/>
        </w:rPr>
      </w:pPr>
    </w:p>
    <w:p>
      <w:pPr>
        <w:ind w:left="340" w:right="20" w:hanging="332"/>
        <w:spacing w:after="0" w:line="27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primarily consist of the tax benefit related to the valuation allowance reversal in Europe. The adjustment was excluded because valuation allowance reversals are not considered part of our core operations.</w:t>
      </w:r>
    </w:p>
    <w:p>
      <w:pPr>
        <w:spacing w:after="0" w:line="16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41.3</w:t>
            </w: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ROE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20" w:type="dxa"/>
            <w:vAlign w:val="bottom"/>
          </w:tcPr>
          <w:p>
            <w:pPr>
              <w:spacing w:after="0"/>
              <w:rPr>
                <w:sz w:val="24"/>
                <w:szCs w:val="24"/>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EBIT-adjusted(a)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r>
      <w:tr>
        <w:trPr>
          <w:trHeight w:val="243"/>
        </w:trPr>
        <w:tc>
          <w:tcPr>
            <w:tcW w:w="2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41.3</w:t>
            </w: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r>
      <w:tr>
        <w:trPr>
          <w:trHeight w:val="243"/>
        </w:trPr>
        <w:tc>
          <w:tcPr>
            <w:tcW w:w="2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26.5</w:t>
            </w: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net income tax asset</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r>
      <w:tr>
        <w:trPr>
          <w:trHeight w:val="297"/>
        </w:trPr>
        <w:tc>
          <w:tcPr>
            <w:tcW w:w="20" w:type="dxa"/>
            <w:vAlign w:val="bottom"/>
          </w:tcPr>
          <w:p>
            <w:pPr>
              <w:spacing w:after="0"/>
              <w:rPr>
                <w:sz w:val="24"/>
                <w:szCs w:val="24"/>
                <w:color w:val="auto"/>
              </w:rPr>
            </w:pPr>
          </w:p>
        </w:tc>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ROIC-adjusted average net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42.2</w:t>
            </w:r>
          </w:p>
        </w:tc>
      </w:tr>
      <w:tr>
        <w:trPr>
          <w:trHeight w:val="237"/>
        </w:trPr>
        <w:tc>
          <w:tcPr>
            <w:tcW w:w="20" w:type="dxa"/>
            <w:vAlign w:val="bottom"/>
          </w:tcPr>
          <w:p>
            <w:pPr>
              <w:spacing w:after="0"/>
              <w:rPr>
                <w:sz w:val="20"/>
                <w:szCs w:val="20"/>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ROIC-adjusted</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193"/>
        </w:trPr>
        <w:tc>
          <w:tcPr>
            <w:tcW w:w="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________</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Net income attributable to stockholders under U.S. GAAP to EBIT-adjusted within this section of MD&amp;A.</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strategic plan includes several major initiatives that we anticipate will help us achieve our goal of 9% to 10% margins on an EBIT-adjusted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addition to our EBIT-adjusted margin improvement goal, our overall financial targets include expected total annual operational and functional cost savings of $6.5 billion through 2018 compared to 2014 costs, of which approximately $4 billion has been realized as of December 31, 2016, and which we expect will more than offset our incremental investments in brand building, engineering and technology as we launch new products in 2017 and beyond; and execution of our capital allocation program as described in the "Liquidity and Capital Resources" section of this MD&amp;A.</w:t>
      </w:r>
    </w:p>
    <w:p>
      <w:pPr>
        <w:spacing w:after="0" w:line="17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For the year ending December 31, 2017 we expect to continue to generate strong consolidated financial results including improved total net sales and revenue, EBIT-adjusted and EBIT-adjusted margins that equal or exceed the corresponding amounts in 2016, ROIC-adjusted of greater than 25%, Automotive operating cash flow of approximately $15 billion, adjusted automotive free cash flow of approximately $6 billion and EPS-diluted and EPS-diluted-adjusted of between $6.00 and $6.50. We do not consider the potential future impact of adjustments on our expected financial results. We expect these financial results in part to be driven by favorable shifts in mix for our new or refreshed product launches, including crossovers.</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reconciles expected automotive net cash provided by operating activities under U.S. GAAP to expected adjusted automotive free cash flow (dollars in billions):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cash provided by operating activities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Less: expected capital expenditures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automotive free cash flow</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9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i w:val="1"/>
          <w:iCs w:val="1"/>
          <w:color w:val="auto"/>
        </w:rPr>
        <w:t xml:space="preserve">GMNA </w:t>
      </w:r>
      <w:r>
        <w:rPr>
          <w:rFonts w:ascii="Arial" w:cs="Arial" w:eastAsia="Arial" w:hAnsi="Arial"/>
          <w:sz w:val="17"/>
          <w:szCs w:val="17"/>
          <w:color w:val="auto"/>
        </w:rPr>
        <w:t>In the year ended December 31, 2016 industry sales to retail and fleet customers were 21.9 million units representing a 1.7% increase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corresponding period in 2015 due to strong consumer demand driven by credit availability, low interest rates and low fuel prices.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2016 our vehicle sales in the U.S., our largest market in North America, totaled 3.0 million units for market share of 17.0%, representing a decrease of 0.3 percentage points compared to the corresponding period in 2015. The decrease in our U.S. market share was driven primarily by lower fleet market share due to a planned reduction in rental deliveries, partially offset by higher retail market share. U.S. retail sales, generally more profitable than fleet sales, generated an increase of 0.5 percentage points in market share, primarily driven by Chevrolet.</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achieved EBIT-adjusted margins of 10.1% during 2016 on continued strength of U.S. industry light vehicle sales, new product launches and material and other cost savings, which partially offset launch related costs. Based on our current cost structure, we continue to estimate GMNA’s breakeven point at the U.S. industry level to be in the range of 10.0 - 11.0 million units. We expect to sustain an EBIT-adjusted margin of 10% in 2017 on continued strength of U.S. industry light vehicle sales, key product launches and continued focus on overall cost savings.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GME </w:t>
      </w:r>
      <w:r>
        <w:rPr>
          <w:rFonts w:ascii="Arial" w:cs="Arial" w:eastAsia="Arial" w:hAnsi="Arial"/>
          <w:sz w:val="18"/>
          <w:szCs w:val="18"/>
          <w:color w:val="auto"/>
        </w:rPr>
        <w:t>As a result of moderate economic growth across Europe (excluding Russia) automotive industry sales to retail and fleet customers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in the year ended December 31, 2016 with industry sales to retail and fleet customers of 18.8 million units representing a 6.1% increase compared to the corresponding period in 2015.</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European operations are benefiting from this trend and vehicle sales continue to show signs of improvement underscored by further improvement in our Opel and Vauxhall retail vehicle sales of 1.2 million units for market share of 5.7% in the year ended December 31, 2016 consistent with the corresponding period in 2015. We continue to implement various strategic actions to strengthen our operations and increase our competitiveness.</w:t>
      </w:r>
    </w:p>
    <w:p>
      <w:pPr>
        <w:spacing w:after="0" w:line="166"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Despite the improvements we experienced through most of 2016 we were unable to overcome the impacts of the U.K. referendum vote to leave the European Union (Brexit) resulting in a $0.3 billion unfavorable impact due primarily to adverse movement in the British Pound against the U.S. Dollar.</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anticipate the impacts of Brexit to continue through 2017. We also anticipate headwinds associated with industry pricing pressures and increased costs associated with depreciation, amortization, marketing and costs associated with our new product launches. We intend to mitigate these headwinds with the full benefit of our recently launched Astra and Mokka X along with the 2017 launches of the Insignia, Ampera E, and two new crossovers that we believe will substantially increase our competitiveness in this growing market.</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The German Ministry of Transportation and the Kraftfahrt-Bundesamt have requested the participation of a number of automotive manufacturers, including our German subsidiary, in continuing discussions on emissions control issues and have also requested, from time to time, written responses from our subsidiary on the subject. Our German subsidiary has participated in these discussions and has provided the requested responses to inquiries concerning nitrogen oxide emission control systems of its diesel engines. In addition, the German and the EU Parliaments have instigated Inquiry Commissions into government agencies' oversight of emissions enforcement, requesting our German subsidiary's participation. At the same time, the German government has instigated further industry-wide inquiries about CO</w:t>
      </w:r>
      <w:r>
        <w:rPr>
          <w:rFonts w:ascii="Arial" w:cs="Arial" w:eastAsia="Arial" w:hAnsi="Arial"/>
          <w:sz w:val="11"/>
          <w:szCs w:val="11"/>
          <w:color w:val="auto"/>
        </w:rPr>
        <w:t>2</w:t>
      </w:r>
      <w:r>
        <w:rPr>
          <w:rFonts w:ascii="Arial" w:cs="Arial" w:eastAsia="Arial" w:hAnsi="Arial"/>
          <w:sz w:val="16"/>
          <w:szCs w:val="16"/>
          <w:color w:val="auto"/>
        </w:rPr>
        <w:t xml:space="preserve"> emissions. This scrutiny, regulatory changes and increased enforcement has led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increased testing and re-testing of our vehicles and analysis of their emissions control systems, which could lead to increased costs, penalties, negative publicity or reputational impact, and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i w:val="1"/>
          <w:iCs w:val="1"/>
          <w:color w:val="auto"/>
        </w:rPr>
        <w:t xml:space="preserve">GMIO </w:t>
      </w:r>
      <w:r>
        <w:rPr>
          <w:rFonts w:ascii="Arial" w:cs="Arial" w:eastAsia="Arial" w:hAnsi="Arial"/>
          <w:sz w:val="17"/>
          <w:szCs w:val="17"/>
          <w:color w:val="auto"/>
        </w:rPr>
        <w:t>In the year ended December 31, 2016 China industry sales were 28.3 million units, representing an increase of 12.9%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period in 2015. In the year ended December 31, 2016 our China wholesale volumes increased by 4.9% compared to the corresponding period in 2015. Our market share decreased to 13.8%, down 1.1 percentage points as our volume growth was less than that of the industry. Strong growth in Cadillac, Buick and Baojun passenger vehicles, including SUVs, were partially offset by lower Chevrolet sales because of model changeover and lower Wuling sales because of a continued segment shift away from mini commercial vehicles. In the year ended December 31, 2016 our Automotive China JVs generated equity income of $2.0 billion. We expect moderate industry growth in 2017 and continuation of pricing pressures which will continue to pressure margins. We continue to expect an increase in vehicle sales driven by new launches and expect to sustain strong China equity income by focusing on vehicle mix improvements, cost improvements and efficiencies, and downstream performance optimization.</w:t>
      </w:r>
    </w:p>
    <w:p>
      <w:pPr>
        <w:spacing w:after="0" w:line="17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 weaker economy due partially to lower oil prices and foreign exchange volatility, among other factors, negatively impacted the overall automotive industry in the rest of Asia Pacific, Africa and the Middle East and led to industry sales to retail and fleet customers of 18.9 million units, representing a decrease of 3.2% in the year ended December 31, 2016 compared to the corresponding period in 2015. In the year ended December 31, 2016 our retail sales totaled 0.7 million units leading to a market share of 3.6%, representing a decrease of 0.5 percentage points compared to the corresponding period in 2015. The decrease in retail sales volumes was due primarily to overall industry volume declines, foreign currency availability and economic challenges in the Middle East, Egypt and South Africa.</w:t>
      </w:r>
    </w:p>
    <w:p>
      <w:pPr>
        <w:spacing w:after="0" w:line="19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2017 we expect the operating environment to remain challenging. As we strategically assess our performance and the manner in which we operate in certain countries, additional restructuring and rationalization actions may be required and may have a material impact on our results of operations.</w:t>
      </w:r>
    </w:p>
    <w:p>
      <w:pPr>
        <w:spacing w:after="0" w:line="14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i w:val="1"/>
          <w:iCs w:val="1"/>
          <w:color w:val="auto"/>
        </w:rPr>
        <w:t xml:space="preserve">GMSA </w:t>
      </w:r>
      <w:r>
        <w:rPr>
          <w:rFonts w:ascii="Arial" w:cs="Arial" w:eastAsia="Arial" w:hAnsi="Arial"/>
          <w:sz w:val="16"/>
          <w:szCs w:val="16"/>
          <w:color w:val="auto"/>
        </w:rPr>
        <w:t>The South American automotive industry continues to be challenged by weak economic conditions and lack of consumer confidence. Industry sales</w:t>
      </w:r>
      <w:r>
        <w:rPr>
          <w:rFonts w:ascii="Arial" w:cs="Arial" w:eastAsia="Arial" w:hAnsi="Arial"/>
          <w:sz w:val="16"/>
          <w:szCs w:val="16"/>
          <w:i w:val="1"/>
          <w:iCs w:val="1"/>
          <w:color w:val="auto"/>
        </w:rPr>
        <w:t xml:space="preserve"> </w:t>
      </w:r>
      <w:r>
        <w:rPr>
          <w:rFonts w:ascii="Arial" w:cs="Arial" w:eastAsia="Arial" w:hAnsi="Arial"/>
          <w:sz w:val="16"/>
          <w:szCs w:val="16"/>
          <w:color w:val="auto"/>
        </w:rPr>
        <w:t>to retail and fleet customers were 3.7 million units in the year ended December 31, 2016 representing a 12.3% decrease compared to the corresponding period in 2015. In the year ended December 31, 2016, our vehicle sales in Brazil, our largest market in South America, totaled 0.3 million units for market share of 16.9%, representing an increase of 1.8 percentage points compared to the corresponding period in 2015 primarily driven by a refreshed portfolio.</w:t>
      </w:r>
    </w:p>
    <w:p>
      <w:pPr>
        <w:spacing w:after="0" w:line="15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2017 we expect conditions in South America to improve as the economy recovers driven by higher consumer confidence and lower interest rates. We will continue to monitor conditions in South America and take actions to address challenges in the region.</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 xml:space="preserve">Corporate </w:t>
      </w:r>
      <w:r>
        <w:rPr>
          <w:rFonts w:ascii="Arial" w:cs="Arial" w:eastAsia="Arial" w:hAnsi="Arial"/>
          <w:sz w:val="17"/>
          <w:szCs w:val="17"/>
          <w:color w:val="auto"/>
        </w:rPr>
        <w:t>In connection with our capital allocation program, as detailed in the "Liquidity and Capital Resources" section of this MD&amp;A, we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announced that our Board of Directors had authorized programs to purchase up to $5 billion and $4 billion of our common stock before the end of 2016 and 2017. We completed the $5 billion program in the three months ended September 30, 2016 and $1 billion of the $4 billion program in the three months ended December 31, 2016. In January 2017 we announced that our Board of Directors had authorized the purchase of up to an additional $5 billion of our common stock with no expiration date, subsequent to completing the remaining portion of the previously announced programs. Through February 1, 2017 we had purchased 180 million shares of our outstanding common stock under our common stock repurchase program for $6.0 billion.</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15 to our consolidated financial statements for additional information.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On May 4, 2016 NHTSA issued an amended consent order requiring Takata to file defect information reports (DIRs) for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unrecalled front airbag inflators that contain an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temperature cycling and environmental moisture. On May 16, 2016 Takata issued its first DIR in connection with the amended consent order, and on January 3, 2017, Takata issued its second set of DIRs.</w:t>
      </w:r>
    </w:p>
    <w:p>
      <w:pPr>
        <w:spacing w:after="0" w:line="17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Although we do not believe there is a safety defect at this time in any GM vehicles within the scope of the Takata DIR,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certain GMT900 vehicles equipped with Takata inflators. On November 28, 2016, NHTSA granted GM’s deferral request in connection with this petition. The deferral provides GM until August 31, 2017 to present evidence and analysis that our vehicles do not pose an unreasonable risk to motor vehicle safety. We believe that this timeline will permit us to complete our testing of the relevant non-desiccated Takata inflators in GMT900 vehicles and to prove to NHTSA that the inflators in these vehicles do not present an unreasonable risk to safety and that no repair will ultimately be required.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We believe these vehicles are currently performing as designed and ongoing testing continues to support the belief that the vehicles' unique design and integration mitigates against inflator degradation.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inflators in these vehicles, we estimate a reasonably possible cost of up to $880 million for the 6.9 million vehicles subject to either the Preliminary DIRs or future Takata DIRs under the amended consent order.</w:t>
      </w:r>
    </w:p>
    <w:p>
      <w:pPr>
        <w:spacing w:after="0" w:line="16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January 27, 2017 we were aware of one putative class action pending against GM in federal court in the U.S., one putative class action in Mexico and seven putative class actions pending in various Provincial Courts in Canada arising out of allegations that airbag inflators manufactured by Takata are defective. In addition, the New Mexico Attorney General has initiated litigation against Takata and numerous automotive manufacturers, including GM. At this early stage of these proceedings, we are unable to provide an evaluation of the likelihood that a loss will be incurred or an estimate of the amounts or range of possible loss.</w:t>
      </w:r>
    </w:p>
    <w:p>
      <w:pPr>
        <w:spacing w:after="0" w:line="20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8"/>
          <w:szCs w:val="18"/>
          <w:b w:val="1"/>
          <w:bCs w:val="1"/>
          <w:i w:val="1"/>
          <w:iCs w:val="1"/>
          <w:color w:val="auto"/>
        </w:rPr>
        <w:t xml:space="preserve">Automotive Financing - GM Financial Summary and Outlook </w:t>
      </w:r>
      <w:r>
        <w:rPr>
          <w:rFonts w:ascii="Arial" w:cs="Arial" w:eastAsia="Arial" w:hAnsi="Arial"/>
          <w:sz w:val="18"/>
          <w:szCs w:val="18"/>
          <w:color w:val="auto"/>
        </w:rPr>
        <w:t>GM Financial has expanded its leasing, near prime and prime lending programs in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therefore, leasing and prime lending have become a larger percentage of the originations and retail portfolio balance. GM Financial's retail penetration in North America grew to approximately 33% in the year ended December 31, 2016 from approximately 30% in the corresponding period in 2015 as a result of the expanded leasing and lending programs. In the year ended December 31, 2016 GM Financial's revenue consisted of leased vehicle income of 62%, retail finance charge income of 30%, commercial finance charge income of 5% and other income of 3%. We believe that offering a comprehensive suite of financing products will generate incremental sales of our vehicles, drive incremental GM Financial earnings and help support our sales throughout various economic cycles.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Favorable/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4"/>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119,022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106,622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12,400</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18,707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18,704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right w:val="single" w:sz="8" w:color="auto"/>
            </w:tcBorders>
            <w:gridSpan w:val="2"/>
          </w:tcPr>
          <w:p>
            <w:pPr>
              <w:ind w:left="5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11,749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7,223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7,820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156,849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145,922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10,927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3,097</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166,380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152,356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14,024</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Favorable/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vMerge w:val="continue"/>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4"/>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106,622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101,199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5,423</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18,704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22,235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(3,531)</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13,115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145,922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151,092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1,597</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152,356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155,929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Automotive Cost of Sales</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Favorable/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vMerge w:val="continue"/>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4"/>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100,028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89,173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17,557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18,062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505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6,950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8,416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1,466</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136,333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128,321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Favorable/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8"/>
            <w:vMerge w:val="continue"/>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33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(Unfavorable)</w:t>
            </w:r>
          </w:p>
        </w:tc>
        <w:tc>
          <w:tcPr>
            <w:tcW w:w="1140" w:type="dxa"/>
            <w:vAlign w:val="bottom"/>
            <w:gridSpan w:val="4"/>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89,371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80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128,321</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138,082</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4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most significant element of our Automotive cost of sales is material cost which makes up approximately two-thirds of the total amount. The remaining portion includes labor costs, depreciation and amortization, engineering, and product warranty and recall campaigns.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Factors which most significantly influence a region's profitability are industry volume, market share, and the relative mix of vehicles (cars, trucks, crossovers)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2016 unfavorable Cost was due primarily to: (1) increased other costs of $2.1 billion primarily manufacturing, engineering, depreciation and amortization and warranty which are inclusive of launch costs; partially offset by (2) decreased material and freight costs of $2.8 billion related to carryover vehicles, partially offset by increased material and freight costs of $1.7 billion related to vehicles launched within the last twelve months incorporating significant exterior and/or interior changes (Majors); and (3) impairments of $0.4 billion related to Thailand and Venezuela in 2015. In the year ended December 31, 2016 favorable Other was due primarily to the foreign currency effect of $2.1 billion due primarily to the BsF devaluation in 2015 and the weakening of the Argentine Peso, Canadian Dollar and other currencies against the U.S. Dollar; and costs related to our exit of Russia of $0.2 billion in 2015.</w:t>
      </w:r>
    </w:p>
    <w:p>
      <w:pPr>
        <w:spacing w:after="0" w:line="18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year ended December 31, 2015 favorable Cost was due primarily to (1) a decrease in recall campaign and courtesy transportation charges of $2.8 billion, including the $0.9 billion catch-up adjustment; (2) decreased material and freight costs of $2.9 billion related to carryover vehicles, partially offset by increased material and freight costs of $0.7 billion related to Majors; (3) a net decrease in separation charges of $0.4 billion primarily related to the Bochum plant closing in GME in 2014; (4) favorable intangible asset amortization of $0.3 billion; and (5) decreased costs of $0.3 billion related to parts and accessories sales; partially offset by (6) an increase in engineering expense of $0.4 billion; and (7) an increase in warranty costs of $0.3 billion. In the year ended December 31, 2015 favorable Other was due primarily to favorable net foreign currency effect of $6.9 billion due primarily to the weakening of the Euro, Brazilian Real, Canadian Dollar, British Pound and Mexican Peso against the U.S. Dollar, partially offset by further BsF devaluation.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6"/>
          </w:tcPr>
          <w:p>
            <w:pPr>
              <w:jc w:val="center"/>
              <w:ind w:left="502"/>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2016 vs. 2015 Change</w:t>
            </w:r>
          </w:p>
        </w:tc>
        <w:tc>
          <w:tcPr>
            <w:tcW w:w="23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4"/>
              </w:rPr>
              <w:t>Year Ended 2015 vs. 2014 Change</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Favorable/</w:t>
            </w:r>
          </w:p>
        </w:tc>
        <w:tc>
          <w:tcPr>
            <w:tcW w:w="108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Favorable/</w:t>
            </w:r>
          </w:p>
        </w:tc>
        <w:tc>
          <w:tcPr>
            <w:tcW w:w="114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selling, general and</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11,710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12,158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2016 Automotive selling, general and administrative expense decreased due primarily to: (1) a net decrease in charges of $1.5 billion for matters related to the ignition switch recall; and (2) favorable net foreign currency effect of $0.2 billion due primarily to the weakening of various currencies against the U.S. Dollar.</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Automotive selling, general and administrative expense increased due primarily to: (1) charges related to the Ignition Switch Recall of $1.4 billion; (2) increased advertising expense of $0.2 billion; (3) an increase in employee related costs of $0.1 billion; and (4) costs related to the Russia exit of $0.1 billion; partially offset by (5) favorable net foreign currency effect of $0.7 billion due primarily to the weakening of the Euro and Brazilian Real against the U.S. Dollar.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center"/>
              <w:ind w:left="542"/>
              <w:spacing w:after="0"/>
              <w:rPr>
                <w:sz w:val="20"/>
                <w:szCs w:val="20"/>
                <w:color w:val="auto"/>
              </w:rPr>
            </w:pPr>
            <w:r>
              <w:rPr>
                <w:rFonts w:ascii="Arial" w:cs="Arial" w:eastAsia="Arial" w:hAnsi="Arial"/>
                <w:sz w:val="14"/>
                <w:szCs w:val="14"/>
                <w:b w:val="1"/>
                <w:bCs w:val="1"/>
                <w:color w:val="auto"/>
                <w:w w:val="91"/>
              </w:rPr>
              <w:t>Years Ended December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2016 vs. 2015 Change</w:t>
            </w:r>
          </w:p>
        </w:tc>
        <w:tc>
          <w:tcPr>
            <w:tcW w:w="22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2"/>
              </w:rPr>
              <w:t>Year Ended 2015 vs. 2014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Favorable/</w:t>
            </w:r>
          </w:p>
        </w:tc>
        <w:tc>
          <w:tcPr>
            <w:tcW w:w="10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Favorable/</w:t>
            </w:r>
          </w:p>
        </w:tc>
        <w:tc>
          <w:tcPr>
            <w:tcW w:w="10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(Unfavorable)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n.m.  $</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tcPr>
          <w:p>
            <w:pPr>
              <w:spacing w:after="0" w:line="171" w:lineRule="exact"/>
              <w:rPr>
                <w:sz w:val="20"/>
                <w:szCs w:val="20"/>
                <w:color w:val="auto"/>
              </w:rPr>
            </w:pPr>
            <w:r>
              <w:rPr>
                <w:rFonts w:ascii="Arial" w:cs="Arial" w:eastAsia="Arial" w:hAnsi="Arial"/>
                <w:sz w:val="16"/>
                <w:szCs w:val="16"/>
                <w:color w:val="auto"/>
              </w:rPr>
              <w:t>________</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2016 Income tax expense increased due primarily to the absence of the 2015 income tax benefit from the release of GME's valuation allowance of $3.9 billion and an increase in income tax expense of $1.0 billion due primarily to an increase in pre-tax income; partially offset by $0.6 billion in tax benefits related to foreign currency losses.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 ended December 31, 2015 Income tax expense decreased due primarily to the income tax benefit from the release of GME's valuation allowances of $3.9 billion; partially offset by an increase in income tax expense of $1.8 billion due primarily to an increase in pre-tax income.</w:t>
      </w:r>
    </w:p>
    <w:p>
      <w:pPr>
        <w:spacing w:after="0" w:line="14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For the year ended December 31, 2016 our effective tax rate was 21%, and we expect the effective tax rate to be similar for the year ending December 31, 2017. Refer to Note 16 to our consolidated financial statements for additional information related to Income tax expense (benefit).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2"/>
                <w:szCs w:val="22"/>
                <w:color w:val="auto"/>
              </w:rPr>
            </w:pPr>
          </w:p>
        </w:tc>
        <w:tc>
          <w:tcPr>
            <w:tcW w:w="12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Favorable/</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Volume</w:t>
            </w: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vMerge w:val="restart"/>
          </w:tcPr>
          <w:p>
            <w:pPr>
              <w:jc w:val="center"/>
              <w:ind w:right="11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(Unfavorable)</w:t>
            </w: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119,022</w:t>
            </w:r>
          </w:p>
        </w:tc>
        <w:tc>
          <w:tcPr>
            <w:tcW w:w="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106,622</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12,047</w:t>
            </w:r>
          </w:p>
        </w:tc>
        <w:tc>
          <w:tcPr>
            <w:tcW w:w="3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11,026</w:t>
            </w:r>
          </w:p>
        </w:tc>
        <w:tc>
          <w:tcPr>
            <w:tcW w:w="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6"/>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3,958</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3,558</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1"/>
                <w:szCs w:val="11"/>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4"/>
            <w:vMerge w:val="restart"/>
          </w:tcPr>
          <w:p>
            <w:pPr>
              <w:jc w:val="center"/>
              <w:ind w:left="281"/>
              <w:spacing w:after="0"/>
              <w:rPr>
                <w:sz w:val="20"/>
                <w:szCs w:val="20"/>
                <w:color w:val="auto"/>
              </w:rPr>
            </w:pPr>
            <w:r>
              <w:rPr>
                <w:rFonts w:ascii="Arial" w:cs="Arial" w:eastAsia="Arial" w:hAnsi="Arial"/>
                <w:sz w:val="14"/>
                <w:szCs w:val="14"/>
                <w:b w:val="1"/>
                <w:bCs w:val="1"/>
                <w:color w:val="auto"/>
                <w:w w:val="92"/>
              </w:rPr>
              <w:t>Variance Due To</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vMerge w:val="continue"/>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vMerge w:val="continue"/>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vMerge w:val="continue"/>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6"/>
                <w:szCs w:val="6"/>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56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6"/>
                <w:szCs w:val="6"/>
                <w:color w:val="auto"/>
              </w:rPr>
            </w:pPr>
          </w:p>
        </w:tc>
        <w:tc>
          <w:tcPr>
            <w:tcW w:w="5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3"/>
              </w:rPr>
              <w:t>(Dollars in billions)</w:t>
            </w: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106,622</w:t>
            </w:r>
          </w:p>
        </w:tc>
        <w:tc>
          <w:tcPr>
            <w:tcW w:w="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101,199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11,026</w:t>
            </w:r>
          </w:p>
        </w:tc>
        <w:tc>
          <w:tcPr>
            <w:tcW w:w="3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6,603</w:t>
            </w:r>
          </w:p>
        </w:tc>
        <w:tc>
          <w:tcPr>
            <w:tcW w:w="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1"/>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1"/>
              </w:rPr>
              <w:t>(Vehicles in thousands)</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3,558</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3,320</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GMNA Total Net Sales and Revenue </w:t>
      </w:r>
      <w:r>
        <w:rPr>
          <w:rFonts w:ascii="Arial" w:cs="Arial" w:eastAsia="Arial" w:hAnsi="Arial"/>
          <w:sz w:val="17"/>
          <w:szCs w:val="17"/>
          <w:color w:val="auto"/>
        </w:rPr>
        <w:t>In the year ended December 31, 2016 Total net sales and revenue increased due primarily to: (1) increased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wholesale volumes reflecting our strategic decision to reduce daily rental activity, strong retail demand for the Chevrolet Malibu and Spark, full-size trucks and SUVs and the Buick Envision; (2) favorable pricing for Majors of $1.8 billion; and (3) favorable mix associated with full-size trucks and SUVs and a reduction in rental car activities, partially offset by the Chevrolet Malibu and Spark; partially offset by (4) unfavorable Other due primarily to the foreign currency effect resulting from the weakening of the Mexican Peso and Canadian Dollar against the U.S. Dollar.</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increased due primarily to: (1) increased net wholesale volumes associated with full-size SUVs, mid-size pick-ups and the Chevrolet Trax, Impala and Cruze, partially offset by decreases in the Chevrolet Malibu; and (2) favorable mix due to full-size SUVs and full-size pick-ups partially offset by an increase in rental cars sold at auction and the Chevrolet Trax; partially offset by (3) unfavorable pricing primarily related to carryovers including passenger cars and compact SUVs; and (4) unfavorable Other due primarily to unfavorable foreign currency effect related to the weakening of the Canadian Dollar and the Mexican Peso against the U.S. Dollar of $1.7 billion, partially offset by increased revenue related to OnStar of $0.2 billion.</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The most significant factors which influence profitability are industry volume and market share. While not as significant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volume and market share, another factor affecting profitability is the relative mix of vehicles sold. Trucks, crossovers and cars sold currently have a variable profit of approximately 180%, 70% and 30% of our GMNA portfolio on a weighted-average basis.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2016 EBIT-adjusted increased due primarily to: (1) increased net wholesale volumes; and (2) favorable pricing; partially offset by (3) unfavorable Cost including increased material costs for Majors of $1.1 billion, restructuring charges of $0.2 billion related to the UAW cash severance incentive program and increased other costs of $2.8 billion primarily engineering, depreciation and amortization, manufacturing, warranty and marketing which are inclusive of launch costs, partially offset by favorable material and freight costs related to carryover vehicles of $2.0 billion; (4) unfavorable mix associated with the Chevrolet Malibu, Volt and Spark, partially offset by full-size trucks and SUVs and a reduction in rental car activities; and (5) unfavorable Other due primarily to the foreign currency effect resulting from the weakening of the Mexican Peso and Canadian Dollar against the U.S. Dollar.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EBIT-adjusted increased due primarily to: (1) favorable Cost of $2.9 billion including decreased material and freight costs of $2.2 billion and a decrease in recall-related charges of $1.9 billion, partially offset by warranty of $0.3 billion, engineering of $0.3 billion, General Motors of Canada Company (GM Canada) pension curtailment and restructuring charges of $0.2 billion and advertising of $0.2 billion; (2) increased net wholesale volumes; and (3) favorable mix; partially offset by (4) unfavorable pricing.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22"/>
                <w:szCs w:val="22"/>
                <w:color w:val="auto"/>
              </w:rPr>
            </w:pPr>
          </w:p>
        </w:tc>
        <w:tc>
          <w:tcPr>
            <w:tcW w:w="12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7"/>
              </w:rPr>
              <w:t>Favorable/</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6"/>
                <w:szCs w:val="6"/>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9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5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18,707</w:t>
            </w:r>
          </w:p>
        </w:tc>
        <w:tc>
          <w:tcPr>
            <w:tcW w:w="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18,704</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EBIT (loss)-adjusted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(257)</w:t>
            </w:r>
          </w:p>
        </w:tc>
        <w:tc>
          <w:tcPr>
            <w:tcW w:w="3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2"/>
              </w:rPr>
              <w:t>(Vehicles in thousands)</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1,162</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1,127</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1"/>
                <w:szCs w:val="11"/>
                <w:color w:val="auto"/>
              </w:rPr>
            </w:pPr>
          </w:p>
        </w:tc>
        <w:tc>
          <w:tcPr>
            <w:tcW w:w="128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00" w:type="dxa"/>
            <w:vAlign w:val="bottom"/>
            <w:gridSpan w:val="4"/>
            <w:vMerge w:val="continue"/>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4"/>
            <w:vMerge w:val="continue"/>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4"/>
            <w:vMerge w:val="continue"/>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9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Volume</w:t>
            </w:r>
          </w:p>
        </w:tc>
        <w:tc>
          <w:tcPr>
            <w:tcW w:w="2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18,704</w:t>
            </w:r>
          </w:p>
        </w:tc>
        <w:tc>
          <w:tcPr>
            <w:tcW w:w="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22,235</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(3,531)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EBIT (loss)-adjusted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6"/>
              <w:spacing w:after="0"/>
              <w:rPr>
                <w:sz w:val="20"/>
                <w:szCs w:val="20"/>
                <w:color w:val="auto"/>
              </w:rPr>
            </w:pPr>
            <w:r>
              <w:rPr>
                <w:rFonts w:ascii="Arial" w:cs="Arial" w:eastAsia="Arial" w:hAnsi="Arial"/>
                <w:sz w:val="18"/>
                <w:szCs w:val="18"/>
                <w:color w:val="auto"/>
              </w:rPr>
              <w:t>(813)</w:t>
            </w:r>
          </w:p>
        </w:tc>
        <w:tc>
          <w:tcPr>
            <w:tcW w:w="3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(1,369)</w:t>
            </w:r>
          </w:p>
        </w:tc>
        <w:tc>
          <w:tcPr>
            <w:tcW w:w="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0"/>
              </w:rPr>
              <w:t>(Vehicles in thousands)</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1,127</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1,172</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GME Total Net Sales and Revenue </w:t>
      </w:r>
      <w:r>
        <w:rPr>
          <w:rFonts w:ascii="Arial" w:cs="Arial" w:eastAsia="Arial" w:hAnsi="Arial"/>
          <w:sz w:val="18"/>
          <w:szCs w:val="18"/>
          <w:color w:val="auto"/>
        </w:rPr>
        <w:t>In the year ended December 31, 2016 Total net sales and revenue remained flat due primarily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associated with higher demand primarily for the Astra across the region, partially offset by decreases across the Russian portfolio and decreased sales of the Corsa and Insignia in the U.K.; and (2) favorable pricing for Majors primarily related to the Astra; offset by (3) unfavorable country and vehicle mix; and (4) unfavorable Other due primarily to the foreign currency effect resulting from the weakening of the British Pound against the U.S. Dollar.</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decreased due primarily to: (1) decreased net wholesale volumes associated with decreases across the Russian portfolio and lower demand for the Zafira multipurpose vehicle across the region, partially offset by higher demand primarily for the Vivaro commercial van, the Mokka crossover and the Astra and the recently launched KARL passenger vehicles across the region; and (2) unfavorable Other due primarily to the foreign currency effect resulting from the weakening of the Euro, British Pound and Russian Ruble against the U.S. Dollar; partially offset by (3) favorable pricing primarily related to the next generation Corsa passenger vehicle and Vivaro and the recently launched next generation Astra.</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GME EBIT (Loss)-Adjusted </w:t>
      </w:r>
      <w:r>
        <w:rPr>
          <w:rFonts w:ascii="Arial" w:cs="Arial" w:eastAsia="Arial" w:hAnsi="Arial"/>
          <w:sz w:val="18"/>
          <w:szCs w:val="18"/>
          <w:color w:val="auto"/>
        </w:rPr>
        <w:t>In the year ended December 31, 2016 EBIT (loss)-adjusted decreased due primarily to: (1) favorable Cost due primarily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favorable material and freight costs related to carryover vehicles of $0.5 billion and fixed cost improvements of $0.5 billion, partially offset by unfavorable material performance for Majors related to the Astra of $0.4 billion; (2) favorable pricing; and (3) increased net wholesale volumes; partially offset by (4) unfavorable country and vehicle mix; and (5) unfavorable Other due primarily to the foreign currency effect resulting from the weakening of the British Pound against the U.S. Dollar as a result of Brexit.</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2015 EBIT (loss)-adjusted decreased due primarily to: (1) favorable pricing; and (2) favorable Cost due primarily to a net decrease in restructuring related charges of $0.7 billion, partially offset by unfavorable material costs of $0.2 billion primarily related to the next generation Corsa and Vivaro; partially offset by (3) decreased net wholesale volumes; and (4) unfavorable Other due to unfavorable foreign currency effect of $0.2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Years Ended December 31,</w:t>
            </w:r>
          </w:p>
        </w:tc>
        <w:tc>
          <w:tcPr>
            <w:tcW w:w="240" w:type="dxa"/>
            <w:vAlign w:val="bottom"/>
          </w:tcPr>
          <w:p>
            <w:pPr>
              <w:spacing w:after="0"/>
              <w:rPr>
                <w:sz w:val="22"/>
                <w:szCs w:val="2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4"/>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6"/>
                <w:szCs w:val="6"/>
                <w:color w:val="auto"/>
              </w:rPr>
            </w:pPr>
          </w:p>
        </w:tc>
        <w:tc>
          <w:tcPr>
            <w:tcW w:w="82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11,749</w:t>
            </w: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12,626</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1,135</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1,397</w:t>
            </w:r>
          </w:p>
        </w:tc>
        <w:tc>
          <w:tcPr>
            <w:tcW w:w="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w w:val="95"/>
              </w:rPr>
              <w:t>Equity income — Automotive China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0"/>
              <w:spacing w:after="0"/>
              <w:rPr>
                <w:sz w:val="20"/>
                <w:szCs w:val="20"/>
                <w:color w:val="auto"/>
              </w:rPr>
            </w:pPr>
            <w:r>
              <w:rPr>
                <w:rFonts w:ascii="Arial" w:cs="Arial" w:eastAsia="Arial" w:hAnsi="Arial"/>
                <w:sz w:val="18"/>
                <w:szCs w:val="18"/>
                <w:i w:val="1"/>
                <w:iCs w:val="1"/>
                <w:color w:val="auto"/>
              </w:rPr>
              <w:t>JVs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14"/>
              <w:spacing w:after="0"/>
              <w:rPr>
                <w:sz w:val="20"/>
                <w:szCs w:val="20"/>
                <w:color w:val="auto"/>
              </w:rPr>
            </w:pPr>
            <w:r>
              <w:rPr>
                <w:rFonts w:ascii="Arial" w:cs="Arial" w:eastAsia="Arial" w:hAnsi="Arial"/>
                <w:sz w:val="18"/>
                <w:szCs w:val="18"/>
                <w:i w:val="1"/>
                <w:iCs w:val="1"/>
                <w:color w:val="auto"/>
              </w:rPr>
              <w:t>1,973</w:t>
            </w:r>
          </w:p>
        </w:tc>
        <w:tc>
          <w:tcPr>
            <w:tcW w:w="360" w:type="dxa"/>
            <w:vAlign w:val="bottom"/>
          </w:tcPr>
          <w:p>
            <w:pPr>
              <w:jc w:val="right"/>
              <w:ind w:right="7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13"/>
              <w:spacing w:after="0"/>
              <w:rPr>
                <w:sz w:val="20"/>
                <w:szCs w:val="20"/>
                <w:color w:val="auto"/>
              </w:rPr>
            </w:pPr>
            <w:r>
              <w:rPr>
                <w:rFonts w:ascii="Arial" w:cs="Arial" w:eastAsia="Arial" w:hAnsi="Arial"/>
                <w:sz w:val="18"/>
                <w:szCs w:val="18"/>
                <w:i w:val="1"/>
                <w:iCs w:val="1"/>
                <w:color w:val="auto"/>
              </w:rPr>
              <w:t>2,057</w:t>
            </w: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i w:val="1"/>
                <w:iCs w:val="1"/>
                <w:color w:val="auto"/>
              </w:rPr>
              <w:t>(84)</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 excluding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Equity income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(838)</w:t>
            </w:r>
          </w:p>
        </w:tc>
        <w:tc>
          <w:tcPr>
            <w:tcW w:w="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(660)</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559</w:t>
            </w:r>
          </w:p>
        </w:tc>
        <w:tc>
          <w:tcPr>
            <w:tcW w:w="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588</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7"/>
              </w:rPr>
              <w:t>Years Ended December 31,</w:t>
            </w:r>
          </w:p>
        </w:tc>
        <w:tc>
          <w:tcPr>
            <w:tcW w:w="240" w:type="dxa"/>
            <w:vAlign w:val="bottom"/>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4"/>
            <w:vMerge w:val="restart"/>
          </w:tcPr>
          <w:p>
            <w:pPr>
              <w:jc w:val="center"/>
              <w:ind w:left="26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vMerge w:val="continue"/>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6"/>
                <w:szCs w:val="6"/>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5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6"/>
                <w:szCs w:val="6"/>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4"/>
          </w:tcPr>
          <w:p>
            <w:pPr>
              <w:jc w:val="center"/>
              <w:ind w:left="26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12,626</w:t>
            </w:r>
          </w:p>
        </w:tc>
        <w:tc>
          <w:tcPr>
            <w:tcW w:w="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14,392</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1,397</w:t>
            </w:r>
          </w:p>
        </w:tc>
        <w:tc>
          <w:tcPr>
            <w:tcW w:w="3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1,222</w:t>
            </w:r>
          </w:p>
        </w:tc>
        <w:tc>
          <w:tcPr>
            <w:tcW w:w="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14.3 %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8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9"/>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i w:val="1"/>
                <w:iCs w:val="1"/>
                <w:color w:val="auto"/>
                <w:w w:val="95"/>
              </w:rPr>
              <w:t>Equity income — Automotive China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0"/>
              <w:spacing w:after="0"/>
              <w:rPr>
                <w:sz w:val="20"/>
                <w:szCs w:val="20"/>
                <w:color w:val="auto"/>
              </w:rPr>
            </w:pPr>
            <w:r>
              <w:rPr>
                <w:rFonts w:ascii="Arial" w:cs="Arial" w:eastAsia="Arial" w:hAnsi="Arial"/>
                <w:sz w:val="18"/>
                <w:szCs w:val="18"/>
                <w:i w:val="1"/>
                <w:iCs w:val="1"/>
                <w:color w:val="auto"/>
              </w:rPr>
              <w:t>JVs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i w:val="1"/>
                <w:iCs w:val="1"/>
                <w:color w:val="auto"/>
              </w:rPr>
              <w:t>2,057</w:t>
            </w:r>
          </w:p>
        </w:tc>
        <w:tc>
          <w:tcPr>
            <w:tcW w:w="360" w:type="dxa"/>
            <w:vAlign w:val="bottom"/>
          </w:tcPr>
          <w:p>
            <w:pPr>
              <w:jc w:val="right"/>
              <w:ind w:right="34"/>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i w:val="1"/>
                <w:iCs w:val="1"/>
                <w:color w:val="auto"/>
              </w:rPr>
              <w:t>2,066</w:t>
            </w: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i w:val="1"/>
                <w:iCs w:val="1"/>
                <w:color w:val="auto"/>
              </w:rPr>
              <w:t>(9)</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(0.4)%</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—excluding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Equity income</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(660)</w:t>
            </w:r>
          </w:p>
        </w:tc>
        <w:tc>
          <w:tcPr>
            <w:tcW w:w="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(844)</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21.8 %</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655</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GMIO Total Net Sales and Revenue </w:t>
      </w:r>
      <w:r>
        <w:rPr>
          <w:rFonts w:ascii="Arial" w:cs="Arial" w:eastAsia="Arial" w:hAnsi="Arial"/>
          <w:sz w:val="17"/>
          <w:szCs w:val="17"/>
          <w:color w:val="auto"/>
        </w:rPr>
        <w:t>In the year ended December 31, 2016 Total net sales and revenue decreased due primarily to: (1) decreased wholesale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volumes of pick-up trucks and passenger cars in Egypt and South Africa and full-size trucks and SUVs in the Middle East due to low oil prices, partially offset by increased sales of the Chevrolet Spark and Malibu in Korea and the Middle East; and (2) unfavorable Other of $0.4 billion due primarily to the foreign currency effect resulting from the weakening of the Egyptian Pound and South African Rand against the U.S. Dollar.</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Total net sales and revenue decreased due primarily to: (1) decreased wholesale volumes associated with the withdrawal of the Chevrolet brand from Europe, decreased sales in Korea, India, Southeast Asia and South Africa, partially offset by increased wholesale volumes of new full-size trucks and SUVs in the Middle East; and (2) unfavorable Other due primarily to the foreign currency effect of $1.0 billion resulting from the weakening of the Australian Dollar, South Korean Won and South African Rand against the U.S. Dollar and decreased sales of components, parts and accessories of $0.4 billion; partially offset by (3) favorable mix and pricing primarily due to increased sales of full-size trucks and SUVs in the Middle East.</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GMIO EBIT-Adjusted </w:t>
      </w:r>
      <w:r>
        <w:rPr>
          <w:rFonts w:ascii="Arial" w:cs="Arial" w:eastAsia="Arial" w:hAnsi="Arial"/>
          <w:sz w:val="17"/>
          <w:szCs w:val="17"/>
          <w:color w:val="auto"/>
        </w:rPr>
        <w:t>In the year ended December 31, 2016 EBIT-adjusted decreased due primarily to: (1) unfavorable mix due primarily to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full size trucks and SUVs in the Middle East as a result of a weaker economy due to low oil prices; (2) unfavorable Other due primarily to the foreign currency effect resulting from the weakening of the Egyptian Pound and South African Rand against the U.S. Dollar; and (3) decreased wholesale volume; partially offset by (4) favorable Cost associated with material and freight performance related to carryover vehicles.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2015 EBIT-adjusted increased due primarily to: (1) favorable pricing and mix in the Middle East due primarily to sales of new full-size trucks and SUVs; and (2) favorable cost due primarily to favorable material and freight performance of $0.3 billion; partially offset by (3) decreased net wholesale volumes; and (4) unfavorable Other due to the foreign currency effect.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1"/>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gridSpan w:val="10"/>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4,013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3,794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3,613</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620" w:type="dxa"/>
            <w:vAlign w:val="bottom"/>
            <w:gridSpan w:val="2"/>
          </w:tcPr>
          <w:p>
            <w:pPr>
              <w:jc w:val="right"/>
              <w:ind w:right="38"/>
              <w:spacing w:after="0"/>
              <w:rPr>
                <w:sz w:val="20"/>
                <w:szCs w:val="20"/>
                <w:color w:val="auto"/>
              </w:rPr>
            </w:pPr>
            <w:r>
              <w:rPr>
                <w:rFonts w:ascii="Arial" w:cs="Arial" w:eastAsia="Arial" w:hAnsi="Arial"/>
                <w:sz w:val="18"/>
                <w:szCs w:val="18"/>
                <w:color w:val="auto"/>
                <w:w w:val="87"/>
              </w:rPr>
              <w:t>47,150</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3"/>
          </w:tcPr>
          <w:p>
            <w:pPr>
              <w:jc w:val="right"/>
              <w:ind w:right="14"/>
              <w:spacing w:after="0"/>
              <w:rPr>
                <w:sz w:val="20"/>
                <w:szCs w:val="20"/>
                <w:color w:val="auto"/>
              </w:rPr>
            </w:pPr>
            <w:r>
              <w:rPr>
                <w:rFonts w:ascii="Arial" w:cs="Arial" w:eastAsia="Arial" w:hAnsi="Arial"/>
                <w:sz w:val="18"/>
                <w:szCs w:val="18"/>
                <w:color w:val="auto"/>
              </w:rPr>
              <w:t>44,959</w:t>
            </w: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
              <w:spacing w:after="0"/>
              <w:rPr>
                <w:sz w:val="20"/>
                <w:szCs w:val="20"/>
                <w:color w:val="auto"/>
              </w:rPr>
            </w:pPr>
            <w:r>
              <w:rPr>
                <w:rFonts w:ascii="Arial" w:cs="Arial" w:eastAsia="Arial" w:hAnsi="Arial"/>
                <w:sz w:val="18"/>
                <w:szCs w:val="18"/>
                <w:color w:val="auto"/>
              </w:rPr>
              <w:t>43,853</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4,117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4,290</w:t>
            </w:r>
          </w:p>
        </w:tc>
        <w:tc>
          <w:tcPr>
            <w:tcW w:w="5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4,312</w:t>
            </w:r>
          </w:p>
        </w:tc>
        <w:tc>
          <w:tcPr>
            <w:tcW w:w="0" w:type="dxa"/>
            <w:vAlign w:val="bottom"/>
          </w:tcPr>
          <w:p>
            <w:pPr>
              <w:spacing w:after="0"/>
              <w:rPr>
                <w:sz w:val="1"/>
                <w:szCs w:val="1"/>
                <w:color w:val="auto"/>
              </w:rPr>
            </w:pPr>
          </w:p>
        </w:tc>
      </w:tr>
      <w:tr>
        <w:trPr>
          <w:trHeight w:val="399"/>
        </w:trPr>
        <w:tc>
          <w:tcPr>
            <w:tcW w:w="2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135"/>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93"/>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5,939</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Debt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w w:val="86"/>
              </w:rPr>
              <w:t>246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59"/>
        </w:trPr>
        <w:tc>
          <w:tcPr>
            <w:tcW w:w="2380" w:type="dxa"/>
            <w:vAlign w:val="bottom"/>
          </w:tcPr>
          <w:p>
            <w:pPr>
              <w:spacing w:after="0"/>
              <w:rPr>
                <w:sz w:val="20"/>
                <w:szCs w:val="20"/>
                <w:color w:val="auto"/>
              </w:rPr>
            </w:pPr>
            <w:r>
              <w:rPr>
                <w:rFonts w:ascii="Arial" w:cs="Arial" w:eastAsia="Arial" w:hAnsi="Arial"/>
                <w:sz w:val="18"/>
                <w:szCs w:val="18"/>
                <w:b w:val="1"/>
                <w:bCs w:val="1"/>
                <w:color w:val="auto"/>
              </w:rPr>
              <w:t>GM South America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vMerge w:val="continue"/>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6"/>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6"/>
                <w:szCs w:val="6"/>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Volume</w:t>
            </w:r>
          </w:p>
        </w:tc>
        <w:tc>
          <w:tcPr>
            <w:tcW w:w="280" w:type="dxa"/>
            <w:vAlign w:val="bottom"/>
          </w:tcPr>
          <w:p>
            <w:pPr>
              <w:spacing w:after="0"/>
              <w:rPr>
                <w:sz w:val="6"/>
                <w:szCs w:val="6"/>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Mix</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6"/>
                <w:szCs w:val="6"/>
                <w:color w:val="auto"/>
              </w:rPr>
            </w:pPr>
          </w:p>
        </w:tc>
        <w:tc>
          <w:tcPr>
            <w:tcW w:w="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5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7,223</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7,820</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(374)</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68"/>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(Vehicles in thousands)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603</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Favorable/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5"/>
            <w:vMerge w:val="restart"/>
          </w:tcPr>
          <w:p>
            <w:pPr>
              <w:jc w:val="center"/>
              <w:ind w:right="14"/>
              <w:spacing w:after="0"/>
              <w:rPr>
                <w:sz w:val="20"/>
                <w:szCs w:val="20"/>
                <w:color w:val="auto"/>
              </w:rPr>
            </w:pPr>
            <w:r>
              <w:rPr>
                <w:rFonts w:ascii="Arial" w:cs="Arial" w:eastAsia="Arial" w:hAnsi="Arial"/>
                <w:sz w:val="14"/>
                <w:szCs w:val="14"/>
                <w:b w:val="1"/>
                <w:bCs w:val="1"/>
                <w:color w:val="auto"/>
                <w:w w:val="92"/>
              </w:rPr>
              <w:t>Variance Due To</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gridSpan w:val="4"/>
            <w:vMerge w:val="continue"/>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5"/>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auto"/>
            </w:tcBorders>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Volume</w:t>
            </w:r>
          </w:p>
        </w:tc>
        <w:tc>
          <w:tcPr>
            <w:tcW w:w="2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Mix</w:t>
            </w: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(Unfavorable)</w:t>
            </w: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7,820</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13,115</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0.6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6"/>
              <w:spacing w:after="0"/>
              <w:rPr>
                <w:sz w:val="20"/>
                <w:szCs w:val="20"/>
                <w:color w:val="auto"/>
              </w:rPr>
            </w:pPr>
            <w:r>
              <w:rPr>
                <w:rFonts w:ascii="Arial" w:cs="Arial" w:eastAsia="Arial" w:hAnsi="Arial"/>
                <w:sz w:val="18"/>
                <w:szCs w:val="18"/>
                <w:color w:val="auto"/>
              </w:rPr>
              <w:t>(622)</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0.1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603</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GMSA Total Net Sales and Revenue </w:t>
      </w:r>
      <w:r>
        <w:rPr>
          <w:rFonts w:ascii="Arial" w:cs="Arial" w:eastAsia="Arial" w:hAnsi="Arial"/>
          <w:sz w:val="17"/>
          <w:szCs w:val="17"/>
          <w:color w:val="auto"/>
        </w:rPr>
        <w:t>In the year ended December 31, 2016 Total net sales and revenue decreased due primarily to: (1) decreased wholesale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volumes due to difficult economic conditions in Brazil and Venezuela that drove an industry reduction of 12.3% compared to the same period in 2015 offset by a gain in market share of 1.8% in Brazil; (2) unfavorable Other due primarily to the foreign currency effect resulting from the weakening of all currencies across the region against the U.S. Dollar; partially offset by (3) favorable pricing related to carryover vehicles due primarily to high inflation in Argentina; and (4) favorable mix due to the launch of Chevrolet Cruze in Brazil and increased sales of pick-up trucks in Argentina.</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year ended December 31, 2015 Total net sales and revenue decreased due primarily to: (1) decreased wholesale volumes associated with lower demand for the Chevrolet Celta, Onix and Prisma small vehicles and Cobalt sedan in Brazil and decreases across the portfolio primarily in Chile and Colombia caused by difficult economic conditions; and (2) unfavorable Other due primarily to unfavorable foreign currency effect due to the weakening of all currencies across the region against the U.S. Dollar; partially offset by (3) favorable pricing due primarily to high inflation in Venezuela and Argentina; and (4) favorable vehicle mix due to decreased sales of lower priced vehicles in Brazil and increased sales of the Chevrolet Silverado and Cruze in Venezuela.</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GMSA EBIT (Loss)-Adjusted </w:t>
      </w:r>
      <w:r>
        <w:rPr>
          <w:rFonts w:ascii="Arial" w:cs="Arial" w:eastAsia="Arial" w:hAnsi="Arial"/>
          <w:sz w:val="18"/>
          <w:szCs w:val="18"/>
          <w:color w:val="auto"/>
        </w:rPr>
        <w:t>In the year ended December 31, 2016 EBIT (loss)-adjusted decreased due primarily to: (1) favorable pricing; and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favorable Cost due primarily to lower engineering expenses; partially offset by (3) unfavorable mix due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primarily to the lack of vehicle sales in Venezuela; (4) unfavorable wholesale volumes; and (5) unfavorable Other due primarily to the foreign currency effect resulting from the weakening of all currencies across the region against the U.S. Dollar.</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2015 EBIT (loss)-adjusted increased due primarily to: (1) decreased wholesale volumes; and (2) unfavorable Other due primarily to the foreign currency effect due to the weakening of all currencies across the region against the U.S. Dollar; and (3) unfavorable Cost due primarily to IT expenses; partially offset by (4) favorable pricing.</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Venezuelan Operations </w:t>
      </w:r>
      <w:r>
        <w:rPr>
          <w:rFonts w:ascii="Arial" w:cs="Arial" w:eastAsia="Arial" w:hAnsi="Arial"/>
          <w:sz w:val="17"/>
          <w:szCs w:val="17"/>
          <w:color w:val="auto"/>
        </w:rPr>
        <w:t>Our operations in Venezuela, which remain consolidated, continue to be negatively impacted by economic recession and political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instability in the country. During the years ended December 31, 2015 and 2014 we recorded devaluation and asset impairment charges of $0.7 billion and $0.4 billion in Automotive cost of sales related to our inability to transact at the SICAD rate to obtain U.S. Dollars and the market restrictions imposed by the Venezuelan government. We monitor the environment in Venezuela closely to assess whether changes evolve such that we no longer maintain a controlling financial interest. Absent ongoing vehicle production, our Venezuelan subsidiaries may require additional financial support. At this time no decision has been made whether we will provide further financial support if required. If a determination is made in the future that we no longer maintain control, we may incur a charge based on exchange rates at December 31, 2016 of up to $0.1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2016 vs. 2015 Change</w:t>
            </w:r>
          </w:p>
        </w:tc>
        <w:tc>
          <w:tcPr>
            <w:tcW w:w="200" w:type="dxa"/>
            <w:vAlign w:val="bottom"/>
          </w:tcPr>
          <w:p>
            <w:pPr>
              <w:spacing w:after="0"/>
              <w:rPr>
                <w:sz w:val="16"/>
                <w:szCs w:val="16"/>
                <w:color w:val="auto"/>
              </w:rPr>
            </w:pPr>
          </w:p>
        </w:tc>
        <w:tc>
          <w:tcPr>
            <w:tcW w:w="18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2015 vs. 2014 Change</w:t>
            </w:r>
          </w:p>
        </w:tc>
      </w:tr>
      <w:tr>
        <w:trPr>
          <w:trHeight w:val="264"/>
        </w:trPr>
        <w:tc>
          <w:tcPr>
            <w:tcW w:w="39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4,854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604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taxes-adjusted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(Dollars in billions)</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year ended December 31, 2016 Total revenue increased due primarily to increased leased vehicle income of $3.1 billion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larger lease portfolio.</w:t>
      </w:r>
    </w:p>
    <w:p>
      <w:pPr>
        <w:spacing w:after="0" w:line="17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year ended December 31, 2015 Total revenue increased due primarily to: (1) increased leased vehicle income of $1.7 billion due to a larger lease portfolio; partially offset by (2) net decrease in finance charge income and other income of $0.1 billion which consists of a decrease of $0.3 billion outside of North America, partially offset by an increase of $0.2 billion in North America.</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GM Financial Earnings Before Income Taxes-Adjusted </w:t>
      </w:r>
      <w:r>
        <w:rPr>
          <w:rFonts w:ascii="Arial" w:cs="Arial" w:eastAsia="Arial" w:hAnsi="Arial"/>
          <w:sz w:val="16"/>
          <w:szCs w:val="16"/>
          <w:color w:val="auto"/>
        </w:rPr>
        <w:t>In the year ended December 31, 2016 Earnings before income taxes-adjusted increased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(1) increased revenue of $3.1 billion; partially offset by (2) increased leased vehicle expenses of $2.3 billion due to a larger lease portfolio; (3) net increase in interest expense of $0.5 billion due to an increase in average debt outstanding; and (4) increased operating expenses of $0.2 billion.</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year ended December 31, 2015 Earnings before income taxes-adjusted remained flat due primarily to: (1) increased revenue of $1.6 billion; and (2) increased equity income of $0.1 billion from SAIC-GMAC Automotive Finance Company Limited (SAIC-GMAC); offset by (3) increased leased vehicle expenses of $1.4 billion due to a larger lease portfolio; (4) net increase in interest expense of $0.2 billion which consists of an increase of $0.4 billion in North America due to an increase in average debt outstanding, partially offset by a decrease of $0.2 billion outside of North America; and (5) net increase in operating expenses of $0.1 billion which consists of an increase of $0.2 billion in North America, partially offset by a decrease of $0.1 billion outside of North America.</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We believe that our current level of cash and cash equivalents, marketable securities and availability under our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facilities will be sufficient to meet our liquidity needs. We expect to have substantial cash requirements going forward which we plan to fund through total available liquidity and cash flows generated from operations.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excess cash to stockholders. Our known future material uses of cash include, among other possible demands: (1) capital expenditures of approximately $9 billion annually as well as payments for engineering and product development activities; (2) payments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Item 1A. Risk Factors,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senior management evaluates our capital allocation program on an ongoing basis and recommends any modifications to the program to our Board of Directors not less than once annually. Over the last six months of 2016, management conducted an extensive review of various capital allocation strategies including consideration of potential variations in our capital structure, changes in the pacing and/or nature of return of capital to shareholders (including a potential increase in our share repurchase program) and issuance or distribution of preferred or other securities. We regularly engage with our shareholders and received input as to the views of certain of our shareholders on capital allocation during this review. Ultimately, management reaffirmed and our Board of Directors approved the capital allocation program, which includes reinvesting in our business at an average target ROIC-adjusted rate of 20% or greater, maintaining a strong investment grade balance sheet, including a target cash balance of $20 billion, and returning remaining free cash flow to shareholders. We also announced in January 2017 that our Board of Directors had authorized the purchase of up to an additional $5 billion of our common stock with no expiration date, subsequent to completing the remaining portion of the previously announced programs.</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As part of our capital allocation program we previously announced that our Board of Directors had authorized programs to purchase up to $5 billion and $4 billion of our common stock before the end of 2016 and 2017. We completed the $5 billion program in the three months ended September 30, 2016 and $1 billion of the $4 billion program in the three months ended December 31, 2016. Through February 1, 2017 we had purchased an aggregate of 180 million shares of our outstanding common stock under our common stock repurchase program for $6.0 billion. In the year ended December 31, 2016, we returned total cash to shareholders of $4.8 billion, consisting of dividends paid on our common stock and purchases of our common stock.</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2016 we issued $2.0 billion in aggregate principal amount of automotive senior unsecured notes and used the entire net proceeds to fund discretionary contributions to our U.S. hourly pension plan in the year ended December 31, 2016 to improve its funded status. Refer to Note 13 to our consolidated financial statements for additional information on the senior unsecured notes.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May 2016 we amended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facility allows for borrowings in U.S. Dollars and other currencies and includes a GM Financial borrowing sub-limit of $3.0 billion and a letter of credit sub-limit of $500 million.</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manage our liquidity primarily at our treasury centers as well as at certain of our significant consolidated overseas subsidiaries. Over 90% of our available liquidity excluding funds available under credit facilities was held within North America and at our regional treasury centers at December 31, 2016. Our available liquidity includes approximately $0.6 billion deemed indefinitely reinvested in our foreign subsidiaries. We have used and will continue to use other methods including intercompany loans to utilize these funds across our global operations as needed.</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cash equivalents and marketable securities balances are primarily denominated in U.S. Dollars and include investments in U.S. government and agency obligations, foreign government securities, time deposits, corporate debt securities and mortgage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The total size of our credit facilities was $14.6 billion and $12.6 billion at December 31, 2016 and 2015, which consisted principally of our two primary revolving credit facilities. We did not have any borrowings against our primary facilities, but had letters of credit outstanding under our sub-facility of $0.6 billion at December 31, 2016. GM Financial had access to our revolving credit facilities at December 31, 2016 and 2015 but did not borrow against them. Refer to Note 13 to our consolidated financial statements for additional information on credit facilities. At December 31, 2016 and 2015 we had intercompany loans from GM Financial of $0.5 billion and $0.4 billion, which consisted primarily of commercial loans to dealers we consolidate, and we had no intercompany loans to GM Financial. The following table summarizes our automotive available liquidity (dollars in billions):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Cruise</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140" w:type="dxa"/>
            <w:vAlign w:val="bottom"/>
          </w:tcPr>
          <w:p>
            <w:pPr>
              <w:spacing w:after="0"/>
              <w:rPr>
                <w:sz w:val="24"/>
                <w:szCs w:val="2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2015 vs. 2014</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impairments charges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7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74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14.3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2016 the change in Pension and OPEB activities was due primarily to discretionary contributions of $2.0 billion made to our U.S. hourly pension plan and pension income from the refinement to the discount rate methodology</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4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service and interest cost. The change in Working capital was due primarily to increased accounts payable due to increased production volumes and decreased inventories due to lower repurchased rental car activity. The change in Accrued and other liabilities was due primarily to an increase in sales incentives of $1.6 billion. The change in Income taxes was due primarily to the reversal of valuation allowances in 2015. The change in Other was due primarily to foreign exchange and increase in deposits.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year ended December 31, 2015 the change in Working capital was due primarily to increased accounts payable due to increased production volumes. The change in Equipment on operating leases was due primarily to the reduction of units provided to rental car companies. The change in Accrued and other liabilities was due primarily to recalls and deposits from rental car companies. The change in Income taxes was due primarily to the reversal of valuation allowances, partially offset by deferred tax expense in 2015 compared to deferred tax benefit in 2014.</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140" w:type="dxa"/>
            <w:vAlign w:val="bottom"/>
          </w:tcPr>
          <w:p>
            <w:pPr>
              <w:spacing w:after="0"/>
              <w:rPr>
                <w:sz w:val="16"/>
                <w:szCs w:val="1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2015 vs. 2014</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Lyft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Acquisition of Cruise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2016 the change in Acquisitions and liquidations of marketable securities, net was due primarily to the acquisition of sovereign debt and corporate debt available-for-sale securities. In the year ended December 31, 2015 the change in Acquisitions and liquidations of marketable securities, net was due primarily to the liquidation of our sovereign debt trading securities.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2016 vs. 2015</w:t>
            </w:r>
          </w:p>
        </w:tc>
        <w:tc>
          <w:tcPr>
            <w:tcW w:w="140" w:type="dxa"/>
            <w:vAlign w:val="bottom"/>
          </w:tcPr>
          <w:p>
            <w:pPr>
              <w:spacing w:after="0"/>
              <w:rPr>
                <w:sz w:val="16"/>
                <w:szCs w:val="16"/>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2015 vs. 2014</w:t>
            </w:r>
          </w:p>
        </w:tc>
        <w:tc>
          <w:tcPr>
            <w:tcW w:w="0" w:type="dxa"/>
            <w:vAlign w:val="bottom"/>
          </w:tcPr>
          <w:p>
            <w:pPr>
              <w:spacing w:after="0"/>
              <w:rPr>
                <w:sz w:val="1"/>
                <w:szCs w:val="1"/>
                <w:color w:val="auto"/>
              </w:rPr>
            </w:pPr>
          </w:p>
        </w:tc>
      </w:tr>
      <w:tr>
        <w:trPr>
          <w:trHeight w:val="71"/>
        </w:trPr>
        <w:tc>
          <w:tcPr>
            <w:tcW w:w="526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7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Redemption and purchase of Series A Preferred Stock</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0"/>
              </w:rPr>
              <w:t>Dividends paid (excluding charge related to redemption and purchase of</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Series A Preferred Stock)</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In the year ended December 31, 2016 the change in Net automotive cash used in financing activities was due primarily to the issuance of senior unsecured notes and the purchase of common stock as part of the common stock repurchase program. In the year ended December 31, 2015 the change in Net automotive cash used in financing activities was due primarily to the purchase of common stock as part of the common stock repurchase program.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372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3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3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30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0" w:type="dxa"/>
            <w:vAlign w:val="bottom"/>
            <w:vMerge w:val="restart"/>
          </w:tcPr>
          <w:p>
            <w:pPr>
              <w:jc w:val="right"/>
              <w:ind w:right="1890"/>
              <w:spacing w:after="0"/>
              <w:rPr>
                <w:sz w:val="20"/>
                <w:szCs w:val="20"/>
                <w:color w:val="auto"/>
              </w:rPr>
            </w:pPr>
            <w:r>
              <w:rPr>
                <w:rFonts w:ascii="Arial" w:cs="Arial" w:eastAsia="Arial" w:hAnsi="Arial"/>
                <w:sz w:val="18"/>
                <w:szCs w:val="18"/>
                <w:color w:val="auto"/>
              </w:rPr>
              <w:t>34</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(Fitch),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All four credit rating agencies currently rate our corporate credit at investment grade. The following table summarizes our credit ratings at February 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Fitch</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Positive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Investment Grade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Baa2</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S&amp;P</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BBB</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Rating actions taken by each of the credit rating agencies from January 1, 2016 through February 1, 2017 were as follows: (1) Moody’s revised their outlook to Positive from Stable in February 2016, and upgraded our debt rating, including the revolving credit facilities, to Baa2 from Baa3, and revised their outlook to Stable from Positive in January 2017. Our senior unsecured bonds were upgraded to Baa3 from Ba1 and remain notched below our revolving credit facilities rating; (2) S&amp;P revised their outlook to Positive from Stable in April 2016, and upgraded our corporate rating, revolving credit facilities rating and senior unsecured rating to BBB from BBB- and revised their outlook to Stable from Positive in January 2017; (3) Fitch revised their outlook to Positive from Stable in June 2016; and (4) DBRS Limited upgraded our corporate rating and revolving credit facilities rating to BBB from BBB (low) and revised their outlook to Stable from Positive in March 2016.</w:t>
      </w:r>
    </w:p>
    <w:p>
      <w:pPr>
        <w:spacing w:after="0" w:line="18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ended December 31, 2016 available liquidity decreased due primarily to increased usage of secured debt facilities and increased usage of committed unsecured lines of credit primarily due to asset growth.</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GM Financial has the ability to borrow up to $1.0 billion against our three-year, $4.0 billion revolving credit facility and up to $3.0 billion against our five-year, $10.5 billion revolving credit facility. In September 2014 we and GM Financial entered into a support agreement which, among other things, established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secured or unsecured, and GM Financial repays these borrowings as appropriate under its cash management strategy. At December 31, 2016 secured, committed unsecured and uncommitted unsecured credit facilities totaled $25.8 billion, $1.4 billion and $2.4 billion with advances outstanding of $9.8 billion, $1.0 billion and $2.4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2016 vs. 2015</w:t>
            </w:r>
          </w:p>
        </w:tc>
        <w:tc>
          <w:tcPr>
            <w:tcW w:w="140" w:type="dxa"/>
            <w:vAlign w:val="bottom"/>
          </w:tcPr>
          <w:p>
            <w:pPr>
              <w:spacing w:after="0"/>
              <w:rPr>
                <w:sz w:val="16"/>
                <w:szCs w:val="16"/>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71"/>
        </w:trPr>
        <w:tc>
          <w:tcPr>
            <w:tcW w:w="5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years ended December 31, 2016 and 2015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year ended December 31, 2016 Net cash used in investing activities increased due primarily to: (1) increased purchases of leased vehicles of $4.5 billion; and (2) increased purchases and funding of finance receivables of $2.0 billion; partially offset by (3) increased proceeds from the termination of leased vehicles of $1.5 billion; (4) increased collections on finance receivables of $1.4 billion; and (5) prior year impact of cash used for the acquisition of the equity interest in SAIC-GMAC of $0.9 billion.</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year ended December 31, 2015 Net cash used in investing activities increased due primarily to: (1) increased purchases of leased vehicles of $10.4 billion; (2) increased purchases and funding of finance receivables of $1.0 billion; and (3) net cash used for the acquisition of the equity interest in SAIC-GMAC of $0.9 billion; partially offset by (4) increased proceeds from the termination of leased vehicles of $0.6 billion.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years ended December 31, 2016 and 2015 Net cash provided by financing activities increased due primarily to a net increase in borrowings.</w:t>
      </w:r>
    </w:p>
    <w:p>
      <w:pPr>
        <w:spacing w:after="0" w:line="23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We do not currently utilize off-balance sheet securitization arrangements. All trade or finance receivables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subject to securitization programs are recorded on our consolidated balance sheets at December 31, 2016 and 2015. Refer to Note 15 of our consolidated financial statements for detailed information related to guarantees we have provided and for our noncancelable operating lease obligations.</w:t>
      </w:r>
    </w:p>
    <w:p>
      <w:pPr>
        <w:spacing w:after="0" w:line="14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Contractual Obligations and Other Long-Term Liabilities </w:t>
      </w:r>
      <w:r>
        <w:rPr>
          <w:rFonts w:ascii="Arial" w:cs="Arial" w:eastAsia="Arial" w:hAnsi="Arial"/>
          <w:sz w:val="16"/>
          <w:szCs w:val="16"/>
          <w:color w:val="auto"/>
        </w:rPr>
        <w:t>We have minimum commitments under contractual obligations, including purchase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which include fixed or minimum obligations. The majority of our purchases are not included in the table as they are made under purchase orders which are requirements based and accordingly do not specify minimum quantities. The following table summarizes aggregated information about our outstanding contractual obligations and other long-term liabilities at December 31,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2018-2019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2020-2021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2022 and after</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Financing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74,370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interest payments(a)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9,473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Financing interest payments(b)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Postretirement benefits(c)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contractual commitments: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Material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Rental car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commitments(d)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37,917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Non-contractual postretirement benefits(e)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10,781</w:t>
            </w: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4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right="20" w:hanging="332"/>
        <w:spacing w:after="0" w:line="249"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capital lease obligations. Automotive interest payments based on variable interest rates were determined using the interest rate in effect at December 31, 2016.</w:t>
      </w:r>
    </w:p>
    <w:p>
      <w:pPr>
        <w:jc w:val="both"/>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December 31, 2016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OPEB payments under the current U.S. contractual labor agreements through 2019 and Canada labor agreements through 2020. These agreements are generally renegotiated in the year of expiration. Amounts do not include pension funding obligations, which are discussed in Note 14 to our consolidated financial statements.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do not include future cash payments for long-term purchase obligations and other accrued expenditures (unless specifically listed in the table above) which were recorded in Accounts payable or Accrued liabilities at December 31, 2016.</w:t>
      </w:r>
    </w:p>
    <w:p>
      <w:pPr>
        <w:jc w:val="both"/>
        <w:ind w:left="340" w:hanging="332"/>
        <w:spacing w:after="0" w:line="25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December 31, 2016 for OPEB obligations for salaried and hourly employees extending beyond the current North American union contract agreements. Amounts do not include pension funding obligations, which are discussed in Note 14 to our consolidated financial statements.</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table above does not reflect product warranty and related liabilities of $9.7 billion and unrecognized tax benefits of $1.2 billion due to the uncertainty regarding the future cash outflows potentially associated with these amounts.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Accounting estimates are an integral part of the consolidated financial statements. These estimates require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19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Pension and OPEB Plans </w:t>
      </w:r>
      <w:r>
        <w:rPr>
          <w:rFonts w:ascii="Arial" w:cs="Arial" w:eastAsia="Arial" w:hAnsi="Arial"/>
          <w:sz w:val="17"/>
          <w:szCs w:val="17"/>
          <w:color w:val="auto"/>
        </w:rPr>
        <w:t>Our defined benefit pension plans are accounted for on an actuarial basis, which requires the selection of various assumptions,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 expected long-term rate of return on plan assets, a discount rate, mortality rates of participants and expectation of mortality improvement.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2016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6.3% at December 31, 2015 to 6.2% at December 31, 2016. The expected long-term rate of return on plan assets used in determining pension expense for non-U.S. plans is determined in a similar manner to the U.S. plans.</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Another key assumption in determining net pension and OPEB expense is the assumed discount rate used to discount plan obligations. We estimate the assumed discount rate for U.S. plans using a cash flow matching approach, which uses projected cash flows matched to spot rates along a high quality corporate yield curve to determine the weighted-average discount rate for the calculation of the present value of cash flows. Effective 2016 we applied the individual annual yield curve rates instead of the assumed discount rate to determine the service cost and interest cost. This refinement more specifically links the cash flows related to service cost and interest cost to bonds maturing in their year of payment. The refinement reduced the service cost and interest cost in 2016 by $0.8 billion. There was no effect on the determination of the plan obligations which continues to be calculated using the assumed discount rate.</w:t>
      </w:r>
    </w:p>
    <w:p>
      <w:pPr>
        <w:spacing w:after="0" w:line="16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have reviewed and incorporated the mortality improvement tables published by the Society of Actuaries in the three months ended December 31, 2016 that lowered life expectancies and thereby indicated the amount of estimated aggregate benefit payments to our U.S. pension plans' participants was decreasing. This change in assumption decreased the December 31, 2016 U.S. pension and OPEB plans’ benefit obligations by $0.9 billion.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$4.8 billion and $3.7 billion at December 31, 2016 and 2015. The year-over-year change is primarily due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decrease in discount rates partially offset by assumption changes, primarily the U.S. mortality improvement scale. At December 31, 2016 $2.9 billion of the unamortized pre-tax actuarial loss is outside the corridor (10% of the projected benefit obligation (PBO)) and subject to amortization. The weighted-average amortization period is approximately twelve years resulting in amortization expense of $0.2 billion in 2017.</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underfunded status of the U.S. pension plans decreased by $3.2 billion in the year ended December 31, 2016 to $7.2 billion due primarily to: (1) a favorable effect of actual returns on plan assets of $4.0 billion; (2) contributions of $2.1 billion; and (3) favorable assumption changes, primarily the U.S. mortality improvement scale of $0.9 billion; partially offset by (4) interest and service cost of $2.4 billion; and (5) an unfavorable effect due to a decrease in discount rates of $1.5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sensitivity to a change in certain assumptions for the pension plans, holding all other assumptions constant: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U.S. Plans(a)</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Non-U.S. Plans(a)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on 2017</w:t>
            </w: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Effect 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on 2017</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134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PBO</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Pension Expense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PBO</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discount rate</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discount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25 basis point decrease in expected rate of return on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25 basis point increase in expected rate of return on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060" w:type="dxa"/>
            <w:vAlign w:val="bottom"/>
            <w:gridSpan w:val="2"/>
          </w:tcPr>
          <w:p>
            <w:pPr>
              <w:jc w:val="right"/>
              <w:ind w:right="5070"/>
              <w:spacing w:after="0"/>
              <w:rPr>
                <w:sz w:val="20"/>
                <w:szCs w:val="20"/>
                <w:color w:val="auto"/>
              </w:rPr>
            </w:pPr>
            <w:r>
              <w:rPr>
                <w:rFonts w:ascii="Arial" w:cs="Arial" w:eastAsia="Arial" w:hAnsi="Arial"/>
                <w:sz w:val="18"/>
                <w:szCs w:val="18"/>
                <w:color w:val="auto"/>
                <w:w w:val="87"/>
              </w:rPr>
              <w:t>__________</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sensitivity does not include the effects of the individual annual yield curve rates applied for the calculation of the service cost and interest cost effective in 2016.</w:t>
      </w:r>
    </w:p>
    <w:p>
      <w:pPr>
        <w:spacing w:after="0" w:line="20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Refer to Note 14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16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Valuation of Deferred Tax Assets </w:t>
      </w:r>
      <w:r>
        <w:rPr>
          <w:rFonts w:ascii="Arial" w:cs="Arial" w:eastAsia="Arial" w:hAnsi="Arial"/>
          <w:sz w:val="16"/>
          <w:szCs w:val="16"/>
          <w:color w:val="auto"/>
        </w:rPr>
        <w:t>The ability to realize deferred tax assets depends on the ability to generate sufficient taxable income within the carryback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2016 total deferred tax assets were $40 billion and valuation allowances against those deferred tax assets were $4.6 billion. Refer to Note 16 to our consolidated financial statements for additional information on the composition of these valuation allowances.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If law is enacted that reduces the U.S. statutory tax rate, we would record a significant, one-time reduction to the net deferred tax assets and related increase to income tax expense in the period that includes the enactment date of the tax rate change.</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Valuation of GM Financial Equipment on Operating Leases Assets and Residuals </w:t>
      </w:r>
      <w:r>
        <w:rPr>
          <w:rFonts w:ascii="Arial" w:cs="Arial" w:eastAsia="Arial" w:hAnsi="Arial"/>
          <w:sz w:val="17"/>
          <w:szCs w:val="17"/>
          <w:color w:val="auto"/>
        </w:rPr>
        <w:t>GM Financial has investments in leased vehicles recorded as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leases, which relate to vehicle leases to retail customers with lease terms ranging from two to five years. At the beginning of the lease contract a determination is made of the estimated realizable value (i.e., residual value) of the vehicle at the end of the lease term, which is the critical assumption underlying the estimated carrying value of leased assets. The estimated realizable value is based on the lower of the contracted residual value or the current market estimate of residual value based on independent lease guides. Since the customer is not obligated to purchase the vehicle at the end of the contract, GM Financial is exposed to a risk of loss to the extent the value of the vehicle at the end of the lease term is below the residual value estimated at contract inception. Over the life of the lease GM Financial evaluates the adequacy of the estimate of the residual value and may make adjustments to the extent the expected value of the vehicle at lease termination changes. Adjustments could result in a change in the depreciation rate of the leased asset or if an impairment exists, an impairment charge.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vehicles included in GM Financial equipment on operating leases, net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2016</w:t>
            </w:r>
          </w:p>
        </w:tc>
        <w:tc>
          <w:tcPr>
            <w:tcW w:w="158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Trucks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121</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793</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2016 GM Financial's estimated residual value of the leased assets at the end of the lease term was $23.6 billion. The following table illustrates the effect of a 1% change in the estimated residual values at December 31, 2016, which will increase or decrease depreciation expense over the remaining term of GM Financial's operating leases, holding all other assumptions constant: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Impact to Depreciation</w:t>
            </w:r>
          </w:p>
        </w:tc>
      </w:t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Expense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52</w:t>
            </w:r>
          </w:p>
        </w:tc>
      </w:tr>
      <w:tr>
        <w:trPr>
          <w:trHeight w:val="27"/>
        </w:trPr>
        <w:tc>
          <w:tcPr>
            <w:tcW w:w="9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236</w:t>
            </w:r>
          </w:p>
        </w:tc>
      </w:tr>
      <w:tr>
        <w:trPr>
          <w:trHeight w:val="20"/>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Product Warranty and Recall Campaigns </w:t>
      </w:r>
      <w:r>
        <w:rPr>
          <w:rFonts w:ascii="Arial" w:cs="Arial" w:eastAsia="Arial" w:hAnsi="Arial"/>
          <w:sz w:val="18"/>
          <w:szCs w:val="18"/>
          <w:color w:val="auto"/>
        </w:rPr>
        <w:t>The estimates related to product warranties are established using historical information on the nature, frequency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GMNA we primarily accrue the costs for recall campaigns at the time of vehicle sale. In the other regions, there is not sufficient historical data to support the application of an actuarial-based estimation technique and the estimated costs are accrued at the time when they are probable and reasonably estimable, which typically occurs once it is determined a specific recall campaign is needed and announced.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estimates related to recall campaigns accrued at the time of vehicle sale are established by applying a frequency times severity approach that considers the number of recall events, the number of vehicles per recall event, the assumed number of vehicles that will be brought in by customers for repair (take rate) and the cost per vehicle for each recall event. These estimates consider the nature, frequency and magnitude of historical recall campaigns.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estimated amount accrued for recall campaigns at the time of vehicle sale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$0.3 billion.</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4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later of the time of sale or announcement of an incentive program to dealers. There may be numerous types of incentives available at any particular time, including a choice of incentives for a specific model. Incentive programs are generally brand specific, model specific or sales region specific and are for specified time periods, which may be extended. Significant factors used in estimating the cost of incentives include the volume of vehicles that will be affected by the incentive programs offered by product, the product mix, the rate of customer acceptance of any incentive program and the likelihood that an incentive program will be extended, all of which are estimated based on historical experience and assumptions concerning customer behavior and future market conditions. When an incentive program is announced, the number of vehicles in dealer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eligible for the incentive program is determined and a reduction of Automotive net sales and revenue is recorded in the period in which the program is announced. If the actual number of affected vehicles differs from this estimate, or if a different mix of incentives is actually paid, the reduction in Automotive net sales and revenue due to incentives could be affected. There are a multitude of inputs affecting the calculation of the estimate for sales incentives and an increase or decrease in any of these variables could have a significant effect on recorded sales incentives.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2016 Form 10-K and in reports we subsequently file and have previously filed with the SEC on Forms 10-K and 10-Q</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 (6) 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w:t>
      </w:r>
    </w:p>
    <w:p>
      <w:pPr>
        <w:spacing w:after="0" w:line="16" w:lineRule="exact"/>
        <w:rPr>
          <w:sz w:val="20"/>
          <w:szCs w:val="20"/>
          <w:color w:val="auto"/>
        </w:rPr>
      </w:pPr>
    </w:p>
    <w:p>
      <w:pPr>
        <w:jc w:val="both"/>
        <w:ind w:firstLine="8"/>
        <w:spacing w:after="0" w:line="290" w:lineRule="auto"/>
        <w:tabs>
          <w:tab w:leader="none" w:pos="3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and (20) 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w:t>
      </w:r>
    </w:p>
    <w:p>
      <w:pPr>
        <w:spacing w:after="0" w:line="164"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The overall financial risk management program is under the responsibility of the Chief Financial Officer with support from the 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181"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following analyses provide quantitative information regarding exposure to foreign currency exchange rate risk and interest rate risk. 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due primarily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significantly reduce the potential loss in value.</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Foreign Currency Exchange Rate Risk </w:t>
      </w:r>
      <w:r>
        <w:rPr>
          <w:rFonts w:ascii="Arial" w:cs="Arial" w:eastAsia="Arial" w:hAnsi="Arial"/>
          <w:sz w:val="17"/>
          <w:szCs w:val="17"/>
          <w:color w:val="auto"/>
        </w:rPr>
        <w:t>We have foreign currency exposures related to buying, selling and financing in currencies other than the functional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currencies of our operations. At December 31, 2016 our most significant foreign currency exposures were the Euro/British Pound, U.S. Dollar/Canadian Dollar, Euro/U.S. Dollar, U.S. Dollar/Mexican Peso, Euro/South Korean Won and U.S. Dollar/South Korean Won. Derivative instruments such as foreign currency forwards, swaps and options are used primarily to hedge exposures with respect to forecasted revenues, costs and commitments denominated in foreign currencies. At December 31, 2016 such contracts had remaining maturities of up to 12 months.</w:t>
      </w:r>
    </w:p>
    <w:p>
      <w:pPr>
        <w:spacing w:after="0" w:line="17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At December 31, 2016 and 2015 the net fair value liability of financial instruments with exposure to foreign currency risk was $1.0 billion and $0.8 billion. These amounts are calculated utilizing a population of foreign currency exchange derivatives, embedded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$0.2 billion and $0.3 billion at December 31, 2016 and 2015.</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amounts of automotive foreign currency translation and transaction and remeasurement losses: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90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losses recorded in Accumulated other comprehensive loss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Transaction and remeasurement losses recorded in earnings</w:t>
            </w: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345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813</w:t>
            </w: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market risk from exposure to changes in interest rates related to certain financial instruments, primarily debt,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obligations and certain marketable securities. At December 31, 2016 and 2015 we did not have any interest rate swap positions to manage interest rate exposures in our automotive operations. At December 31, 2016 and 2015 the fair value liability of debt and capital leases was $11.6 billion and $9.1 billion. The potential increase in fair value resulting from a 10% decrease in quoted interest rates would have been $0.5 billion and $0.4 billion at December 31, 2016 and 2015.</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2016 and 2015 we had marketable securities of $11.8 billion and $7.6 billion classified as available-for-sale and an insignificant amount and $0.6 billion classified as trading. The potential decrease in fair value from a 50 basis point increase in interest rates would have had an insignificant effect at December 31,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Fluctuations in market interest rates can affect GM Financial's gross interest rate spread, which is the difference between interest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finance receivables and interest paid on debt. Typically retail finance receivables purchased by GM Financial bear fixed interest rates and are funded by variable or fixed rate debt. Commercial finance receivables originated by GM Financial bear variable interest rates and are funded by variable rate debt. The variable rate debt is subject to adjustments to reflect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prevailing market interest rates. To help mitigate interest rate risk or mismatched funding, GM Financial may employ hedging strategies to lock in the interest rate spread.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Fixed interest rate receivables purchased by GM Financial may be pledged to secure borrowings under its credit facilities. Amounts borrowed under these credit facilities bear interest at variable rates that are subject to frequent adjustments to reflect prevailing market interest rates. To protect the interest rate spread within each credit facility, GM Financial is contractually required to enter into interest rate cap agreements in connection with borrowings under its credit facilities.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GM Financial's securitization transactions it can transfer fixed rate finance receivables to securitization trusts that, in turn, sell either fixed rate or floating rate securities to investors. Derivative financial instruments, such as interest rate swaps and caps, are used to manage the gross interest rate spread on the floating rate transactions.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interest rate swaps and caps in asset positions with notional amounts of $22.7 billion and $10.4 billion and in liability positions with notional amounts of $29.5 billion and $13.9 billion at December 31, 2016 and 2015. The fair value of these derivative financial instruments in asset positions was insignificant and in liability positions was $341 million and insignificant at December 31, 2016 and 2015.</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GM Financial's interest rate sensitive assets and liabilities, excluding derivatives, by year of expected maturity and the fair value of those assets and liabilities at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97"/>
        </w:trPr>
        <w:tc>
          <w:tcPr>
            <w:tcW w:w="3120" w:type="dxa"/>
            <w:vAlign w:val="bottom"/>
          </w:tcPr>
          <w:p>
            <w:pPr>
              <w:ind w:left="40"/>
              <w:spacing w:after="0"/>
              <w:rPr>
                <w:sz w:val="20"/>
                <w:szCs w:val="20"/>
                <w:color w:val="auto"/>
              </w:rPr>
            </w:pPr>
            <w:r>
              <w:rPr>
                <w:rFonts w:ascii="Arial" w:cs="Arial" w:eastAsia="Arial" w:hAnsi="Arial"/>
                <w:sz w:val="14"/>
                <w:szCs w:val="14"/>
                <w:color w:val="auto"/>
              </w:rPr>
              <w:t>Retail finance receivables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32,067</w:t>
            </w: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finance receivables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20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10,395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10,672</w:t>
            </w:r>
          </w:p>
        </w:tc>
      </w:tr>
      <w:tr>
        <w:trPr>
          <w:trHeight w:val="276"/>
        </w:trPr>
        <w:tc>
          <w:tcPr>
            <w:tcW w:w="3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Weighted-average annual percentage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122"/>
        </w:trPr>
        <w:tc>
          <w:tcPr>
            <w:tcW w:w="3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color w:val="auto"/>
              </w:rPr>
              <w:t>Secured Debt: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8,582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9,812</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Securitization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29,545</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29,182</w:t>
            </w: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facilities and other unsecured debt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120" w:type="dxa"/>
            <w:vAlign w:val="bottom"/>
          </w:tcPr>
          <w:p>
            <w:pPr>
              <w:ind w:left="340"/>
              <w:spacing w:after="0"/>
              <w:rPr>
                <w:sz w:val="20"/>
                <w:szCs w:val="20"/>
                <w:color w:val="auto"/>
              </w:rPr>
            </w:pPr>
            <w:r>
              <w:rPr>
                <w:rFonts w:ascii="Arial" w:cs="Arial" w:eastAsia="Arial" w:hAnsi="Arial"/>
                <w:sz w:val="14"/>
                <w:szCs w:val="14"/>
                <w:color w:val="auto"/>
              </w:rPr>
              <w:t>Principal amounts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6,038</w:t>
            </w:r>
          </w:p>
        </w:tc>
      </w:tr>
      <w:tr>
        <w:trPr>
          <w:trHeight w:val="276"/>
        </w:trPr>
        <w:tc>
          <w:tcPr>
            <w:tcW w:w="3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Weighted-average interest 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4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impact of GM Financial's discount rate, prepayment and credit loss assumptions is consistent with assumptions applied to interest rate sensitive assets and liabilities reported at December 31, 2015. GM Financial estimates the realization of finance receivables in future periods using discount rate, prepayment and credit loss assumptions similar to its historical experience. Credit facilities and securitization notes payable amounts have been classified based on expected payoff. Senior notes principal amounts have been classified based on maturity.</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Exchange Rate Risk </w:t>
      </w:r>
      <w:r>
        <w:rPr>
          <w:rFonts w:ascii="Arial" w:cs="Arial" w:eastAsia="Arial" w:hAnsi="Arial"/>
          <w:sz w:val="18"/>
          <w:szCs w:val="18"/>
          <w:color w:val="auto"/>
        </w:rPr>
        <w:t>GM Financial is exposed to foreign currency risk due to the translation and remeasurement of the results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operations into U.S. Dollars as part of the consolidation process. Fluctuations in foreign currency exchange rates can therefore create volatility in the results of operations and may adversely affect GM Financial's financial condition.</w:t>
      </w:r>
    </w:p>
    <w:p>
      <w:pPr>
        <w:sectPr>
          <w:pgSz w:w="11900" w:h="16838" w:orient="portrait"/>
          <w:cols w:equalWidth="0" w:num="1">
            <w:col w:w="11420"/>
          </w:cols>
          <w:pgMar w:left="240" w:top="34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 assets to minimize any impact to earnings.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had foreign currency swaps in asset positions with notional amounts of $1.6 billion and $1.5 billion and in liability positions with notional amounts of $910 million and an insignificant amount at December 31, 2016 and 2015. The fair value of these derivative financial instruments was insignificant.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foreign currency translation and transaction and remeasurement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90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losses recorded in Accumulated other comprehensive loss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Transaction and remeasurement losses recorded in earnings</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its Directors, and Stockholders:</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General Motors Company and subsidiaries (the "Company") as of December 31, 2016 and 2015, and the related Consolidated Statements of Income, Comprehensive Income, Cash Flows, and Equity for each of the three years in the period ended December 31, 2016. We also have audited the Company's internal control over financial reporting as of December 31, 2016,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92"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provides a reasonable basis for our opinions.</w:t>
      </w:r>
    </w:p>
    <w:p>
      <w:pPr>
        <w:spacing w:after="0" w:line="17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General Motors Company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the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center"/>
              <w:ind w:left="62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r>
      <w:tr>
        <w:trPr>
          <w:trHeight w:val="210"/>
        </w:trPr>
        <w:tc>
          <w:tcPr>
            <w:tcW w:w="48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156,849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145,922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151,092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9,531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4,837</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net sales and revenue</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166,380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155,929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4"/>
        </w:trPr>
        <w:tc>
          <w:tcPr>
            <w:tcW w:w="48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60"/>
        </w:trPr>
        <w:tc>
          <w:tcPr>
            <w:tcW w:w="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cost of sales</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128,321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8,792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4,039</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costs and expenses</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156,835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147,459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154,399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6"/>
                <w:szCs w:val="16"/>
                <w:color w:val="auto"/>
              </w:rPr>
              <w:t>Operating income</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9,545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6"/>
                <w:szCs w:val="16"/>
                <w:color w:val="auto"/>
              </w:rPr>
              <w:t>Interest income and other non-operating income, net (Note 18)</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Gain on extinguishment of debt (Note 13)</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6"/>
                <w:szCs w:val="16"/>
                <w:color w:val="auto"/>
              </w:rPr>
              <w:t>Equity income (Note 7)</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2,094</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11,684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 (Note 16)</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20)</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24"/>
        </w:trPr>
        <w:tc>
          <w:tcPr>
            <w:tcW w:w="4880" w:type="dxa"/>
            <w:vAlign w:val="bottom"/>
            <w:gridSpan w:val="2"/>
          </w:tcPr>
          <w:p>
            <w:pPr>
              <w:ind w:left="40"/>
              <w:spacing w:after="0"/>
              <w:rPr>
                <w:sz w:val="20"/>
                <w:szCs w:val="20"/>
                <w:color w:val="auto"/>
              </w:rPr>
            </w:pPr>
            <w:r>
              <w:rPr>
                <w:rFonts w:ascii="Arial" w:cs="Arial" w:eastAsia="Arial" w:hAnsi="Arial"/>
                <w:sz w:val="16"/>
                <w:szCs w:val="16"/>
                <w:b w:val="1"/>
                <w:bCs w:val="1"/>
                <w:color w:val="auto"/>
              </w:rPr>
              <w:t>Basic</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2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Diluted</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8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9"/>
        </w:trPr>
        <w:tc>
          <w:tcPr>
            <w:tcW w:w="40" w:type="dxa"/>
            <w:vAlign w:val="bottom"/>
          </w:tcPr>
          <w:p>
            <w:pPr>
              <w:spacing w:after="0"/>
              <w:rPr>
                <w:sz w:val="24"/>
                <w:szCs w:val="24"/>
                <w:color w:val="auto"/>
              </w:rPr>
            </w:pPr>
          </w:p>
        </w:tc>
        <w:tc>
          <w:tcPr>
            <w:tcW w:w="8780" w:type="dxa"/>
            <w:vAlign w:val="bottom"/>
            <w:gridSpan w:val="7"/>
          </w:tcPr>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840" w:type="dxa"/>
            <w:vAlign w:val="bottom"/>
            <w:gridSpan w:val="3"/>
          </w:tcPr>
          <w:p>
            <w:pPr>
              <w:jc w:val="right"/>
              <w:ind w:right="15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58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84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4,018</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19)</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adjustments and other</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6"/>
                <w:szCs w:val="16"/>
                <w:color w:val="auto"/>
              </w:rPr>
              <w:t>Defined benefit plans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(4,505)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20" w:type="dxa"/>
            <w:vAlign w:val="bottom"/>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9,671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Comprehensive (income) loss attributable to noncontrolling interests</w:t>
            </w:r>
          </w:p>
        </w:tc>
        <w:tc>
          <w:tcPr>
            <w:tcW w:w="2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54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9,724</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20955</wp:posOffset>
            </wp:positionV>
            <wp:extent cx="25215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1585" cy="26035"/>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11420"/>
          </w:cols>
          <w:pgMar w:left="240" w:top="34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4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8120" w:type="dxa"/>
            <w:vAlign w:val="bottom"/>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3)</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11,841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8,163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 of allowance of $303 and $327)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22,065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18,051</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5)</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6)</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2,783</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3; Note 11 at VIEs)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3,072</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76,203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69,408</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20,724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18,500</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7)</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net (Note 8)</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31,229</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 (Note 10)</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(Note 6;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20,172</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(Note 16)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 (Note 3; Note 11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3,021</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124,930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221,690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194,338</w:t>
            </w:r>
          </w:p>
        </w:tc>
      </w:tr>
      <w:tr>
        <w:trPr>
          <w:trHeight w:val="73"/>
        </w:trPr>
        <w:tc>
          <w:tcPr>
            <w:tcW w:w="8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487" w:gutter="0" w:footer="0" w:header="0"/>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11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14)</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19)</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26,961</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24,062</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27,861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18,745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29,192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27,593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85,181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71,217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7,948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46,015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35,601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17,951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20,911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13,080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12,653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92,434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82,798</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177,615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154,015</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26,983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27,607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26,168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20,285</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(9,330)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(8,036)</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43,836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39,871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452</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487"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44,075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40,323</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221,690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ectPr>
          <w:pgSz w:w="11900" w:h="16838" w:orient="portrait"/>
          <w:cols w:equalWidth="0" w:num="1">
            <w:col w:w="11420"/>
          </w:cols>
          <w:pgMar w:left="240" w:top="341" w:right="239" w:bottom="487"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41" w:right="239" w:bottom="487"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amortization and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remeasurement and transaction losses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Undistributed earnings of nonconsolidated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contributions and OPEB payments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and OPEB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Gains on extinguishment of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Provision (benefit) for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other operating assets and liabilities (Note 24)</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Expenditures for property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liquidations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companies/investments,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finance receivables,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Principal collections and recoveries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leased vehicles,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termination of leased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 (original maturities greater than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to purchase stock</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 (including charge related to redemption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activities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Significant Non-cash Investing and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property additions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business acquisition (Note 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52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9,268</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9,615</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4,018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7,238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439</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10,061</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(9,542)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(7,874)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(7,091)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(15,182)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(7,636)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(1,518)</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10,871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8,463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6,874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1,881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(17,869)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(14,744)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13,172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10,860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(19,624)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(4,776)</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(15,359)</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45,141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35,679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31,373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(19,524)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(3,165)</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5,675</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17,332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22,042</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15,160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21,189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4,765</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4,676</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3,313</w:t>
            </w:r>
          </w:p>
        </w:tc>
      </w:tr>
    </w:tbl>
    <w:p>
      <w:pPr>
        <w:spacing w:after="0" w:line="88" w:lineRule="exact"/>
        <w:rPr>
          <w:sz w:val="20"/>
          <w:szCs w:val="20"/>
          <w:color w:val="auto"/>
        </w:rPr>
      </w:pPr>
    </w:p>
    <w:p>
      <w:pPr>
        <w:ind w:left="940" w:hanging="917"/>
        <w:spacing w:after="0"/>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290</w:t>
      </w:r>
    </w:p>
    <w:p>
      <w:pPr>
        <w:spacing w:after="0" w:line="200" w:lineRule="exact"/>
        <w:rPr>
          <w:sz w:val="20"/>
          <w:szCs w:val="20"/>
          <w:color w:val="auto"/>
        </w:rPr>
      </w:pPr>
    </w:p>
    <w:p>
      <w:pPr>
        <w:sectPr>
          <w:pgSz w:w="11900" w:h="16838" w:orient="portrait"/>
          <w:cols w:equalWidth="0" w:num="2">
            <w:col w:w="6720" w:space="720"/>
            <w:col w:w="3980"/>
          </w:cols>
          <w:pgMar w:left="240" w:top="341" w:right="23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should be made to the notes to consolidated financial statements.</w:t>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41"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9"/>
              <w:spacing w:after="0"/>
              <w:rPr>
                <w:sz w:val="20"/>
                <w:szCs w:val="20"/>
                <w:color w:val="auto"/>
              </w:rPr>
            </w:pPr>
            <w:r>
              <w:rPr>
                <w:rFonts w:ascii="Arial" w:cs="Arial" w:eastAsia="Arial" w:hAnsi="Arial"/>
                <w:sz w:val="13"/>
                <w:szCs w:val="13"/>
                <w:b w:val="1"/>
                <w:bCs w:val="1"/>
                <w:color w:val="auto"/>
                <w:w w:val="86"/>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4"/>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Series A</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5"/>
        </w:trPr>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4"/>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57"/>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3,109</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28,780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13,816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43,174</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4,018</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Redemption and cancellation of Series A Preferred Stock</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(3,109)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(3,109)</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Exercise of common stock warrants</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r>
      <w:tr>
        <w:trPr>
          <w:trHeight w:val="157"/>
        </w:trPr>
        <w:tc>
          <w:tcPr>
            <w:tcW w:w="4460" w:type="dxa"/>
            <w:vAlign w:val="bottom"/>
          </w:tcPr>
          <w:p>
            <w:pPr>
              <w:ind w:left="40"/>
              <w:spacing w:after="0" w:line="157" w:lineRule="exact"/>
              <w:rPr>
                <w:sz w:val="20"/>
                <w:szCs w:val="20"/>
                <w:color w:val="auto"/>
              </w:rPr>
            </w:pPr>
            <w:r>
              <w:rPr>
                <w:rFonts w:ascii="Arial" w:cs="Arial" w:eastAsia="Arial" w:hAnsi="Arial"/>
                <w:sz w:val="14"/>
                <w:szCs w:val="14"/>
                <w:color w:val="auto"/>
              </w:rPr>
              <w:t>Cash dividends paid on Series A Preferred Stock and charge related to</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8"/>
        </w:trPr>
        <w:tc>
          <w:tcPr>
            <w:tcW w:w="4460" w:type="dxa"/>
            <w:vAlign w:val="bottom"/>
          </w:tcPr>
          <w:p>
            <w:pPr>
              <w:ind w:left="200"/>
              <w:spacing w:after="0"/>
              <w:rPr>
                <w:sz w:val="20"/>
                <w:szCs w:val="20"/>
                <w:color w:val="auto"/>
              </w:rPr>
            </w:pPr>
            <w:r>
              <w:rPr>
                <w:rFonts w:ascii="Arial" w:cs="Arial" w:eastAsia="Arial" w:hAnsi="Arial"/>
                <w:sz w:val="14"/>
                <w:szCs w:val="14"/>
                <w:color w:val="auto"/>
              </w:rPr>
              <w:t>redemption of Series A Preferred Stock</w:t>
            </w:r>
          </w:p>
        </w:tc>
        <w:tc>
          <w:tcPr>
            <w:tcW w:w="14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common stock</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83"/>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28,937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14,577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36,024</w:t>
            </w:r>
          </w:p>
        </w:tc>
      </w:tr>
      <w:tr>
        <w:trPr>
          <w:trHeight w:val="251"/>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9,687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9,615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Exercise of common stock warrants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(2,174)</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56"/>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27,607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20,285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40,323</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9,427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9,268</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290</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common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Exercise of common stock warrants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Cash dividends paid on common stock</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(2,337)</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44,075</w:t>
            </w: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General Motors Company was incorporated as a Delaware corporation in 2009. We design, build and sell cars, trucks, crossovers and automobile parts worldwide. We also provide automotive financing services through GM Financial. We analyze the results of our business through the following segments: GMNA, GME, GMIO, GMSA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consolidated financial statements are prepared in conformity with U.S. GAAP. All intercompany balances 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eliminated in consolidation. Except for per share amounts or as otherwise specified, amounts presented within tables are stated in millions.</w:t>
      </w:r>
    </w:p>
    <w:p>
      <w:pPr>
        <w:spacing w:after="0" w:line="12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We use the cost method of accounting if we are not able to exercise significant influence over the operating and financial decisions of the affiliate.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Use of Estimates in the Preparation of the Financial Statements </w:t>
      </w:r>
      <w:r>
        <w:rPr>
          <w:rFonts w:ascii="Arial" w:cs="Arial" w:eastAsia="Arial" w:hAnsi="Arial"/>
          <w:sz w:val="17"/>
          <w:szCs w:val="17"/>
          <w:color w:val="auto"/>
        </w:rPr>
        <w:t>Accounting estimates are an integral part of the consolidated financial statements. These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include the effect of our tax attributes on GM Financial's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and provision for income taxes,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accounting policies which follow are utilized by our automotive and automotive financing operations,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Automotive net sales and revenue primarily consist of revenue generated from the sale of vehicles. Vehicle sales are recorded when title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risks and rewards of ownership have passed to our customers. For the majority of our automotive sales this occurs when a vehicle is released to the carrier responsible for transporting it to a dealer and when collectability is reasonably assured. Vehicle sales are recorded when the vehicle is delivered to the dealer in most remaining cases. Provisions for recurring or announced dealer and customer sales and leasing incentives, consisting of allowances and rebates, are recorded as reductions to Automotive net sales and revenue at the time of vehicle sale. All other incentives, allowances and rebates related to vehicles previously sold are recorded as reductions to Automotive net sales and revenue when announced. Taxes assessed by various government entities, such as sales, use and value-added taxes, collected at the time of sale are excluded from Automotive net sales and revenue.</w:t>
      </w:r>
    </w:p>
    <w:p>
      <w:pPr>
        <w:spacing w:after="0" w:line="16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Vehicle sales to daily rental car companies with guaranteed repurchase obligations are accounted for as operating leases. Estimated lease revenue is recorded ratably over the estimated term of the lease based on the difference between net sales proceeds and the guaranteed repurchase amount. The difference between the cost of the vehicle and estimated residual value is depreciated on a straight-line basis over the estimated term of the lease.</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Finance charge income earned on receivables is recognized using the effective interest method.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(including incentive payments) received and direct costs of originating loans are deferred and amortized over the term of the related finance receivables using the effective interest method and are removed from the consolidated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Advertising and Promotion Expenditures </w:t>
      </w:r>
      <w:r>
        <w:rPr>
          <w:rFonts w:ascii="Arial" w:cs="Arial" w:eastAsia="Arial" w:hAnsi="Arial"/>
          <w:sz w:val="18"/>
          <w:szCs w:val="18"/>
          <w:color w:val="auto"/>
        </w:rPr>
        <w:t>Advertising and promotion expenditures, which are expensed as incurred in Automotive selling,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 were $5.3 billion, $5.1 billion and $5.2 billion in the years ended December 31, 2016, 2015 and 2014.</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Research and Development Expenditures </w:t>
      </w:r>
      <w:r>
        <w:rPr>
          <w:rFonts w:ascii="Arial" w:cs="Arial" w:eastAsia="Arial" w:hAnsi="Arial"/>
          <w:sz w:val="18"/>
          <w:szCs w:val="18"/>
          <w:color w:val="auto"/>
        </w:rPr>
        <w:t>Research and development expenditures, which are expensed as incurred in Automotive cost of sales, were $8.1</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$7.5 billion and $7.4 billion in the years ended December 31, 2016, 2015 and 2014.</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Cash Equivalents and Restricted Cash </w:t>
      </w:r>
      <w:r>
        <w:rPr>
          <w:rFonts w:ascii="Arial" w:cs="Arial" w:eastAsia="Arial" w:hAnsi="Arial"/>
          <w:sz w:val="18"/>
          <w:szCs w:val="18"/>
          <w:color w:val="auto"/>
        </w:rPr>
        <w:t>Cash equivalents are defined as short-term, highly-liquid investments with original maturities of 90 days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cash equivalents subject to contractual restrictions and not readily available are classified as restricted cash. We are required to post cash as collateral as part of certain agreements that we enter into as part of our operations.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A three-level valuation hierarchy, based upon observable and unobservable inputs, is used for fair value measurements.</w:t>
      </w:r>
      <w:r>
        <w:rPr>
          <w:rFonts w:ascii="Arial" w:cs="Arial" w:eastAsia="Arial" w:hAnsi="Arial"/>
          <w:sz w:val="17"/>
          <w:szCs w:val="17"/>
          <w:b w:val="1"/>
          <w:bCs w:val="1"/>
          <w:color w:val="auto"/>
        </w:rPr>
        <w:t xml:space="preserve"> </w:t>
      </w:r>
      <w:r>
        <w:rPr>
          <w:rFonts w:ascii="Arial" w:cs="Arial" w:eastAsia="Arial" w:hAnsi="Arial"/>
          <w:sz w:val="17"/>
          <w:szCs w:val="17"/>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 Financial instruments are transferred in and/or out of Level 1, 2 or 3 at the beginning of the accounting period in which there is a change in the valuation inputs.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We classify marketable securities as available-for-sale or trading. Various factors, including turnover of holdings and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are considered in determining the classification of securities. Available-for-sale securities are recorded at fair value with unrealized gains and losses recorded net of related income taxes in Accumulated other comprehensive loss until realized. Trading securities are recorded at fair value with changes in fair value recorded in Interest income and other non-operating income, net. We determine realized gains and losses for all securities using the specific identification method.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securities are other-than-temporary. Factors considered include the length of time and extent to which the fair value has been below cost, the financial condition and near-term prospects of the issuer and the intent to sell or likelihood to be forced to sell the security before any anticipated recovery.</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GM Financial Receivables </w:t>
      </w:r>
      <w:r>
        <w:rPr>
          <w:rFonts w:ascii="Arial" w:cs="Arial" w:eastAsia="Arial" w:hAnsi="Arial"/>
          <w:sz w:val="18"/>
          <w:szCs w:val="18"/>
          <w:color w:val="auto"/>
        </w:rPr>
        <w:t>Finance receivables are carried at amortized cost, net of allowance for loan losses. The component of the allowance for retail</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receivables that is collectively evaluated for impairment is based on a statistical calculation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which is supplemented by management judgment. GM Financial uses a combination of forecasting models to determine the allowance for loan losses. Factors that are considered when estimating the allowance include historical delinquency migration to loss, probability of default and loss given default. The loss confirmation period is a key assumption within the models and represents the average amount of time from when a loss event first occurs to when the receivable is charged off. GM Financial also considers an evaluation of overall portfolio credit quality based on various indicators.</w:t>
      </w:r>
    </w:p>
    <w:p>
      <w:pPr>
        <w:spacing w:after="0" w:line="17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finance receivables that become classified as troubled debt restructurings (TDRs) are separately assessed for impairment. A specific allowance is estimated based on the present value of the expected future cash flows of the receivable discounted at the loan's original effective interest rate.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finance receivables are generally charged off in the month in which the account becomes 120 days contractually delinquent if GM Financial has not yet recorded a repossession charge-off. A charge-off generally represents the difference between the estimated net sales proceeds and the amount of the contract, including accrued interest.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net realizable value. Net realizable value is the estimated selling price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less cost to sell, and considers general market and economic conditions, periodic reviews of current profitability of vehicles, product warranty costs and the effect of current and expected incentive offers at the balance sheet date. Net realizable value for off-lease and other vehicles is current auction sales proceeds less disposal and warranty costs. Productive material, work in process, supplies and service parts are reviewed to determine if inventory quantities are in excess of forecasted usage or if they have become obsolete.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on Operating Leases </w:t>
      </w:r>
      <w:r>
        <w:rPr>
          <w:rFonts w:ascii="Arial" w:cs="Arial" w:eastAsia="Arial" w:hAnsi="Arial"/>
          <w:sz w:val="18"/>
          <w:szCs w:val="18"/>
          <w:color w:val="auto"/>
        </w:rPr>
        <w:t>Equipment on operating leases, net is reported at cost, less accumulated depreciation and impairment, net of origination</w:t>
      </w:r>
      <w:r>
        <w:rPr>
          <w:rFonts w:ascii="Arial" w:cs="Arial" w:eastAsia="Arial" w:hAnsi="Arial"/>
          <w:sz w:val="18"/>
          <w:szCs w:val="18"/>
          <w:b w:val="1"/>
          <w:bCs w:val="1"/>
          <w:color w:val="auto"/>
        </w:rPr>
        <w:t xml:space="preserve"> </w:t>
      </w:r>
      <w:r>
        <w:rPr>
          <w:rFonts w:ascii="Arial" w:cs="Arial" w:eastAsia="Arial" w:hAnsi="Arial"/>
          <w:sz w:val="18"/>
          <w:szCs w:val="18"/>
          <w:color w:val="auto"/>
        </w:rPr>
        <w:t>fees or costs and lease incentives. Estimated income from operating lease assets, which includes lease origination fees, net of lease origination costs, is recorded as operating lease revenue on a straight-line basis over the term of the lease agreement. Leased vehicles are depreciated on a straight-line basis to an estimated residual value over the term of the lease agreements.</w:t>
      </w:r>
    </w:p>
    <w:p>
      <w:pPr>
        <w:spacing w:after="0" w:line="184"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have significant investments in vehicle operating lease portfolios, which consist of vehicle leases to retail customers with lease terms of two to five years and vehicles leased to rental car companies with lease terms that average eight months. We are exposed to changes in the residual values of these assets. For impairment purposes the residual values represent estimates of the values of the vehicles leased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adequacy of the estimate of the residual value is evaluated over the life of the lease and adjustments may be made to the extent the expected value of the vehicle at lease termination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the vehicles leased. If the carrying amount is considered impaired an impairment charge is recorded for the amount by which the carrying amount exceeds fair value. Fair value is determined primarily using the anticipated cash flows, including estimated residual values.</w:t>
      </w:r>
    </w:p>
    <w:p>
      <w:pPr>
        <w:spacing w:after="0" w:line="17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In our automotive operations when a leased vehicle is returned the asset is reclassified from Equipment on operating leases, net to Inventories at the lower of cost or estimated selling price, less cost to sell. Upon disposition, proceeds are recorded in Automotive net sales and revenue and costs are recorded in Automotive cost of sales. In our automotive finance operations when a leased vehicle is returned or repossessed the asset is recorded in Other assets at the lower of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and impairment charges related to Equipment on operating leases, net are recorded in Automotive cost of sales or GM Financial interest, operating and other expenses.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Valuation of Cost and Equity Method Investments </w:t>
      </w:r>
      <w:r>
        <w:rPr>
          <w:rFonts w:ascii="Arial" w:cs="Arial" w:eastAsia="Arial" w:hAnsi="Arial"/>
          <w:sz w:val="18"/>
          <w:szCs w:val="18"/>
          <w:color w:val="auto"/>
        </w:rPr>
        <w:t>When events and circumstances warrant, investments accounted for under the cost or equity method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are evaluated for impairment. An impairment charge is recorded whenever a decline in value of an investment below its carrying amount is determined to be other-than-temporary. Impairment charges related to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method investments are recorded in Equity income. Impairment charges related to cost method investments are recorded in Interest income and other non-operating income, net.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Property, net </w:t>
      </w:r>
      <w:r>
        <w:rPr>
          <w:rFonts w:ascii="Arial" w:cs="Arial" w:eastAsia="Arial" w:hAnsi="Arial"/>
          <w:sz w:val="17"/>
          <w:szCs w:val="17"/>
          <w:color w:val="auto"/>
        </w:rPr>
        <w:t>Property, plant and equipment, including internal use software, is recorded at cost. Major improvements that extend the useful life or add</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functionality are capitalized. The gross amount of assets under capital leases is included in property, plant and equipment. Expenditures for repairs and maintenance are charged to expense as incurred. We depreciate all depreciable property using the straight-line method. Leasehold improvements are amortized over the period of lease or the life of the asset, whichever is shorter. The amortization of the assets under capital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cost of sales, Automotive selling, general and administrative expense or GM Financial interest, operating and other expenses.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Special Tools </w:t>
      </w:r>
      <w:r>
        <w:rPr>
          <w:rFonts w:ascii="Arial" w:cs="Arial" w:eastAsia="Arial" w:hAnsi="Arial"/>
          <w:sz w:val="18"/>
          <w:szCs w:val="18"/>
          <w:color w:val="auto"/>
        </w:rPr>
        <w:t>Special tools represent product-specific powertrain and non-powertrain related tools, dies, molds and other items used in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cost of sales.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is tested for impairment annually on October 1 or when events occur or circumstances change that would trigger such a review. A two-step impairment test is used to identify potential goodwill impairment. Impairment exists when the carrying amount of goodwill exceeds its implied fair value. When performing our goodwill impairment testing, the fair values of our reporting units are determined based on valuation techniques using the best available information, primarily discounted cash flow projections. Because the fair value of goodwill can be measured only as a residual amount and cannot be determined directly we calculate the implied goodwill for those reporting units failing Step 1 in the same manner that goodwill is recognized in a business combination pursuant to Accounting Standards Codification (ASC) 805.</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Intangible Assets, net </w:t>
      </w:r>
      <w:r>
        <w:rPr>
          <w:rFonts w:ascii="Arial" w:cs="Arial" w:eastAsia="Arial" w:hAnsi="Arial"/>
          <w:sz w:val="16"/>
          <w:szCs w:val="16"/>
          <w:color w:val="auto"/>
        </w:rPr>
        <w:t>Intangible assets, excluding goodwill, primarily include brand names, technology and intellectual property, customer relationships and</w:t>
      </w:r>
      <w:r>
        <w:rPr>
          <w:rFonts w:ascii="Arial" w:cs="Arial" w:eastAsia="Arial" w:hAnsi="Arial"/>
          <w:sz w:val="16"/>
          <w:szCs w:val="16"/>
          <w:b w:val="1"/>
          <w:bCs w:val="1"/>
          <w:color w:val="auto"/>
        </w:rPr>
        <w:t xml:space="preserve"> </w:t>
      </w:r>
      <w:r>
        <w:rPr>
          <w:rFonts w:ascii="Arial" w:cs="Arial" w:eastAsia="Arial" w:hAnsi="Arial"/>
          <w:sz w:val="16"/>
          <w:szCs w:val="16"/>
          <w:color w:val="auto"/>
        </w:rPr>
        <w:t>dealer networks. Intangible assets are amortized on a straight-line or an accelerated method of amortization over their estimated useful lives. An accelerated amortization method reflecting the pattern in which the asset will be consumed is utilized if that pattern can be reliably determined. We consider the period of expected cash flows and underlying data used to measure the fair value of the intangible assets when selecting a useful life. Impairment charges related to intangible assets are recorded in Automotive selling, general and administrative expense or Automotive cost of sales. Amortization of developed technology and intellectual property is recorded in Automotive cost of sales. Amortization of brand names, customer relationships and our dealer networks is recorded in Automotive selling, general and administrative expense or GM Financial interest, operating and other expenses.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Valuation of Long-Lived Assets </w:t>
      </w:r>
      <w:r>
        <w:rPr>
          <w:rFonts w:ascii="Arial" w:cs="Arial" w:eastAsia="Arial" w:hAnsi="Arial"/>
          <w:sz w:val="18"/>
          <w:szCs w:val="18"/>
          <w:color w:val="auto"/>
        </w:rPr>
        <w:t>The carrying amount of long-lived assets and finite-lived intangible assets to be held and used in the business are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Plans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Attribution, Methods and Assumptions </w:t>
      </w:r>
      <w:r>
        <w:rPr>
          <w:rFonts w:ascii="Arial" w:cs="Arial" w:eastAsia="Arial" w:hAnsi="Arial"/>
          <w:sz w:val="18"/>
          <w:szCs w:val="18"/>
          <w:color w:val="auto"/>
        </w:rPr>
        <w:t>The cost of benefits provided by defined benefit pension plans is recorded in the period employees provide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discount rate assumption is established for each of the retirement-related benefit plans at their respective measurement dates. In the U.S. we use a cash flow matching approach that uses projected cash flows matched to spot rates along a high quality corporate bond yield curve to determine the present value of cash flows to calculate a single equivalent discount rate. Effective 2016 we applied the individual annual yield curve rates instead of the single equivalent discount rate to determine the service cost and interest cost for our pension and OPEB plans. This refinement more specifically links the cash flows related to service cost and interest cost to bonds maturing in their year of payment.</w:t>
      </w:r>
    </w:p>
    <w:p>
      <w:pPr>
        <w:spacing w:after="0" w:line="188"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benefit obligation for pension plans in Canada, the U.K. and Germany represents 91% of the non-U.S. pension benefit obligation at December 31, 2016. The discount rates for plans in Canada, the U.K. and Germany are determined using a cash flow matching approach similar to the U.S. approach.</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Plan Asset Valuation </w:t>
      </w:r>
      <w:r>
        <w:rPr>
          <w:rFonts w:ascii="Arial" w:cs="Arial" w:eastAsia="Arial" w:hAnsi="Arial"/>
          <w:sz w:val="18"/>
          <w:szCs w:val="18"/>
          <w:color w:val="auto"/>
        </w:rPr>
        <w:t>Due to the lack of timely available market information for certain investments in the asset classes described below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inherent uncertainty of valuation, reported fair values may differ from fair values that would have been used had timely available market information been available.</w:t>
      </w:r>
    </w:p>
    <w:p>
      <w:pPr>
        <w:spacing w:after="0" w:line="18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i w:val="1"/>
          <w:iCs w:val="1"/>
          <w:color w:val="auto"/>
        </w:rPr>
        <w:t xml:space="preserve">Common and Preferred Stock </w:t>
      </w:r>
      <w:r>
        <w:rPr>
          <w:rFonts w:ascii="Arial" w:cs="Arial" w:eastAsia="Arial" w:hAnsi="Arial"/>
          <w:sz w:val="16"/>
          <w:szCs w:val="16"/>
          <w:color w:val="auto"/>
        </w:rPr>
        <w:t>Common and preferred stock for which market prices are readily available at the measurement date are valued at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among others,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among others, aged (stale) pricing, earnings multiples, discounted cash flows and/or other qualitative and quantitative factors.</w:t>
      </w:r>
    </w:p>
    <w:p>
      <w:pPr>
        <w:spacing w:after="0" w:line="16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Valuations for debt securities are based on quotations received from independent pricing services or from dealers who make markets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Investment Funds, Private Equity and Debt Investments and Real Estate Investments </w:t>
      </w:r>
      <w:r>
        <w:rPr>
          <w:rFonts w:ascii="Arial" w:cs="Arial" w:eastAsia="Arial" w:hAnsi="Arial"/>
          <w:sz w:val="18"/>
          <w:szCs w:val="18"/>
          <w:color w:val="auto"/>
        </w:rPr>
        <w:t>Investment funds, private equity and debt investments and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valued based on the Net Asset Value (NAV) per Share (or its equivalent) as a practical expedient to estimate fair value due to the absence of readily available market prices.</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Stock Incentive Plans </w:t>
      </w:r>
      <w:r>
        <w:rPr>
          <w:rFonts w:ascii="Arial" w:cs="Arial" w:eastAsia="Arial" w:hAnsi="Arial"/>
          <w:sz w:val="16"/>
          <w:szCs w:val="16"/>
          <w:color w:val="auto"/>
        </w:rPr>
        <w:t>Our stock incentive plans include RSUs, RSAs, Performance Share Units (PSUs) and stock options. We measure and record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based on the fair value of our common stock on the date of grant for RSUs, RSAs and PSUs and the grant date fair value of stock options determined utilizing a lattice model or the Black-Scholes-Merton formula. Compensation cost for awards that do not have an established accounting grant date is based on the fair value of our common stock at the end of each reporting period. We record compensation cost for RSUs, RSAs and PSUs on a straight-line basis over the entire vesting period, or for retirement eligible employees over the requisite service period. We use the graded vesting method to record compensation cost for stock options over the lesser of the vesting period or the time period an employee becomes eligible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to retain the award at retirement. The liability for stock incentive plan awards settled in cash is remeasured to fair value at the end of each reporting period.</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Product Warranty and Recall Campaigns </w:t>
      </w:r>
      <w:r>
        <w:rPr>
          <w:rFonts w:ascii="Arial" w:cs="Arial" w:eastAsia="Arial" w:hAnsi="Arial"/>
          <w:sz w:val="18"/>
          <w:szCs w:val="18"/>
          <w:color w:val="auto"/>
        </w:rPr>
        <w:t>The estimated costs related to product warranties are accrued at the time products are sold and are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184"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estimated costs related to recall campaigns are generally accrued at the time of vehicle sale in GMNA by applying a frequency times severity approach that considers the number of historical recall campaigns, the number of vehicles per recall campaign, the estimated number of vehicles to be repaired and the cost per vehicle for each recall campaign. The estimated costs associated with recall campaigns in other geographical regions are accrued when probable and estimable using the estimated costs of repairs and the estimated number of vehicles to be repaired. Costs associated with recall campaigns are charged to Automotive cost of sales. Revisions are made when necessary based on changes in these factors.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liability method is used in accounting for income taxes. Deferred tax assets and liabilities are recorded for temporary differences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recorded in the results of operations in the period that includes the enactment date under the law.</w:t>
      </w:r>
    </w:p>
    <w:p>
      <w:pPr>
        <w:spacing w:after="0" w:line="18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Deferred income tax assets are evaluated quarterly to determine if valuation allowances are required or should be adjusted. We establish valuation allowances for deferred tax assets based on a more likely than not standard.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Income tax expense (benefit) for the year is allocated between continuing operations and other categories of income such as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recognition, we recognize the largest amount of tax benefit that is greater than 50% likely to be realized upon ultimate settlement with the related tax authority. We record interest and penalties on uncertain tax positions in Income tax expense (benefit).</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Foreign Currency Transactions and Translation </w:t>
      </w:r>
      <w:r>
        <w:rPr>
          <w:rFonts w:ascii="Arial" w:cs="Arial" w:eastAsia="Arial" w:hAnsi="Arial"/>
          <w:sz w:val="18"/>
          <w:szCs w:val="18"/>
          <w:color w:val="auto"/>
        </w:rPr>
        <w:t>The assets and liabilities of foreign subsidiaries that use the local currency as their functional currency are</w:t>
      </w:r>
      <w:r>
        <w:rPr>
          <w:rFonts w:ascii="Arial" w:cs="Arial" w:eastAsia="Arial" w:hAnsi="Arial"/>
          <w:sz w:val="18"/>
          <w:szCs w:val="18"/>
          <w:b w:val="1"/>
          <w:bCs w:val="1"/>
          <w:color w:val="auto"/>
        </w:rPr>
        <w:t xml:space="preserve"> </w:t>
      </w:r>
      <w:r>
        <w:rPr>
          <w:rFonts w:ascii="Arial" w:cs="Arial" w:eastAsia="Arial" w:hAnsi="Arial"/>
          <w:sz w:val="18"/>
          <w:szCs w:val="18"/>
          <w:color w:val="auto"/>
        </w:rPr>
        <w:t>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Gains and losses arising from foreign currency transactions and the effects of remeasurements discussed in the preceding paragraph are recorded in Automotive cost of sales and GM Financial interest, operating and other expenses unless related to Automotive debt, which are recorded in Interest income and other non-operating income, net. Foreign currency transaction and remeasurement losses were $358 million, $829 million and $437 million in the years ended December 31, 2016, 2015 and 2014.</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Derivative financial instruments are recognized as either assets or liabilities at fair value. The accounting for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each derivative financial instrument depends on whether it has been designated and qualifies as an accounting hedge, as well as the type of hedging relationship identified. Derivative instruments are not used for trading or speculative purposes.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Automotive </w:t>
      </w:r>
      <w:r>
        <w:rPr>
          <w:rFonts w:ascii="Arial" w:cs="Arial" w:eastAsia="Arial" w:hAnsi="Arial"/>
          <w:sz w:val="17"/>
          <w:szCs w:val="17"/>
          <w:color w:val="auto"/>
        </w:rPr>
        <w:t>We utilize options, swaps and forward contracts to manage foreign currency and commodity price risks. The change in fair value of option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 contracts not designated as hedges is recorded in Interest income and other non-operating income, net. Cash flows for all derivative financial instruments are classified in cash flows from operating activities. At December 31, 2016 and 2015 we had derivative instruments not designated as hedges in asset positions with notional amounts of $5.7 billion and $6.8 billion and in liability positions with notional amounts of $651 million and $264 million. The fair value of these derivative instruments was insignificant at December 31, 2016 and 2015.</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Certain foreign currency and commodity forward contracts have been designated as cash flow hedges. The risk being hedged is the foreign currency and commodity price risk related to forecasted transactions. If the contract has been designated as a cash flow hedge, the effective portion of changes in the fair value of the cash flow hedge is deferred in Accumulated other comprehensive loss and is recognized in Automotive cost of sales when the hedged item affects earnings. Any ineffective portion is recorded in Automotive cost of sales in the period of remeasurement. At December 31, 2016 the notional amount of these derivative instruments in asset positions was $909 million and was insignificant at December 31, 2015. The fair value of these derivative instruments was insignificant at December 31, 2016 and 2015.</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GM Financial utilizes interest rate option and swap agreements to manage interest rate risk and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agreements to manage foreign currency risk. The change in fair value of the option and swap agreements not designated as hedges is recorded in GM Financial interest, operating and other expenses. Cash flows for all derivative financial instruments are classified in cash flows from operating activities. At December 31, 2016 and 2015 GM Financial had derivative instruments not designated as hedges in asset positions with notional amounts of $20.7 billion and $11.9 billion and liability positions with notional amounts of $20.6 billion and $13.9 billion. The fair value of these derivatives was insignificant at December 31, 2016 and 2015.</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Certain interest rate swap agreements have been designated as fair value hedges of fixed-rate debt. At December 31, 2016 and 2015 the notional amounts of these instruments in liability positions were $7.7 billion and $1.0 billion. The fair value of these derivative instruments in liability positions was $276 million at December 31, 2016 and was insignificant at December 31, 2015. The risk being hedged is the risk of changes in the fair value of the hedged debt attributable to changes in the benchmark interest rate. If the swap has been designated as a fair value hedge, the changes in the fair value of the hedged debt are recorded in Interest expense. The change in fair value of the related derivative (excluding accrued interest) is also recorded in Interest expense.</w:t>
      </w:r>
    </w:p>
    <w:p>
      <w:pPr>
        <w:spacing w:after="0" w:line="15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Beginning in 2016 certain interest rate swap and foreign currency swap agreements have been designated as cash flow hedges. At December 31, 2016 the notional amount of these designated instruments in asset positions was $3.5 billion and in liability positions was $2.1 billion. The fair value of these derivative instruments was insignificant at December 31, 2016. The risk being hedged is the foreign currency and interest rate risk related to forecasted transactions. If the contract has been designated as a cash flow hedge, the effective portion of changes in the fair value of the cash flow hedge is deferred in Accumulated other comprehensive loss and is recognized in GM Financial interest, operating and other expenses when the hedged item affects earnings. Any ineffective portion is recorded in GM Financial interest, operating and other expenses in the period of remeasurement.</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gains or losses on all derivative instruments included in the consolidated income statements and Accumulated other comprehensive loss were insignificant in the years ended December 31, 2016, 2015 and 2014.</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2016 we retrospectively adopted Accounting Standards Update (ASU) 2015-17,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 Classification of Deferred Taxes", which requires all deferred tax assets and liabilities to be classified as non-current. As a result current Deferred income taxes and Accrued liabilities decreased by $8.6 billion and $249 million and non-current Deferred income taxes increased by $8.4 billion at December 31, 2015 in our consolidated balance sheets.</w:t>
      </w:r>
    </w:p>
    <w:p>
      <w:pPr>
        <w:spacing w:after="0" w:line="18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November 2016 the Financial Accounting Standards Board (FASB) issued ASU 2016-18, "Statement of Cash Flows (Topic 230): Restricted Cash" (ASU 2016-18), which clarifies the presentation of restricted cash and restricted cash equivalents in the statements of cash flows. Under ASU 2016-18 restricted cash and restricted cash equivalents are included with cash and cash equivalents when reconciling the beginning-of-period and end-of-period total amounts shown on the statements of cash flows. We adopted ASU 2016-18 during the three months ended December 31, 2016 on a retrospective basis. As a result Net cash provided by operating activities decreased by $287 million in the year ended December 31, 2015 and increased by an insignificant amount in the year ended December 31, 2014. Net cash used in investing activities decreased by $325 million and $339 million in the years ended December 31, 2015 and 2014 and beginning-of-period cash, cash equivalents and restricted cash increased by $2.1 billion, $2.2 billion and $2.0 billion in 2016, 2015 and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Accounting Standards Not Yet Adopted </w:t>
      </w:r>
      <w:r>
        <w:rPr>
          <w:rFonts w:ascii="Arial" w:cs="Arial" w:eastAsia="Arial" w:hAnsi="Arial"/>
          <w:sz w:val="17"/>
          <w:szCs w:val="17"/>
          <w:color w:val="auto"/>
        </w:rPr>
        <w:t>In May 2014 the FASB issued ASU 2014-09, “Revenue from Contracts with Customers” (ASU 2014-09), which</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us to recognize revenue when a customer obtains control rather than when we have transferred substantially all risks and rewards of a good or service and requires expanded disclosures. ASU 2014-09, as amended, is effective for us beginning January 1, 2018. ASU 2014-09 will affect the amount and timing of certain revenue related transactions primarily resulting from the earlier recognition of certain sales incentives and fixed fee license arrangements. Upon adoption of ASU 2014-09 sales incentives will be recorded at the time of sale rather than at the later of sale or announcement and fixed fee license arrangements will be recognized when the customer is granted access to intellectual property instead of over the contract period. Certain transactions with daily rental car companies may also qualify to be accounted for as a sale as opposed to the current accounting as an operating lease. We have not yet determined whether we will adopt the provisions of ASU 2014-09 on a retrospective basis or through a cumulative adjustment to equity. We do not expect the adoption of ASU 2014-09 to be material to our consolidated financial statements. We continue to assess the overall impact the adoption of ASU 2014-09 will have on our consolidated financial statements, and anticipate testing our new controls and processes designed to comply with ASU 2014-09 throughout 2017 to permit adoption by January 1, 2018.</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(ASU 2016-01), which requires, among other items, equity investments that are not accounted for under the equity method of accounting to be measured at fair value with changes recognized in net income and updates certain presentation and disclosure requirements. ASU 2016-01 is effective for us beginning January 1, 2018. At December 31, 2016 the carrying value of equity investments that are not accounted for under the equity method of accounting totaled $526 million and unrealized gains or losses were insignificant. Currently we do not believe the adoption of ASU 2016-01 will have a material impact on our consolidated financial statements, however changes in future market conditions and equity investment balances prior to the implementation date will affect the impact the adoption may have on our consolidated financial statements.</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February 2016 the FASB issued ASU 2016-02, "Leases" (ASU 2016-02), which requires us as the lessee to recognize most leases on the balance sheet thereby resulting in the recognition of lease assets and liabilities for those leases currently classified as operating leases. The accounting for leases where we are the lessor remains largely unchanged. ASU 2016-02 is effective for us beginning January 1, 2019 with early adoption permitted. While we are currently assessing the impact ASU 2016-02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15.</w:t>
      </w:r>
    </w:p>
    <w:p>
      <w:pPr>
        <w:spacing w:after="0" w:line="18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that requires entities to use a new impairment model based on expected losses. Under this new model an entity would recognize an impairment allowance equal to its current estimate of credit losses on financial assets measured at amortized cost. ASU 2016-13 is effective for us beginning January 1, 2020 with early adoption permitted January 1, 2019. Credit losses under the new model will consider relevant information about past events, current conditions and reasonable and supportable forecasts, resulting in recognition of lifetime expected credit losses by GM Financial upon loan origination as compared to our current accounting that recognizes credit losses as incurred. We are currently evaluating new processes to calculate credit losses in accordance with ASU 2016-13 that, once completed, will determine the impact on our consolidated financial statements which at the date of adoption will increase the allowance for credit losses with a resulting negative adjustment to retained earnings.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securities which approximates cost: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 cash equivalents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15,238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Mortgage and asset-backed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 marketable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Trading securities – 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Available-for-sale securities included above with contractual maturities (excluding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mortgage and asset-backed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Sales proceeds from investments classified as available-for-sale and sold prior to maturity were $8.5 billion, $7.9 billion and $5.9 billion in the years ended December 31, 2016, 2015 and 2014. Net unrealized gains and losses on trading securities were insignificant in the years ended December 31, 2016, 2015 and 2014.</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15,238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w w:val="98"/>
              </w:rPr>
              <w:t>Total cash, cash equivalents and restricted cash as shown in the consolidated statements of cash flows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15,160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17,332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30,989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35,639</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rPr>
              <w:t>of fees</w:t>
            </w:r>
          </w:p>
        </w:tc>
        <w:tc>
          <w:tcPr>
            <w:tcW w:w="2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1,694</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37,333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32,117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36,551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36,707</w:t>
            </w:r>
          </w:p>
        </w:tc>
      </w:tr>
      <w:tr>
        <w:trPr>
          <w:trHeight w:val="27"/>
        </w:trPr>
        <w:tc>
          <w:tcPr>
            <w:tcW w:w="4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estimates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using current risk-adjusted rates to derive the fair value of the portfolio. Macroeconomic factors could affect the credit performance of the portfolio and therefore could potentially affect the assumptions used in GM Financial's cash flow model. A substantial majority of GM Financial's commercial finance receivables have variable interest rates and maturities of one year or less. Therefore, the carrying amount, a level 2 input, is considered to be a reasonable estimate of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604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$560 million, $553 million and $518 million and a specific allowance of $283 million, $229 million and $177 million at December 31, 2016, 2015 and 2014.</w:t>
      </w:r>
    </w:p>
    <w:p>
      <w:pPr>
        <w:spacing w:after="0" w:line="17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 uses proprietary scoring systems in its underwriting process that measure the credit quality of retail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using several factors, such as credit bureau information, consumer credit risk scores (e.g. FICO scores or its equivalent)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finance receivables based on customer payment activity. In North America, while we historically focused on consumers with lower than prime credit scores, we have expanded our prime lending programs. At December 31, 2016 and 2015, 48% and 60% of the retail finance receivables in North America were from consumers with sub-prime credit scores, which are defined as FICO scores or its equivalent of less than 620 at the time of loan origination. At the time of loan origination, substantially all of GM Financial's international consumers have the equivalent of prime credit scores.</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retail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December 31, 2016 and 2015 the accrual of finance charge income had been suspended on delinquent retail finance receivables with contractual amounts due of $807 million and $778 million. The following table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summarizes the contractual amount of delinquent retail finance receivables, which is not significantly different than the recorded investment of the retail finance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2016 and 2015 retail finance receivables classified as TDRs and individually evaluated for impairment were $1.9 billion and $1.6 billion and the allowance for loan losses included $276 million and $220 million of specific allowances on these receivables.</w:t>
      </w:r>
    </w:p>
    <w:p>
      <w:pPr>
        <w:spacing w:after="0" w:line="21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 is used to assign a risk rating to each dealer. A credit review of each dealer is performed at least annually, and if necessary, the dealer's risk rating is adjusted on the basis of the review. Dealers in Group VI are subject to additional restrictions on funding, up to suspension of lines of credit and liquidation of assets. At December 31, 2016 and 2015 the commercial finance receivables on non-accrual status were insignificant. The following table summarizes the credit risk profile by dealer grouping of the commercial finance receivables: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53"/>
        </w:trPr>
        <w:tc>
          <w:tcPr>
            <w:tcW w:w="900" w:type="dxa"/>
            <w:vAlign w:val="bottom"/>
            <w:tcBorders>
              <w:bottom w:val="single" w:sz="8" w:color="CCEEFF"/>
            </w:tcBorders>
          </w:tcPr>
          <w:p>
            <w:pPr>
              <w:spacing w:after="0"/>
              <w:rPr>
                <w:sz w:val="4"/>
                <w:szCs w:val="4"/>
                <w:color w:val="auto"/>
              </w:rPr>
            </w:pPr>
          </w:p>
        </w:tc>
        <w:tc>
          <w:tcPr>
            <w:tcW w:w="43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4360" w:type="dxa"/>
            <w:vAlign w:val="bottom"/>
            <w:shd w:val="clear" w:color="auto" w:fill="CCEEFF"/>
          </w:tcPr>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Dealers with superior financial metrics</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5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strong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weak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56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 Dealers warranting special mention due to potential weaknesses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VI</w:t>
            </w:r>
          </w:p>
        </w:tc>
        <w:tc>
          <w:tcPr>
            <w:tcW w:w="5660" w:type="dxa"/>
            <w:vAlign w:val="bottom"/>
            <w:gridSpan w:val="4"/>
          </w:tcPr>
          <w:p>
            <w:pPr>
              <w:ind w:left="18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2016</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2,913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1,460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13,788</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2015</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1,229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in our automotive operations consists of vehicle sales to daily rental car companies with a guaranteed repurchase obligation.</w:t>
      </w:r>
    </w:p>
    <w:p>
      <w:pPr>
        <w:sectPr>
          <w:pgSz w:w="11900" w:h="16838" w:orient="portrait"/>
          <w:cols w:equalWidth="0" w:num="1">
            <w:col w:w="11420"/>
          </w:cols>
          <w:pgMar w:left="240" w:top="341"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41"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2,076</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2,783</w:t>
            </w:r>
          </w:p>
        </w:tc>
      </w:tr>
      <w:tr>
        <w:trPr>
          <w:trHeight w:val="20"/>
        </w:trPr>
        <w:tc>
          <w:tcPr>
            <w:tcW w:w="7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7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24"/>
                <w:szCs w:val="24"/>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1000" w:type="dxa"/>
            <w:vAlign w:val="bottom"/>
            <w:tcBorders>
              <w:bottom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188</w:t>
            </w:r>
          </w:p>
        </w:tc>
        <w:tc>
          <w:tcPr>
            <w:tcW w:w="100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500"/>
        </w:trPr>
        <w:tc>
          <w:tcPr>
            <w:tcW w:w="7400" w:type="dxa"/>
            <w:vAlign w:val="bottom"/>
          </w:tcPr>
          <w:p>
            <w:pPr>
              <w:ind w:left="160"/>
              <w:spacing w:after="0"/>
              <w:rPr>
                <w:sz w:val="20"/>
                <w:szCs w:val="20"/>
                <w:color w:val="auto"/>
              </w:rPr>
            </w:pPr>
            <w:r>
              <w:rPr>
                <w:rFonts w:ascii="Arial" w:cs="Arial" w:eastAsia="Arial" w:hAnsi="Arial"/>
                <w:sz w:val="18"/>
                <w:szCs w:val="18"/>
                <w:color w:val="auto"/>
              </w:rPr>
              <w:t>GM Financial originates leases to retail customers that are recorded as operating leases.</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9"/>
        </w:trPr>
        <w:tc>
          <w:tcPr>
            <w:tcW w:w="74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40,875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23,005</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7"/>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34,526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20,172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GM Financial equipment on operating leases, net was $4.6 billion, $2.3 billion and $868 million in the years ended December 31, 2016, 2015 and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5,649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2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Nonconsolidated affiliates are entities in which an equity ownership interest is maintained and for which the equity method of accounting is used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equity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920" w:type="dxa"/>
            <w:vAlign w:val="bottom"/>
            <w:tcBorders>
              <w:bottom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2,057</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joint ventures equity income</w:t>
            </w: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9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2,194</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Investments in Nonconsolidated Affiliates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carrying amount</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Other investments carrying amount</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 net assets of nonconsolidated affiliates</w:t>
            </w:r>
          </w:p>
        </w:tc>
        <w:tc>
          <w:tcPr>
            <w:tcW w:w="48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December 31, 2016 and 2015 the carrying amount of our investments in certain joint ventures exceeded our share of the underlying net assets by $4.3 billion primarily related to goodwill from the application of fresh-start reporting and purchase of additional interests in nonconsolidated affiliates.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China JVs at December 31, 2016 and 2015:</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4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1900" w:type="dxa"/>
            <w:vAlign w:val="bottom"/>
          </w:tcPr>
          <w:p>
            <w:pPr>
              <w:jc w:val="right"/>
              <w:ind w:right="311"/>
              <w:spacing w:after="0"/>
              <w:rPr>
                <w:sz w:val="20"/>
                <w:szCs w:val="20"/>
                <w:color w:val="auto"/>
              </w:rPr>
            </w:pPr>
            <w:r>
              <w:rPr>
                <w:rFonts w:ascii="Arial" w:cs="Arial" w:eastAsia="Arial" w:hAnsi="Arial"/>
                <w:sz w:val="14"/>
                <w:szCs w:val="14"/>
                <w:b w:val="1"/>
                <w:bCs w:val="1"/>
                <w:color w:val="auto"/>
              </w:rPr>
              <w:t>Direct Ownership</w:t>
            </w:r>
          </w:p>
        </w:tc>
        <w:tc>
          <w:tcPr>
            <w:tcW w:w="0" w:type="dxa"/>
            <w:vAlign w:val="bottom"/>
          </w:tcPr>
          <w:p>
            <w:pPr>
              <w:spacing w:after="0"/>
              <w:rPr>
                <w:sz w:val="1"/>
                <w:szCs w:val="1"/>
                <w:color w:val="auto"/>
              </w:rPr>
            </w:pPr>
          </w:p>
        </w:tc>
      </w:tr>
      <w:tr>
        <w:trPr>
          <w:trHeight w:val="53"/>
        </w:trPr>
        <w:tc>
          <w:tcPr>
            <w:tcW w:w="9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Automotive China JVs</w:t>
            </w: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52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General Motors Corp., Ltd. (SGM)</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GM (Shenyang) Norsom Motors Co., Ltd. (SGM Norsom)</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Dong Yue Motors Co., Ltd. (SGM DY)</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GM Dong Yue Powertrain Co., Ltd. (SGM DYPT)</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 GM Wuling Automobile Co., Ltd.</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 General Motors Sales Co., Ltd.</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joint ventures</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SAIC-GMAC</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Shanghai Chengxin Used Car (33%) and SAIC-GMAC (20%). Shanghai Automotive Group Finance Company Ltd., a subsidiary of SAIC, owns 45% of SAIC-GMAC.</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Summarized Financial Data of Nonconsolidated Affiliates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4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Automotive China</w:t>
            </w:r>
          </w:p>
        </w:tc>
        <w:tc>
          <w:tcPr>
            <w:tcW w:w="26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Others</w:t>
            </w:r>
          </w:p>
        </w:tc>
        <w:tc>
          <w:tcPr>
            <w:tcW w:w="280" w:type="dxa"/>
            <w:vAlign w:val="bottom"/>
          </w:tcPr>
          <w:p>
            <w:pPr>
              <w:spacing w:after="0"/>
              <w:rPr>
                <w:sz w:val="13"/>
                <w:szCs w:val="13"/>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5"/>
          </w:tcPr>
          <w:p>
            <w:pPr>
              <w:jc w:val="center"/>
              <w:ind w:right="299"/>
              <w:spacing w:after="0" w:line="153" w:lineRule="exact"/>
              <w:rPr>
                <w:sz w:val="20"/>
                <w:szCs w:val="20"/>
                <w:color w:val="auto"/>
              </w:rPr>
            </w:pPr>
            <w:r>
              <w:rPr>
                <w:rFonts w:ascii="Arial" w:cs="Arial" w:eastAsia="Arial" w:hAnsi="Arial"/>
                <w:sz w:val="14"/>
                <w:szCs w:val="14"/>
                <w:b w:val="1"/>
                <w:bCs w:val="1"/>
                <w:color w:val="auto"/>
                <w:w w:val="93"/>
              </w:rPr>
              <w:t>Automotive China</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Others</w:t>
            </w:r>
          </w:p>
        </w:tc>
        <w:tc>
          <w:tcPr>
            <w:tcW w:w="30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JVs</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JVs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Balance Sheet Data</w:t>
            </w: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25,708</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18,703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15,067</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44,411</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41,695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28,705</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19,141</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11,175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33,996</w:t>
            </w:r>
          </w:p>
        </w:tc>
        <w:tc>
          <w:tcPr>
            <w:tcW w:w="4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30,683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w:t>
            </w:r>
          </w:p>
        </w:tc>
        <w:tc>
          <w:tcPr>
            <w:tcW w:w="4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399"/>
        </w:trPr>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sales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47,024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4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Others' net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Nonconsolidated Affiliates </w:t>
      </w:r>
      <w:r>
        <w:rPr>
          <w:rFonts w:ascii="Arial" w:cs="Arial" w:eastAsia="Arial" w:hAnsi="Arial"/>
          <w:sz w:val="18"/>
          <w:szCs w:val="18"/>
          <w:color w:val="auto"/>
        </w:rPr>
        <w:t>Our nonconsolidated affiliates are involved in various aspects of the development, production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cars, trucks, crossovers and automobile parts. We enter into transactions with certain nonconsolidated</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341"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affiliates to purchase and sell component parts and vehicles. The following tables summarize transactions with and balances related to our nonconsolidated affiliates: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sales and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2,762</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purchases,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806</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311</w:t>
            </w: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received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cash flows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2,532</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3,782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4,321</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Undistributed earnings</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8. Property</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6,655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5,347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plants and equipment</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plants and equipment, net</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Special tools, net</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10,932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net</w:t>
            </w: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35,820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 amount of capitalized software included in Property, net was $1.1 billion and $907 million at December 31, 2016 and 2015. The amount of interest capitalized and excluded from Automotive interest expense related to Property, net was insignificant in the years ended December 31, 2016, 2015 and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4,187</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709</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amortization expense(a)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20"/>
        </w:trPr>
        <w:tc>
          <w:tcPr>
            <w:tcW w:w="20" w:type="dxa"/>
            <w:vAlign w:val="bottom"/>
          </w:tcPr>
          <w:p>
            <w:pPr>
              <w:spacing w:after="0"/>
              <w:rPr>
                <w:sz w:val="19"/>
                <w:szCs w:val="19"/>
                <w:color w:val="auto"/>
              </w:rPr>
            </w:pPr>
          </w:p>
        </w:tc>
        <w:tc>
          <w:tcPr>
            <w:tcW w:w="7400" w:type="dxa"/>
            <w:vAlign w:val="bottom"/>
          </w:tcPr>
          <w:p>
            <w:pPr>
              <w:jc w:val="right"/>
              <w:ind w:right="6430"/>
              <w:spacing w:after="0"/>
              <w:rPr>
                <w:sz w:val="20"/>
                <w:szCs w:val="20"/>
                <w:color w:val="auto"/>
              </w:rPr>
            </w:pPr>
            <w:r>
              <w:rPr>
                <w:rFonts w:ascii="Arial" w:cs="Arial" w:eastAsia="Arial" w:hAnsi="Arial"/>
                <w:sz w:val="18"/>
                <w:szCs w:val="18"/>
                <w:color w:val="auto"/>
                <w:w w:val="85"/>
              </w:rPr>
              <w:t>__________</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Included in depreciation and amortization expense.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 of Business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May 12, 2016 we acquired all of the outstanding capital stock of Cruise,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41"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Corporate primarily related to the synergies expected to arise as a result of the acquisition.</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results of operations associated with this acquisition were not significant to our consolidated financial statements. Accordingly, pro forma financial information is not presented. We have included the financial results of Cruise in our consolidated financial statements from the date of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2016 our total goodwill balance of $1.9 billion consisted of $1.4 billion recorded in GM Financial and $490 million included in Corporate. At December 31, 2015 our goodwill balance of $1.4 billion was recorded in GM Financial.</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3"/>
                <w:szCs w:val="13"/>
                <w:color w:val="auto"/>
              </w:rPr>
            </w:pPr>
          </w:p>
        </w:tc>
        <w:tc>
          <w:tcPr>
            <w:tcW w:w="86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intellectual property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8,399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Brands</w:t>
            </w:r>
          </w:p>
        </w:tc>
        <w:tc>
          <w:tcPr>
            <w:tcW w:w="14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Dealer network, customer relationships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14,176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14,036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amortization expense related to Intangible assets was $328 million, $327 million, and $676 million in the years ended December 31, 2016, 2015 and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is estimated to be approximately $200 million in each of the next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21"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8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w:t>
            </w:r>
          </w:p>
        </w:tc>
      </w:tr>
      <w:tr>
        <w:trPr>
          <w:trHeight w:val="30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r>
      <w:tr>
        <w:trPr>
          <w:trHeight w:val="289"/>
        </w:trPr>
        <w:tc>
          <w:tcPr>
            <w:tcW w:w="8100" w:type="dxa"/>
            <w:vAlign w:val="bottom"/>
          </w:tcPr>
          <w:p>
            <w:pPr>
              <w:ind w:left="20"/>
              <w:spacing w:after="0"/>
              <w:rPr>
                <w:sz w:val="20"/>
                <w:szCs w:val="20"/>
                <w:color w:val="auto"/>
              </w:rPr>
            </w:pPr>
            <w:r>
              <w:rPr>
                <w:rFonts w:ascii="Arial" w:cs="Arial" w:eastAsia="Arial" w:hAnsi="Arial"/>
                <w:sz w:val="18"/>
                <w:szCs w:val="18"/>
                <w:color w:val="auto"/>
              </w:rPr>
              <w:t xml:space="preserve">GM Financial receivables, net of fees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14,151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12,597</w:t>
            </w:r>
          </w:p>
        </w:tc>
      </w:tr>
      <w:tr>
        <w:trPr>
          <w:trHeight w:val="25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13,545</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15,841</w:t>
            </w:r>
          </w:p>
        </w:tc>
      </w:tr>
      <w:tr>
        <w:trPr>
          <w:trHeight w:val="27"/>
        </w:trPr>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and Other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Dealer and customer allowances, claims and discounts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Deposits primarily from rental car companies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Payrolls and employee benefits excluding postemployment benefits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29,192</w:t>
            </w:r>
          </w:p>
        </w:tc>
        <w:tc>
          <w:tcPr>
            <w:tcW w:w="54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 warranty and related liabilities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excluding postemployment benefits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Postemployment benefits including facility idling reserves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460" w:type="dxa"/>
            <w:vAlign w:val="bottom"/>
          </w:tcPr>
          <w:p>
            <w:pPr>
              <w:spacing w:after="0"/>
              <w:rPr>
                <w:sz w:val="22"/>
                <w:szCs w:val="22"/>
                <w:color w:val="auto"/>
              </w:rPr>
            </w:pPr>
          </w:p>
        </w:tc>
        <w:tc>
          <w:tcPr>
            <w:tcW w:w="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13,080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12,653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center"/>
              <w:ind w:left="434"/>
              <w:spacing w:after="0"/>
              <w:rPr>
                <w:sz w:val="20"/>
                <w:szCs w:val="20"/>
                <w:color w:val="auto"/>
              </w:rPr>
            </w:pPr>
            <w:r>
              <w:rPr>
                <w:rFonts w:ascii="Arial" w:cs="Arial" w:eastAsia="Arial" w:hAnsi="Arial"/>
                <w:sz w:val="14"/>
                <w:szCs w:val="14"/>
                <w:b w:val="1"/>
                <w:bCs w:val="1"/>
                <w:color w:val="auto"/>
                <w:w w:val="92"/>
              </w:rPr>
              <w:t>Years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Product Warranty and Related Liabilities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9,646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 and courtesy transportation</w:t>
            </w:r>
          </w:p>
        </w:tc>
        <w:tc>
          <w:tcPr>
            <w:tcW w:w="4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gridSpan w:val="3"/>
          </w:tcPr>
          <w:p>
            <w:pPr>
              <w:jc w:val="right"/>
              <w:ind w:right="19"/>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9,279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During the three months ended September 30, 2014 we began accruing the costs for recall campaigns at the time of vehicle sale in GMNA, which resulted in a charge due to a change in estimate for previously sold vehicles of $874 million recorded in the three months ended June 30, 2014. We had historically accrued estimated costs related to recall campaigns in GMNA when probable and reasonably estimable, which typically occurred once it was determined a specific recall campaign was needed and announced. We estimate our reasonably possible loss in excess of amounts accrued for recall campaigns to be an insignificant amount at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Automotive and GM Financial Debt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20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7,619</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926</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automotive debt(a)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8,765</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6,972</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2,116</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automotive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9,088</w:t>
            </w:r>
          </w:p>
        </w:tc>
      </w:tr>
      <w:tr>
        <w:trPr>
          <w:trHeight w:val="109"/>
        </w:trPr>
        <w:tc>
          <w:tcPr>
            <w:tcW w:w="20" w:type="dxa"/>
            <w:vAlign w:val="bottom"/>
          </w:tcPr>
          <w:p>
            <w:pPr>
              <w:spacing w:after="0"/>
              <w:rPr>
                <w:sz w:val="9"/>
                <w:szCs w:val="9"/>
                <w:color w:val="auto"/>
              </w:rPr>
            </w:pPr>
          </w:p>
        </w:tc>
        <w:tc>
          <w:tcPr>
            <w:tcW w:w="7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Available under credit facility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14,035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12,168</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04"/>
        </w:trPr>
        <w:tc>
          <w:tcPr>
            <w:tcW w:w="20" w:type="dxa"/>
            <w:vAlign w:val="bottom"/>
          </w:tcPr>
          <w:p>
            <w:pPr>
              <w:spacing w:after="0"/>
              <w:rPr>
                <w:sz w:val="24"/>
                <w:szCs w:val="24"/>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range on outstanding debt(b)</w:t>
            </w:r>
          </w:p>
        </w:tc>
        <w:tc>
          <w:tcPr>
            <w:tcW w:w="2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0.0-18.0%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0.0-18.0%</w:t>
            </w:r>
          </w:p>
        </w:tc>
      </w:tr>
      <w:tr>
        <w:trPr>
          <w:trHeight w:val="297"/>
        </w:trPr>
        <w:tc>
          <w:tcPr>
            <w:tcW w:w="20" w:type="dxa"/>
            <w:vAlign w:val="bottom"/>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debt(b)</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debt(b)</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net discount and debt issuance costs of $499 million and $549 million at December 31, 2016 and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18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December 31, 2016 and December 31, 2015 the fair value of automotive debt exceeded its carrying amount due primarily to a decrease in bond yields compared to yields at the time of issuance.</w:t>
      </w:r>
    </w:p>
    <w:p>
      <w:pPr>
        <w:spacing w:after="0" w:line="16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we issued $2.0 billion in aggregate principal amount of senior unsecured notes comprising $1.25 billion of 6.60% notes due in 2036 and $750 million of 6.75% notes due in 2046. These notes contain terms and covenants customary of these types of securities including limitations on the amount of certain secured debt we may incur. The net proceeds from the issuance of these senior unsecured notes were used to fund discretionary contributions to our U.S. hourly pension plan as described in Note 14.</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May 2016 we amended and restated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facility allows for borrowings in U.S. Dollars and other currencies and includes a GM Financial borrowing sub-limit of $3.0 billion and a letter of credit sub-limit of $500 million.</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revolving credit facilities require us to maintain at least $4.0 billion in global liquidity and at least $2.0 billion in U.S. liquidity. If we fail to maintain an investment grade corporate rating from at least two of the following credit rating agencies: Fitch, Moody's and S&amp;P, certain subsidiaries of ours will be required to provide guarantees under the terms of the revolving credit facilities. Interest rates on obligations under the revolving credit facilities are based on prevailing annual interest rates for Eurodollar loans or an alternative base rate, plus an applicable margin.</w:t>
      </w:r>
    </w:p>
    <w:p>
      <w:pPr>
        <w:spacing w:after="0" w:line="17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years ended December 2015 and 2014 we prepaid and retired debt obligations with a total carrying amount of $538 million and $325 million which primarily represented unsecured debt in Brazil and recorded a net gain on extinguishment of debt of $449 million and $202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23,726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73,876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74,577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54,397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48,716</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Securitized Assets. Refer to Note 11 for additional information on GM Financial's involvement with VIEs. The weighted-average interest rate on secured debt was 2.09% at December 31, 2016. The revolving credit facilities have maturity dates over periods ranging up to six years. At the end of the revolving period, if not renewed, the debt will amortize over a defined period. GM Financial is required to hold certain funds in restricted cash accounts to provide additional collateral for borrowings under certain secured credit facilities. Securitization notes payable at December 31, 2016 are due beginning in 2018 through 2024. In the year ended December 31, 2016 GM Financial issued securitization notes payable of $16.9 billion and entered into new or renewed credit facilities with a total net additional borrowing capacity of $4.0 billion, which had substantially the same terms as existing debt.</w:t>
      </w:r>
    </w:p>
    <w:p>
      <w:pPr>
        <w:spacing w:after="0" w:line="192"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Unsecured debt consists of senior notes, credit facilities, retail customer deposits and other unsecured debt. Senior notes outstanding at December 31, 2016 are due beginning in 2017 through 2026 and have a weighted-average interest rate of 3.33%. In March 2016 GM Financial issued $2.75 billion in aggregate principal amount of senior notes comprising $1.5 billion of 4.20% notes due in March 2021 and $1.25 billion of 5.25% notes due in March 2026. In May 2016 GM Financial issued $3.0 billion in aggregate principal amount of senior notes comprising $1.4 billion of 2.40% notes due in May 2019, $1.2 billion of 3.70% notes due in May 2023 and $400 million of floating rate notes due in May 2019. Also in May 2016 GM Financial issued Euro 500 million of 1.168% term notes due in May 2020. In July 2016 GM Financial issued $2.0 billion of 3.20% senior notes due in July 2021. In September 2016 GM Financial issued Euro 750 million of 0.955% term notes due in September 2023. In October 2016 GM Financial issued $1.75 billion in aggregate principal amount of senior notes comprising $750 million of 2.35% notes due in October 2019, $750 million of 4.00% notes due in October 2026 and $250 million of floating rate notes due in October 2019. In November 2016 GM Financial issued Euro 100 million of floating rate notes due in December 2017. In January 2017 GM Financial issued $2.5 billion in aggregate principal amount of senior notes comprising $1.25 billion of 3.45% notes due in January 2022, $750 million of 4.35% due in January 2027 and $500 million of floating rate notes due in January 2022. Each of these notes contain terms and covenants including limitations on GM Financial's ability to incur certain liens.</w:t>
      </w:r>
    </w:p>
    <w:p>
      <w:pPr>
        <w:spacing w:after="0" w:line="18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 accepts deposits from retail banking customers in Germany. At December 31, 2016 and December 31, 2015 the outstanding balance of these deposits was $1.9 billion and $1.3 billion, of which 42% and 44% were overnight deposits, and had weighted-average interest rates of 0.91% and 1.25%.</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terms of advances on revolving credit facilities and other unsecured debt have original maturities of up to five years. The weighted-average interest rate on credit facilities and other unsecured debt was 7.50% at December 31, 2016.</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26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Automotive Financing - GM Financial interest expense</w:t>
            </w:r>
          </w:p>
        </w:tc>
        <w:tc>
          <w:tcPr>
            <w:tcW w:w="2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contractual maturities including capital leases at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Automotive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Automotive</w:t>
            </w:r>
          </w:p>
        </w:tc>
        <w:tc>
          <w:tcPr>
            <w:tcW w:w="28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Financing(a)</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29,771</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5,914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85,621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Secured debt, credit facilities and other unsecured debt are based on expected payoff date. Senior notes principal amounts are based on maturity.</w:t>
      </w:r>
    </w:p>
    <w:p>
      <w:pPr>
        <w:spacing w:after="0" w:line="20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December 31, 2016 future interest payments on automotive capital lease obligations were $371 million. GM Financial had no capital lease obligations at December 31, 2016.</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Compliance with Debt Covenants </w:t>
      </w:r>
      <w:r>
        <w:rPr>
          <w:rFonts w:ascii="Arial" w:cs="Arial" w:eastAsia="Arial" w:hAnsi="Arial"/>
          <w:sz w:val="18"/>
          <w:szCs w:val="18"/>
          <w:color w:val="auto"/>
        </w:rPr>
        <w:t>Several of our loan facilities, including our revolving credit facilities, require compliance with certain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covenants as well as regular reporting to lenders, including providing certain subsidiary financial statements. Some of GM Financial’s secured and unsecured debt agreements also contain various covenants, including maintaining portfolio performance ratios as well as limits on deferment levels.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and Other Postretirement Benefit Plans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Defined Benefit Pension Plans </w:t>
      </w:r>
      <w:r>
        <w:rPr>
          <w:rFonts w:ascii="Arial" w:cs="Arial" w:eastAsia="Arial" w:hAnsi="Arial"/>
          <w:sz w:val="18"/>
          <w:szCs w:val="18"/>
          <w:color w:val="auto"/>
        </w:rPr>
        <w:t>Defined benefit pension plans covering eligible U.S. hourly employees (hired prior to October 2007) and Canadian hourly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covering primarily U.S. executives for service prior to January 1, 2007 and it is based on an “excess plan” for service after that date.</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2016 all legal funding requirements were met; additionally we made discretionary contributions to our U.S. hourly pension plan of $2.0 billion. These discretionary contributions were funded with the net proceeds from the issuance of the automotive senior unsecured notes described in Note 13. The following table summarizes contributions made to the defined benefit pension plans: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hourly and salaried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770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expect to contribute $73 million to our U.S. non-qualified plans and $970 million to our non-U.S. pension plans in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our current assumptions, over the next five years we expect no significant mandatory contributions to our U.S. qualified pension plans and mandatory contributions totaling $1.8 billion to our Canada and U.K. pension plans.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Other Postretirement Benefit Plans </w:t>
      </w:r>
      <w:r>
        <w:rPr>
          <w:rFonts w:ascii="Arial" w:cs="Arial" w:eastAsia="Arial" w:hAnsi="Arial"/>
          <w:sz w:val="18"/>
          <w:szCs w:val="18"/>
          <w:color w:val="auto"/>
        </w:rPr>
        <w:t>Certain hourly and salaried defined benefit plans provide postretirement medical, dental, legal service and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$335 million, $340 million and $354 million in the years ended December 31, 2016, 2015 and 2014. Plan participants' contributions were insignificant in the years ended December 31, 2016, 2015 and 2014.</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Defined Contribution Plans </w:t>
      </w:r>
      <w:r>
        <w:rPr>
          <w:rFonts w:ascii="Arial" w:cs="Arial" w:eastAsia="Arial" w:hAnsi="Arial"/>
          <w:sz w:val="18"/>
          <w:szCs w:val="18"/>
          <w:color w:val="auto"/>
        </w:rPr>
        <w:t>We have defined contribution plans for eligible U.S. salaried and hourly employees that provide discretionary matching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Contributions are also made to certain non-U.S. defined contribution plans. We made contributions to our defined contribution plans of $594 million, $535 million and $513 million in the years ended December 31, 2016,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Other Remeasurements </w:t>
      </w:r>
      <w:r>
        <w:rPr>
          <w:rFonts w:ascii="Arial" w:cs="Arial" w:eastAsia="Arial" w:hAnsi="Arial"/>
          <w:sz w:val="17"/>
          <w:szCs w:val="17"/>
          <w:color w:val="auto"/>
        </w:rPr>
        <w:t>We incorporated the mortality improvement tables issued by the Society of Actuaries (SOA) in the three months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2016 that lowered life expectancies and thereby indicated the amount of estimated aggregate benefit payments to our U.S. pension plans' participants was decreasing. This change in assumption decreased the December 31, 2016 U.S. pension and OPEB plans’ obligations by $888 million. In the three months ended December 31, 2014 the SOA issued new mortality and mortality improvement tables that raised life expectancies and thereby indicated the amount of estimated aggregate benefit payments to our U.S. pension plans' participants was increasing. We incorporated these SOA mortality and mortality improvement tables into our December 31, 2014 measurement of our U.S. pension and OPEB plans' benefit obligations. The change in these assumptions increased the December 31, 2014 U.S. pension and OPEB plans' obligations by $2.2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OPEB Obligations and Plan Assets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2"/>
              </w:rPr>
              <w:t>Year Ended December 31, 2015</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Global OPEB</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Global</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Non-U.S.</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OPEB Plans</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benefit obligation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Actuarial (gains) losses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settlements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benefit obligation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68,827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71,486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61,072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12,990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65,823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Ending fair value of plan assets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61,622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12,998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61,072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funded status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recorded in the consolidated balance sheets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0" w:type="dxa"/>
            <w:vAlign w:val="bottom"/>
          </w:tcPr>
          <w:p>
            <w:pPr>
              <w:spacing w:after="0"/>
              <w:rPr>
                <w:sz w:val="1"/>
                <w:szCs w:val="1"/>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amount recorded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recorded in 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(4,904)</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credit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recorded in Accumulated other comprehensive loss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total accumulated benefit obligations (ABO), the ABO and fair value of plan assets for defined benefit pension plans with ABO in excess of plan assets, and the PBO and fair value of plan assets for defined benefit pension plans with PBO in excess of plan assets: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6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3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Non-U.S.</w:t>
            </w: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23,388</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Plans with ABO in excess of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61,622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12,205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61,072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12,160</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Plans with PBO in excess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PBO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68,827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23,352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71,486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23,052</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61,622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61,072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12,170</w:t>
            </w:r>
          </w:p>
        </w:tc>
      </w:tr>
      <w:tr>
        <w:trPr>
          <w:trHeight w:val="27"/>
        </w:trPr>
        <w:tc>
          <w:tcPr>
            <w:tcW w:w="6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components of net periodic pension and OPEB expense along with the assumptions used to determine benefit obligations:</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41"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9"/>
              </w:rPr>
              <w:t>Year Ended December 31, 2016</w:t>
            </w:r>
          </w:p>
        </w:tc>
        <w:tc>
          <w:tcPr>
            <w:tcW w:w="160" w:type="dxa"/>
            <w:vAlign w:val="bottom"/>
          </w:tcPr>
          <w:p>
            <w:pPr>
              <w:spacing w:after="0"/>
              <w:rPr>
                <w:sz w:val="12"/>
                <w:szCs w:val="12"/>
                <w:color w:val="auto"/>
              </w:rPr>
            </w:pPr>
          </w:p>
        </w:tc>
        <w:tc>
          <w:tcPr>
            <w:tcW w:w="224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Year Ended December 31, 2015</w:t>
            </w:r>
          </w:p>
        </w:tc>
        <w:tc>
          <w:tcPr>
            <w:tcW w:w="160" w:type="dxa"/>
            <w:vAlign w:val="bottom"/>
          </w:tcPr>
          <w:p>
            <w:pPr>
              <w:spacing w:after="0"/>
              <w:rPr>
                <w:sz w:val="12"/>
                <w:szCs w:val="12"/>
                <w:color w:val="auto"/>
              </w:rPr>
            </w:pPr>
          </w:p>
        </w:tc>
        <w:tc>
          <w:tcPr>
            <w:tcW w:w="2120" w:type="dxa"/>
            <w:vAlign w:val="bottom"/>
            <w:gridSpan w:val="7"/>
          </w:tcPr>
          <w:p>
            <w:pPr>
              <w:jc w:val="center"/>
              <w:ind w:right="58"/>
              <w:spacing w:after="0"/>
              <w:rPr>
                <w:sz w:val="20"/>
                <w:szCs w:val="20"/>
                <w:color w:val="auto"/>
              </w:rPr>
            </w:pPr>
            <w:r>
              <w:rPr>
                <w:rFonts w:ascii="Arial" w:cs="Arial" w:eastAsia="Arial" w:hAnsi="Arial"/>
                <w:sz w:val="11"/>
                <w:szCs w:val="11"/>
                <w:b w:val="1"/>
                <w:bCs w:val="1"/>
                <w:color w:val="auto"/>
                <w:w w:val="88"/>
              </w:rPr>
              <w:t>Year Ended December 31, 2014</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5"/>
          </w:tcPr>
          <w:p>
            <w:pPr>
              <w:ind w:left="220"/>
              <w:spacing w:after="0"/>
              <w:rPr>
                <w:sz w:val="20"/>
                <w:szCs w:val="20"/>
                <w:color w:val="auto"/>
              </w:rPr>
            </w:pPr>
            <w:r>
              <w:rPr>
                <w:rFonts w:ascii="Arial" w:cs="Arial" w:eastAsia="Arial" w:hAnsi="Arial"/>
                <w:sz w:val="11"/>
                <w:szCs w:val="11"/>
                <w:b w:val="1"/>
                <w:bCs w:val="1"/>
                <w:color w:val="auto"/>
              </w:rPr>
              <w:t>Pension Benefits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Global OPEB</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3"/>
              </w:rPr>
              <w:t>Global OPEB</w:t>
            </w:r>
          </w:p>
        </w:tc>
        <w:tc>
          <w:tcPr>
            <w:tcW w:w="0" w:type="dxa"/>
            <w:vAlign w:val="bottom"/>
          </w:tcPr>
          <w:p>
            <w:pPr>
              <w:spacing w:after="0"/>
              <w:rPr>
                <w:sz w:val="1"/>
                <w:szCs w:val="1"/>
                <w:color w:val="auto"/>
              </w:rPr>
            </w:pPr>
          </w:p>
        </w:tc>
      </w:tr>
      <w:tr>
        <w:trPr>
          <w:trHeight w:val="101"/>
        </w:trPr>
        <w:tc>
          <w:tcPr>
            <w:tcW w:w="4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U.S.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Non-U.S.</w:t>
            </w:r>
          </w:p>
        </w:tc>
        <w:tc>
          <w:tcPr>
            <w:tcW w:w="16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Plans</w:t>
            </w:r>
          </w:p>
        </w:tc>
        <w:tc>
          <w:tcPr>
            <w:tcW w:w="160" w:type="dxa"/>
            <w:vAlign w:val="bottom"/>
          </w:tcPr>
          <w:p>
            <w:pPr>
              <w:spacing w:after="0"/>
              <w:rPr>
                <w:sz w:val="12"/>
                <w:szCs w:val="12"/>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Non-U.S.</w:t>
            </w:r>
          </w:p>
        </w:tc>
        <w:tc>
          <w:tcPr>
            <w:tcW w:w="140" w:type="dxa"/>
            <w:vAlign w:val="bottom"/>
          </w:tcPr>
          <w:p>
            <w:pPr>
              <w:spacing w:after="0"/>
              <w:rPr>
                <w:sz w:val="12"/>
                <w:szCs w:val="12"/>
                <w:color w:val="auto"/>
              </w:rPr>
            </w:pPr>
          </w:p>
        </w:tc>
        <w:tc>
          <w:tcPr>
            <w:tcW w:w="540" w:type="dxa"/>
            <w:vAlign w:val="bottom"/>
          </w:tcPr>
          <w:p>
            <w:pPr>
              <w:jc w:val="right"/>
              <w:ind w:right="158"/>
              <w:spacing w:after="0"/>
              <w:rPr>
                <w:sz w:val="20"/>
                <w:szCs w:val="20"/>
                <w:color w:val="auto"/>
              </w:rPr>
            </w:pPr>
            <w:r>
              <w:rPr>
                <w:rFonts w:ascii="Arial" w:cs="Arial" w:eastAsia="Arial" w:hAnsi="Arial"/>
                <w:sz w:val="11"/>
                <w:szCs w:val="11"/>
                <w:b w:val="1"/>
                <w:bCs w:val="1"/>
                <w:color w:val="auto"/>
              </w:rPr>
              <w:t>Plans</w:t>
            </w:r>
          </w:p>
        </w:tc>
        <w:tc>
          <w:tcPr>
            <w:tcW w:w="0" w:type="dxa"/>
            <w:vAlign w:val="bottom"/>
          </w:tcPr>
          <w:p>
            <w:pPr>
              <w:spacing w:after="0"/>
              <w:rPr>
                <w:sz w:val="1"/>
                <w:szCs w:val="1"/>
                <w:color w:val="auto"/>
              </w:rPr>
            </w:pPr>
          </w:p>
        </w:tc>
      </w:tr>
      <w:tr>
        <w:trPr>
          <w:trHeight w:val="22"/>
        </w:trPr>
        <w:tc>
          <w:tcPr>
            <w:tcW w:w="43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Components of expense</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3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2,212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79"/>
              <w:spacing w:after="0"/>
              <w:rPr>
                <w:sz w:val="20"/>
                <w:szCs w:val="20"/>
                <w:color w:val="auto"/>
              </w:rPr>
            </w:pPr>
            <w:r>
              <w:rPr>
                <w:rFonts w:ascii="Arial" w:cs="Arial" w:eastAsia="Arial" w:hAnsi="Arial"/>
                <w:sz w:val="13"/>
                <w:szCs w:val="13"/>
                <w:color w:val="auto"/>
              </w:rPr>
              <w:t>2,754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3"/>
                <w:szCs w:val="13"/>
                <w:color w:val="auto"/>
              </w:rPr>
              <w:t>3,060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return on plan assets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(3,778)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(3,896)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(3,914)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Amortization of prior service cost (credit)</w:t>
            </w: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of net actuarial (gains) losses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3"/>
                <w:szCs w:val="13"/>
                <w:color w:val="auto"/>
              </w:rPr>
              <w:t>Curtailments, settlements and other(a)</w:t>
            </w:r>
          </w:p>
        </w:tc>
        <w:tc>
          <w:tcPr>
            <w:tcW w:w="1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periodic pension and OPEB (income) expense</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(1,214)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(570)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9"/>
              </w:rPr>
              <w:t>Weighted-average assumptions used to determine benefit obligations</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Rate of compensation increase(b)</w:t>
            </w: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Weighted-average assumptions used to determine net expense</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360" w:type="dxa"/>
            <w:vAlign w:val="bottom"/>
          </w:tcPr>
          <w:p>
            <w:pPr>
              <w:ind w:left="40"/>
              <w:spacing w:after="0"/>
              <w:rPr>
                <w:sz w:val="20"/>
                <w:szCs w:val="20"/>
                <w:color w:val="auto"/>
              </w:rPr>
            </w:pPr>
            <w:r>
              <w:rPr>
                <w:rFonts w:ascii="Arial" w:cs="Arial" w:eastAsia="Arial" w:hAnsi="Arial"/>
                <w:sz w:val="13"/>
                <w:szCs w:val="13"/>
                <w:color w:val="auto"/>
              </w:rPr>
              <w:t>Discount rate</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78"/>
        </w:trPr>
        <w:tc>
          <w:tcPr>
            <w:tcW w:w="4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Expected rate of return on plan assets</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51"/>
        </w:trPr>
        <w:tc>
          <w:tcPr>
            <w:tcW w:w="4360" w:type="dxa"/>
            <w:vAlign w:val="bottom"/>
          </w:tcPr>
          <w:p>
            <w:pPr>
              <w:ind w:left="40"/>
              <w:spacing w:after="0"/>
              <w:rPr>
                <w:sz w:val="20"/>
                <w:szCs w:val="20"/>
                <w:color w:val="auto"/>
              </w:rPr>
            </w:pPr>
            <w:r>
              <w:rPr>
                <w:rFonts w:ascii="Arial" w:cs="Arial" w:eastAsia="Arial" w:hAnsi="Arial"/>
                <w:sz w:val="13"/>
                <w:szCs w:val="13"/>
                <w:color w:val="auto"/>
              </w:rPr>
              <w:t>Rate of compensation increase(b)</w:t>
            </w: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82"/>
        </w:trPr>
        <w:tc>
          <w:tcPr>
            <w:tcW w:w="4360" w:type="dxa"/>
            <w:vAlign w:val="bottom"/>
          </w:tcPr>
          <w:p>
            <w:pPr>
              <w:spacing w:after="0"/>
              <w:rPr>
                <w:sz w:val="20"/>
                <w:szCs w:val="20"/>
                <w:color w:val="auto"/>
              </w:rPr>
            </w:pPr>
            <w:r>
              <w:rPr>
                <w:rFonts w:ascii="Arial" w:cs="Arial" w:eastAsia="Arial" w:hAnsi="Arial"/>
                <w:sz w:val="14"/>
                <w:szCs w:val="14"/>
                <w:color w:val="auto"/>
              </w:rPr>
              <w:t>_________</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8"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curtailment charges recorded in the year ended December 31, 2015 were due primarily to the GM Canada hourly pension plan that was remeasured as a result of a voluntary separation program.</w:t>
      </w:r>
    </w:p>
    <w:p>
      <w:pPr>
        <w:ind w:left="34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result of ceasing the accrual of additional benefits for salaried plan participants, the rate of compensation increase does not have a significant effect on our U.S. pension and OPEB plans.</w:t>
      </w:r>
    </w:p>
    <w:p>
      <w:pPr>
        <w:spacing w:after="0" w:line="15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January 2016 the discount rate used to determine the service cost and interest cost for our pension and OPEB plans was based on individual annual yield curve rates. This refinement was considered a change in estimate and applied prospectively. The use of the individual annual yield curve rates has reduced the service cost and interest cost by $768 million in the year ended December 31, 2016, which was offset in the actuarial gains and losses upon the December 31, 2016 remeasurement of the plans' obligations.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U.S. pension plan service cost includes administrative expenses and Pension Benefit Guarantee Corporation premiums which were insignificant in the years ended December 31, 2016, 2015 and 2014. Weighted-average assumptions used to determine net expense are determined at the beginning of the period and updated for remeasurements. Non-U.S. pension plan administrative expenses included in service cost were insignificant in the years ended December 31, 2016, 2015 and 2014.</w:t>
      </w:r>
    </w:p>
    <w:p>
      <w:pPr>
        <w:spacing w:after="0" w:line="18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Estimated amounts to be amortized from Accumulated other comprehensive loss into net periodic benefit cost in the year ending December 31, 2017 based on December 31, 2016 plan measurements are $261 million, consisting primarily of amortization of the net actuarial loss in the non-U.S. pension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Investment Strategies and Long-Term Rate of Return </w:t>
      </w:r>
      <w:r>
        <w:rPr>
          <w:rFonts w:ascii="Arial" w:cs="Arial" w:eastAsia="Arial" w:hAnsi="Arial"/>
          <w:sz w:val="16"/>
          <w:szCs w:val="16"/>
          <w:color w:val="auto"/>
        </w:rPr>
        <w:t>Detailed periodic studies are conducted by our internal asset management group as well as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actuaries and are used to determine the long-term strategic mix among asset classes, risk mitigation strategies and the expected long-term return on asset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long-term return on plan asset assumptions are determined based on long-term prospective rates of return.</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41"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Derivatives may be used to provide cost effective solutions for rebalancing investment portfolios, increasing or decreasing exposure to various asset classes and for mitigating risks, primarily interest rate and currency risks. Equity and fixed income managers are permitted to utilize derivatives as efficient substitutes for traditional securities. Interest rate derivatives may be used to adjust portfolio duration to align with a plan's targeted investment policy. Alternative investment managers are permitted to employ leverage, including through the use of derivatives, which may alter economic exposure.</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December 2016 an investment policy study was completed for the U.S. pension plans. The study resulted in new target asset allocations being approved for the U.S. pension plans with resulting changes to the expected long-term rate of return on assets. The weighted-average long-term rate of return on assets decreased from 6.3% at December 31, 2015 to 6.2% at December 31, 2016. The expected long-term rate of return on plan assets used in determining pension expense for non-U.S. plans is determined in a similar manner to the U.S. plans.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Target Allocation Percentages </w:t>
      </w:r>
      <w:r>
        <w:rPr>
          <w:rFonts w:ascii="Arial" w:cs="Arial" w:eastAsia="Arial" w:hAnsi="Arial"/>
          <w:sz w:val="18"/>
          <w:szCs w:val="18"/>
          <w:color w:val="auto"/>
        </w:rPr>
        <w:t>The following table summarizes the target allocations by asset category for U.S. and non-U.S. defined benefit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7"/>
              </w:rPr>
              <w:t>U.S.</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4870"/>
              <w:spacing w:after="0"/>
              <w:rPr>
                <w:sz w:val="20"/>
                <w:szCs w:val="20"/>
                <w:color w:val="auto"/>
              </w:rPr>
            </w:pPr>
            <w:r>
              <w:rPr>
                <w:rFonts w:ascii="Arial" w:cs="Arial" w:eastAsia="Arial" w:hAnsi="Arial"/>
                <w:sz w:val="18"/>
                <w:szCs w:val="18"/>
                <w:color w:val="auto"/>
                <w:w w:val="87"/>
              </w:rPr>
              <w:t>__________</w:t>
            </w: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includes private equity, real estate and absolute return strategies which mainly consist of hedge funds.</w:t>
      </w:r>
    </w:p>
    <w:p>
      <w:pPr>
        <w:spacing w:after="0" w:line="20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Assets and Fair Value Measurements </w:t>
      </w:r>
      <w:r>
        <w:rPr>
          <w:rFonts w:ascii="Arial" w:cs="Arial" w:eastAsia="Arial" w:hAnsi="Arial"/>
          <w:sz w:val="18"/>
          <w:szCs w:val="18"/>
          <w:color w:val="auto"/>
        </w:rPr>
        <w:t>The following tables summarize the fair value of U.S. and non-U.S. defined benefit pension plan assets by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8,288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7,663</w:t>
            </w:r>
          </w:p>
        </w:tc>
        <w:tc>
          <w:tcPr>
            <w:tcW w:w="0" w:type="dxa"/>
            <w:vAlign w:val="bottom"/>
          </w:tcPr>
          <w:p>
            <w:pPr>
              <w:spacing w:after="0"/>
              <w:rPr>
                <w:sz w:val="1"/>
                <w:szCs w:val="1"/>
                <w:color w:val="auto"/>
              </w:rPr>
            </w:pPr>
          </w:p>
        </w:tc>
      </w:tr>
      <w:tr>
        <w:trPr>
          <w:trHeight w:val="266"/>
        </w:trPr>
        <w:tc>
          <w:tcPr>
            <w:tcW w:w="436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11,374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11,374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14,318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14,318</w:t>
            </w:r>
          </w:p>
        </w:tc>
        <w:tc>
          <w:tcPr>
            <w:tcW w:w="0" w:type="dxa"/>
            <w:vAlign w:val="bottom"/>
          </w:tcPr>
          <w:p>
            <w:pPr>
              <w:spacing w:after="0"/>
              <w:rPr>
                <w:sz w:val="1"/>
                <w:szCs w:val="1"/>
                <w:color w:val="auto"/>
              </w:rPr>
            </w:pP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25,452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25,452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22,963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22,964</w:t>
            </w:r>
          </w:p>
        </w:tc>
        <w:tc>
          <w:tcPr>
            <w:tcW w:w="0" w:type="dxa"/>
            <w:vAlign w:val="bottom"/>
          </w:tcPr>
          <w:p>
            <w:pPr>
              <w:spacing w:after="0"/>
              <w:rPr>
                <w:sz w:val="1"/>
                <w:szCs w:val="1"/>
                <w:color w:val="auto"/>
              </w:rPr>
            </w:pPr>
          </w:p>
        </w:tc>
      </w:tr>
      <w:tr>
        <w:trPr>
          <w:trHeight w:val="266"/>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1,177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466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1,068</w:t>
            </w:r>
          </w:p>
        </w:tc>
        <w:tc>
          <w:tcPr>
            <w:tcW w:w="0" w:type="dxa"/>
            <w:vAlign w:val="bottom"/>
          </w:tcPr>
          <w:p>
            <w:pPr>
              <w:spacing w:after="0"/>
              <w:rPr>
                <w:sz w:val="1"/>
                <w:szCs w:val="1"/>
                <w:color w:val="auto"/>
              </w:rPr>
            </w:pPr>
          </w:p>
        </w:tc>
      </w:tr>
      <w:tr>
        <w:trPr>
          <w:trHeight w:val="241"/>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8,774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37,149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46,329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8,103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37,429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46,013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3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6,509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6,321</w:t>
            </w:r>
          </w:p>
        </w:tc>
        <w:tc>
          <w:tcPr>
            <w:tcW w:w="0" w:type="dxa"/>
            <w:vAlign w:val="bottom"/>
          </w:tcPr>
          <w:p>
            <w:pPr>
              <w:spacing w:after="0"/>
              <w:rPr>
                <w:sz w:val="1"/>
                <w:szCs w:val="1"/>
                <w:color w:val="auto"/>
              </w:rPr>
            </w:pPr>
          </w:p>
        </w:tc>
      </w:tr>
      <w:tr>
        <w:trPr>
          <w:trHeight w:val="266"/>
        </w:trPr>
        <w:tc>
          <w:tcPr>
            <w:tcW w:w="436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4,012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4,529</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3,634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3,828</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14,155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14,678</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net(b)</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241"/>
        </w:trPr>
        <w:tc>
          <w:tcPr>
            <w:tcW w:w="436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61,622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61,072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620" w:type="dxa"/>
            <w:vAlign w:val="bottom"/>
          </w:tcPr>
          <w:p>
            <w:pPr>
              <w:jc w:val="right"/>
              <w:ind w:right="1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Non-U.S. Pension Plan Assets</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Common and preferred stocks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Government and agency debt securities(a)</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3,222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3,222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3,258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3,258</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debt securities</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1,953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1,954</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investments, net</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152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595</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784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plan assets subject to leveling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5,421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598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7,040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5,259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7,029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5"/>
                <w:szCs w:val="15"/>
                <w:b w:val="1"/>
                <w:bCs w:val="1"/>
                <w:color w:val="auto"/>
              </w:rPr>
              <w:t>Plan assets measured at net asset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funds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4,475</w:t>
            </w:r>
          </w:p>
        </w:tc>
        <w:tc>
          <w:tcPr>
            <w:tcW w:w="0" w:type="dxa"/>
            <w:vAlign w:val="bottom"/>
          </w:tcPr>
          <w:p>
            <w:pPr>
              <w:spacing w:after="0"/>
              <w:rPr>
                <w:sz w:val="1"/>
                <w:szCs w:val="1"/>
                <w:color w:val="auto"/>
              </w:rPr>
            </w:pPr>
          </w:p>
        </w:tc>
      </w:tr>
      <w:tr>
        <w:trPr>
          <w:trHeight w:val="266"/>
        </w:trPr>
        <w:tc>
          <w:tcPr>
            <w:tcW w:w="4240" w:type="dxa"/>
            <w:vAlign w:val="bottom"/>
          </w:tcPr>
          <w:p>
            <w:pPr>
              <w:ind w:left="40"/>
              <w:spacing w:after="0"/>
              <w:rPr>
                <w:sz w:val="20"/>
                <w:szCs w:val="20"/>
                <w:color w:val="auto"/>
              </w:rPr>
            </w:pPr>
            <w:r>
              <w:rPr>
                <w:rFonts w:ascii="Arial" w:cs="Arial" w:eastAsia="Arial" w:hAnsi="Arial"/>
                <w:sz w:val="15"/>
                <w:szCs w:val="15"/>
                <w:color w:val="auto"/>
              </w:rPr>
              <w:t>Private equity and debt investments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546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Real estate investments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1,092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5"/>
                <w:szCs w:val="15"/>
                <w:color w:val="auto"/>
              </w:rPr>
              <w:t>Total plan assets measured at net asset value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6,087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6,099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plan assets (liabilities), net(b)</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41"/>
        </w:trPr>
        <w:tc>
          <w:tcPr>
            <w:tcW w:w="4240" w:type="dxa"/>
            <w:vAlign w:val="bottom"/>
          </w:tcPr>
          <w:p>
            <w:pPr>
              <w:ind w:left="40"/>
              <w:spacing w:after="0"/>
              <w:rPr>
                <w:sz w:val="20"/>
                <w:szCs w:val="20"/>
                <w:color w:val="auto"/>
              </w:rPr>
            </w:pPr>
            <w:r>
              <w:rPr>
                <w:rFonts w:ascii="Arial" w:cs="Arial" w:eastAsia="Arial" w:hAnsi="Arial"/>
                <w:sz w:val="15"/>
                <w:szCs w:val="15"/>
                <w:b w:val="1"/>
                <w:bCs w:val="1"/>
                <w:color w:val="auto"/>
              </w:rPr>
              <w:t>Net plan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12,998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12,990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U.S. and sovereign government and agency issues.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Cash held by the plans, net of amounts receivable/payable for unsettled security transactions and payables for investment manager fees, custody fees and other expenses.</w:t>
      </w:r>
    </w:p>
    <w:p>
      <w:pPr>
        <w:spacing w:after="0" w:line="22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activity attributable to U.S. and non-U.S. Level 3 defined benefit pension plan investments was insignificant in the years ended December 31, 2016 and 2015.</w:t>
      </w:r>
    </w:p>
    <w:p>
      <w:pPr>
        <w:spacing w:after="0" w:line="17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Alternative Investment Strategies </w:t>
      </w:r>
      <w:r>
        <w:rPr>
          <w:rFonts w:ascii="Arial" w:cs="Arial" w:eastAsia="Arial" w:hAnsi="Arial"/>
          <w:sz w:val="18"/>
          <w:szCs w:val="18"/>
          <w:color w:val="auto"/>
        </w:rPr>
        <w:t>Investment funds include hedge funds, funds of hedge funds, equity funds and fixed income funds. Hedge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192"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Real estate investments include funds that invest in entities which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181"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Significant Concentrations of Risk </w:t>
      </w:r>
      <w:r>
        <w:rPr>
          <w:rFonts w:ascii="Arial" w:cs="Arial" w:eastAsia="Arial" w:hAnsi="Arial"/>
          <w:sz w:val="16"/>
          <w:szCs w:val="16"/>
          <w:color w:val="auto"/>
        </w:rPr>
        <w:t>The assets of the pension plans include certain investment funds, private equity and debt investments and 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14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41"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Benefits for most U.S. pension plans and certain non-U.S. pension plans are paid out of plan assets rather than our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following table summarizes net benefit payments expected to be paid in the future, which include assumptions related to estimated future employee service: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Other Benefits</w:t>
            </w:r>
          </w:p>
        </w:tc>
      </w:tr>
      <w:tr>
        <w:trPr>
          <w:trHeight w:val="264"/>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 Plans</w:t>
            </w:r>
          </w:p>
        </w:tc>
        <w:tc>
          <w:tcPr>
            <w:tcW w:w="16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Global Plans</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2022 - 2026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1,775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Litigation-Related Liability and Tax Administrative Matters </w:t>
      </w:r>
      <w:r>
        <w:rPr>
          <w:rFonts w:ascii="Arial" w:cs="Arial" w:eastAsia="Arial" w:hAnsi="Arial"/>
          <w:sz w:val="16"/>
          <w:szCs w:val="16"/>
          <w:color w:val="auto"/>
        </w:rPr>
        <w:t>In the normal course of business, we are named from time to time as a defendant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legal actions, including arbitrations, class actions and other litigation, that arise in connection with our business as a global company. We identify below the material individual proceedings and investigations in connection with which we believe a material loss is reasonably possible or probable. We accrue for matters when we believe that losses are probable and can be reasonably estimated. At December 31, 2016 and 2015, accruals were $1.3 billion and $1.2 billion and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Proceedings Related to Ignition Switch Recall and Other Recalls </w:t>
      </w:r>
      <w:r>
        <w:rPr>
          <w:rFonts w:ascii="Arial" w:cs="Arial" w:eastAsia="Arial" w:hAnsi="Arial"/>
          <w:sz w:val="16"/>
          <w:szCs w:val="16"/>
          <w:color w:val="auto"/>
        </w:rPr>
        <w:t>In 2014 we announced various recalls relating to safety, customer satisfaction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4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January 27, 2017 we were aware of 100 putative class actions pending against GM in various federal and state trial courts in the U.S. and 21 putative class actions pending in various Provincial Courts in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 There are also two civil actions brought by state governmental entities relating to the 2014 recalls that seek injunctive relief as well as civil penalties and attorneys' fees for alleged violations of state laws.</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Through January 27, 2017 we were aware of 284 actions pending in various federal and state trial courts in the U.S. and 14 actions pending in various Provincial Courts in Canada alleging injury or death as a result of defects that may be the subject of recalls announced in 2014 (personal injury cases). In general, these personal injury cases seek recovery for purported compensatory damages, punitive damages and other relief.</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During 2016, the U.S. District Court for the Southern District of New York (the district court) and a Texas court administering a Texas state multidistrict litigation scheduled a combined eight ignition-switch personal injury cases for bellwether trials. None of those resulted in a finding of liability against GM; juries in two cases returned verdicts in favor of GM, a court dismissed one case on summary judgment, plaintiffs dismissed two cases with prejudice before trial, and the parties settled the remaining three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4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cases. The district court has scheduled additional personal injury bellwether trials for 2017 and 2018. Each bellwether trial will be tried on its facts and the result of any subsequent bellwether trial may be different from the earlier bellwether trials.</w:t>
      </w:r>
    </w:p>
    <w:p>
      <w:pPr>
        <w:spacing w:after="0" w:line="17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July 15, 2016 the district court granted in part and denied in part GM's motion to dismiss plaintiffs' complaint seeking damages for alleged economic loss relating to the ignition switch and other recalls by GM in 2014. The district court dismissed plaintiffs' claims brought under the Racketeer Influenced and Corrupt Organization Act (RICO), and those brought by any plaintiff whose vehicle was not allegedly defective when sold. The district court also rejected Plaintiffs' broadest theory of damages – that plaintiffs could seek recovery for alleged reduction in the value of their vehicles due to damage to GM's reputation and brand as a result of the ignition switch matter. The district court also held that plaintiffs did not have a common basis for their claims across all defects and models to proceed as a single class, and that the remaining claims may have to proceed individually or in subclasses of vehicles affected by a common defect. Further, the district court held that the named plaintiffs may assert claims only on behalf of owners of the same vehicle models that they themselves purchased (or leased) or models with sufficiently similar defects, and that it will not specify the specific permissible class claims until the class-certification stage. Finally, the district court granted GM's motion to dismiss with respect to certain state law claims but denied it as to other state law claims. The court held that the viability of state law claims will depend on each state's specific laws and plaintiffs' specific factual allegations. While the ruling addressed post-bankruptcy claims, we believe the district court's legal holdings should apply to limit plaintiffs' pre-bankruptcy claims similarly. On September 15, 2016, Plaintiffs filed a Fourth Amended Consolidated Complaint amending their economic-loss claims. On December 7, 2016 GM moved to dismiss certain claims in that complaint as well.</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(2009 Sale Order)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appealed the Bankruptcy Court’s decision and we cross appealed with respect to certain issues to preserve our rights.</w:t>
      </w:r>
    </w:p>
    <w:p>
      <w:pPr>
        <w:spacing w:after="0" w:line="178"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July 13, 2016 a three judge panel of the United States Court of Appeals for the Second Circuit (Second Circuit) issued a decision and judgment affirming in part, reversing in part, and vacating portions of the Bankruptcy Court's April 15, 2015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economic-loss claims. The Second Circuit also vacated that portion of the Bankruptcy Court judgment enforcing the 2009 Sale Order against plaintiffs with pre-sale claims based on defects other than the ignition switch and remanded that issue to the Bankruptcy Court for further proceedings. The Second Circuit denied our request for an en banc review of the panel's decision and judgment. On December 13, 2016 we petitioned for certiorari to the United States Supreme Court. In 2014 GM voluntarily established the Ignition Switch Recall Compensation Program (the Program), administered by an independent administrator, which provided compensation for individuals who died or suffered personal injuries (or for their families) as a result of the ignition switch defect, both before and after bankruptcy. The Program completed its claims review process in the three months ended September 30, 2015, but continues to process acceptances that require court approval and resolve liens related to accepted claims. Accident victims (or their families) that accept a payment under the Program agree to settle all claims against GM related to the accident. As a result, certain pre-closing personal injury claims relating to the ignition switch defect were resolved through this program.</w:t>
      </w:r>
    </w:p>
    <w:p>
      <w:pPr>
        <w:spacing w:after="0" w:line="18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 On May 23, 2016 the Eastern District entered a judgment approving a class-wide settlement of the Shareholder Class Action for $300 million. One shareholder has filed an appeal of the decision approving the settlement.</w:t>
      </w:r>
    </w:p>
    <w:p>
      <w:pPr>
        <w:spacing w:after="0" w:line="15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February 11, 2016 the Delaware Supreme Court affirmed the dismissal of four consolidated shareholder derivative actions that had been pending in the Delaware Chancery Court. In light of the Delaware Supreme Court’s decision, proceedings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resumed in the two consolidated shareholder derivative actions in the Eastern District that had been stayed pending disposition of the Delaware cases and the Eastern District is now considering our motion to dismiss in those actions. In early 2016 an additional shareholder derivative action was filed in the Eastern District against certain current and former GM directors and officers making similar allegations to the two other shareholder derivative actions that are pending in the Eastern District. This new derivative action has been transferred to the same judge handling those two other shareholder derivative actions. Two derivative actions filed in the Circuit Court of Wayne County, Michigan, which have been consolidated, are stayed pending disposition of the federal derivative actions.</w:t>
      </w:r>
    </w:p>
    <w:p>
      <w:pPr>
        <w:spacing w:after="0" w:line="193"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connection with the 2014 recalls, we have from time to time received subpoenas and other requests for information related to investigations by agencies or other representatives of U.S. federal, state and the Canadian governments. On January 18, 2017, GM resolved an SEC investigation. On December 15, 2016, we received notice of a Final Decision and Order from the Federal Trade Commission closing its investigation into GM's certified pre-owned vehicle advertising. The Final Decision and Order does not require any payment by GM, but it does require GM to make certain advertising disclosures and send notices to certain customers who purchased certified pre-owned vehicles. Ongoing matters of investigations as of December 31, 2016 include litigation initiated by the Arizona Attorney General, litigation initiated by the Orange County District Attorney, and investigations by 49 state attorneys general which may result in litigation. We believe we are cooperating fully with all reasonable pending requests for information. We have accrued for these matters to the extent required by law and regulations. Such matters could in the future result in the imposition of material damages, fines, civil consent orders, civil and criminal penalties or other remedies.</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Under the DPA we consented to the filing of a two-count information (the information) in the district court charging GM with a scheme to conceal material facts from a government regulator, in violation of Title 18, United States Code, Section 1001, and wire fraud, in violation of Title 18, United States Code, Section 1343. We have pled not guilty to the charges alleged in the information. Under the DPA we paid the United States $900 million as a financial penalty. Payment was made in the three months ended September 30, 2015.</w:t>
      </w:r>
    </w:p>
    <w:p>
      <w:pPr>
        <w:spacing w:after="0" w:line="18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Pursuant to the DPA, the Office agreed to recommend to the district court that prosecution of GM on the information be deferred for three years. The Office also agreed that if we are in compliance with all of our obligations under the DPA, the Office will, within 30 days after the expiration of the period of deferral (including any extensions thereto), seek dismissal with prejudice of the information filed against GM. The DPA further provides that, in the event the Office determines during the period of deferral of prosecution (or any extensions thereof) that we have violated any provision of the DPA, the Office may in its discretion either prosecute GM on the charges alleged in the information or impose an extension of the period of deferral of prosecution of up to one additional year, but in no event will the total term of the deferral-of-prosecution period under the DPA exceed four years.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DPA, we also agreed to retain an independent monitor (the Monitor) for a period of three years to review and assess our policies, practices or procedures related to statements about motor vehicle safety, the provision of information to those responsible for recall decisions, recall processes and addressing known defects in certified pre-owned vehicles. The Office has the authority to lengthen the Monitor's term up to one year if the Office determines we have violated the DPA. Likewise, the Office may shorten the Monitor's term if the Office determines that a monitor is no longer necessary. We are required to pay the compensation and expenses of the Monitor and of the persons hired under his or her authority. The Monitor commenced his term in November 2015.</w:t>
      </w:r>
    </w:p>
    <w:p>
      <w:pPr>
        <w:spacing w:after="0" w:line="19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total amount accrued at December 31, 2016 reflects amounts for a combination of settled but unpaid matters, and for the remaining unsettled investigations, claims and/or lawsuits relating to the ignition switch recalls and other related recalls represents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with regard to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further proceedings following the Supreme Court's decision as to whether it will grant review of the Second Circuit's July 13, 2016 decision, and further proceedings following the district court's July 15, 2016 decision and its decision on GM's motion to dismiss the Fourth Amended and Consolidated Complaint in the multidistrict litigation. We will continue to consider resolution of pending matters involving ignition switch recalls and other recalls where it makes sense to do so.</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Canada Dealers' Claim </w:t>
      </w:r>
      <w:r>
        <w:rPr>
          <w:rFonts w:ascii="Arial" w:cs="Arial" w:eastAsia="Arial" w:hAnsi="Arial"/>
          <w:sz w:val="18"/>
          <w:szCs w:val="18"/>
          <w:color w:val="auto"/>
        </w:rPr>
        <w:t>On February 12, 2010 a claim was filed in the Ontario Superior Court of Justice against GM Canada on behalf of a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of over 200 former GM Canada dealers (the Plaintiff Dealers) which had entered into wind-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750 million Canadian Dollars,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All parties have filed notices of appeal. The appeals and cross appeals were heard by the Ontario Court of Appeal in January 2017.</w:t>
      </w:r>
    </w:p>
    <w:p>
      <w:pPr>
        <w:spacing w:after="0" w:line="18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Commencing on or about September 29, 2010 current and former hourly employees of GM Korea Company (GM Korea) filed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the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611 billion South Korean Won (equivalent to $506 million) at December 31, 2016,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At December 31, 2016 we identified a reasonably possible loss for salary cases in excess of the amounts accrued to be 186 billion South Korean Won (equivalent to $154 million). Both the scope of claims asserted and GM Korea's assessment of any or all of the individual claim elements may change if new information becomes available. These cases are currently pending before various courts in Korea.</w:t>
      </w:r>
    </w:p>
    <w:p>
      <w:pPr>
        <w:spacing w:after="0" w:line="18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governmental investigations, claims and proceedings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pending against us or our related companies or joint ventures, including matters arising out of alleged product defects; employment-related matters; governmental regulations relating to product and workplace safety, emissions and fuel economy; product warranties; financial services; dealer, supplier and other contractual relationships; government regulations relating to payments to foreign companies; government regulations relating to competition issues; tax-related matters not subject to the provision of ASC 740, Income Taxes (indirect tax-related matters); and environmental protection laws, including laws regulating air emissions, water discharges, waste management and environmental remediation. 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w:t>
      </w:r>
    </w:p>
    <w:p>
      <w:pPr>
        <w:spacing w:after="0" w:line="17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or provide an alternative form of security which may range from $200 million to $600 million at December 31, 2016. Some of the matters may involve compensatory, punitive or other treble damage claims, environmental remediation programs or sanctions that, if granted, could require us to pay damages or make other expenditures in amounts that could not be reasonably estimated at December 31, 2016. We believe that appropriate accruals have been established for losses that are probable and can be reasonably estimated. For indirect tax-related matters we estimate our reasonably possible loss in excess of amounts accrued to be up to approximately $1.1 billion at December 31,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On May 4, 2016 NHTSA issued an amended consent order requiring Takata to file DIRs for previously unrecalled front airbag inflators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an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and on January 3, 2017, Takata issued its second set of DIRs.</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Although we do not believe there is a safety defect at this time in any GM vehicles within scope of the Takata DIR,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certain GMT900 vehicles equipped with Takata inflators. On November 28, 2016 NHTSA granted GM's deferral request in connection with this petition. The deferral provides GM until August 31, 2017 to present evidence and analysis that our vehicles do not pose an unreasonable risk to motor vehicle safety. We believe that this timeline will permit us to complete our testing of the relevant non-desiccated Takata inflators in GMT900 vehicles and to prove to NHTSA that the inflators in these vehicles do not present an unreasonable risk to safety and that no repair will ultimately be required.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degradation.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inflators in these vehicles, we estimate a reasonably possible cost of up to $880 million for the 6.9 million vehicles subject to either the Preliminary DIRs or future Takata DIRs under the amended consent order.</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January 27, 2017 we were aware of one putative class action pending against GM in federal court in the U.S., one putative class action in Mexico and seven putative class actions pending in various Provincial Courts in Canada arising out of allegations that airbag inflators manufactured by Takata are defective. In addition, the New Mexico Attorney General has initiated litigation against Takata and numerous automotive manufacturers, including GM. At this early stage of these proceedings, we are unable to provide an evaluation of the likelihood that a loss will be incurred or an estimate of the amounts or range of possible loss.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December 31, 2016 and 2015 liabilities of $656 million and $712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Guarantees </w:t>
      </w:r>
      <w:r>
        <w:rPr>
          <w:rFonts w:ascii="Arial" w:cs="Arial" w:eastAsia="Arial" w:hAnsi="Arial"/>
          <w:sz w:val="17"/>
          <w:szCs w:val="17"/>
          <w:color w:val="auto"/>
        </w:rPr>
        <w:t>We enter into indemnification agreements for liability claims involving products manufactured primarily by certain joint ventures.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vehicle repurchase guarantees and payment guarantees on commercial loans outstanding with third parties such as dealers. These guarantees terminate in years ranging from 2017 to 2031 or upon the occurrence of specific events or are ongoing. We believe that the related potential costs incurred are adequately covered and our recorded accruals are insignificant. The maximum liability, calculated as future undiscounted payments, was $4.4 billion and $2.6 billion for these guarantees at December 31, 2016 and 2015, the majority of which relate to the indemnification agreements.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Credit Cards </w:t>
      </w:r>
      <w:r>
        <w:rPr>
          <w:rFonts w:ascii="Arial" w:cs="Arial" w:eastAsia="Arial" w:hAnsi="Arial"/>
          <w:sz w:val="18"/>
          <w:szCs w:val="18"/>
          <w:color w:val="auto"/>
        </w:rPr>
        <w:t>Credit card programs offer rebates that can be applied primarily against the purchase or lease of our vehicles. At December 31, 2016 and 2015,</w:t>
      </w:r>
      <w:r>
        <w:rPr>
          <w:rFonts w:ascii="Arial" w:cs="Arial" w:eastAsia="Arial" w:hAnsi="Arial"/>
          <w:sz w:val="18"/>
          <w:szCs w:val="18"/>
          <w:b w:val="1"/>
          <w:bCs w:val="1"/>
          <w:color w:val="auto"/>
        </w:rPr>
        <w:t xml:space="preserve"> </w:t>
      </w:r>
      <w:r>
        <w:rPr>
          <w:rFonts w:ascii="Arial" w:cs="Arial" w:eastAsia="Arial" w:hAnsi="Arial"/>
          <w:sz w:val="18"/>
          <w:szCs w:val="18"/>
          <w:color w:val="auto"/>
        </w:rPr>
        <w:t>our redemption liability was insignificant, our deferred revenue was $286 million and $258 million, and qualified cardholders had rebates available, net of deferred program revenue, of $1.9 billion and $2.0 billion. Our redemption liability and deferred revenue are recorded in Accrued liabilities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Noncancelable Operating Leases </w:t>
      </w:r>
      <w:r>
        <w:rPr>
          <w:rFonts w:ascii="Arial" w:cs="Arial" w:eastAsia="Arial" w:hAnsi="Arial"/>
          <w:sz w:val="18"/>
          <w:szCs w:val="18"/>
          <w:color w:val="auto"/>
        </w:rPr>
        <w:t>The following table summarizes our minimum commitments under noncancelable operating leases having initial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one year, primarily for property: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commitments(a)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jc w:val="right"/>
              <w:ind w:right="439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Rental expense under operating leases was $308 million, $357 million and $444 million in the years ended December 31, 2016, 2015 and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 income (loss)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469</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2,152</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Borders>
              <w:bottom w:val="single" w:sz="8" w:color="auto"/>
            </w:tcBorders>
          </w:tcPr>
          <w:p>
            <w:pPr>
              <w:spacing w:after="0"/>
              <w:rPr>
                <w:sz w:val="24"/>
                <w:szCs w:val="24"/>
                <w:color w:val="auto"/>
              </w:rPr>
            </w:pPr>
          </w:p>
        </w:tc>
      </w:tr>
      <w:tr>
        <w:trPr>
          <w:trHeight w:val="263"/>
        </w:trPr>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Non-U.S.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Provisions are made for estimated U.S. and non-U.S. income taxes, less available tax credits and deductions, which may be incurred on the remittance of our basis differences in investments in foreign subsidiaries and corporate joint ventures not deemed</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341"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 indefinitely reinvested. Taxes have not been provided on basis differences in investments primarily as a result of earnings in foreign subsidiaries which are deemed indefinitely reinvested of $2.4 billion and $2.8 billion at December 31, 2016 and 2015. Additional basis differences related to investments in nonconsolidated China JVs exist of $4.1 billion at December 31, 2016 and 2015 as a result of fresh-start reporting. Quantification of the deferred tax liability, if any, associated with indefinitely reinvested basis differences is not practicable. The non-U.S. deferred income tax benefit in the year ended December 31, 2015 relates primarily to the release of valuation allowances in GME.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U.S. federal statutory income tax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and local tax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income taxed at other than 35%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tax on Non-U.S.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tax laws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manufacturing incentives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prior year tax matters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Realization of basis differences in affiliates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remeasurement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Financial penalty under the DPA(a)</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income tax expense (benefit)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Note 15 for additional information on the DPA.</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Deferred Income Tax Assets and Liabilities </w:t>
      </w:r>
      <w:r>
        <w:rPr>
          <w:rFonts w:ascii="Arial" w:cs="Arial" w:eastAsia="Arial" w:hAnsi="Arial"/>
          <w:sz w:val="18"/>
          <w:szCs w:val="18"/>
          <w:color w:val="auto"/>
        </w:rPr>
        <w:t>Deferred income tax assets and liabilities at December 31, 2016 and 2015 reflect the effect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Pension and other employee benefit plans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Warranties, dealer and customer allowances, claims and discounts(a)</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Property, plants and equipment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capitalized research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U.S. operating loss and tax credit carryforwards(b)</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operating loss and tax credit carryforwards(c)</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Miscellaneous(a)</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Less: valuation allowances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34,588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36,257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6970"/>
              <w:spacing w:after="0"/>
              <w:rPr>
                <w:sz w:val="20"/>
                <w:szCs w:val="20"/>
                <w:color w:val="auto"/>
              </w:rPr>
            </w:pPr>
            <w:r>
              <w:rPr>
                <w:rFonts w:ascii="Arial" w:cs="Arial" w:eastAsia="Arial" w:hAnsi="Arial"/>
                <w:sz w:val="18"/>
                <w:szCs w:val="18"/>
                <w:color w:val="auto"/>
                <w:w w:val="88"/>
              </w:rPr>
              <w:t>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41"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left="340" w:hanging="332"/>
        <w:spacing w:after="0" w:line="25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2015 deferred tax assets related to certain sales incentives were reclassified from Miscellaneous to Warranties, dealer and customer allowances, claims and discounts to conform to the current period presentation.</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2016 U.S. operating loss and tax credit carryforwards of $8.7 billion expire by 2036 if not utilized and the remaining balance of $0.3 billion may be carried forward indefinitely.</w:t>
      </w:r>
    </w:p>
    <w:p>
      <w:pPr>
        <w:ind w:left="34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2016 Non-U.S. operating loss and tax credit carryforwards of $1.3 billion expire by 2036 if not utilized and the remaining balance of $4.3 billion may be carried forward indefinitely.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Allowances </w:t>
      </w:r>
      <w:r>
        <w:rPr>
          <w:rFonts w:ascii="Arial" w:cs="Arial" w:eastAsia="Arial" w:hAnsi="Arial"/>
          <w:sz w:val="18"/>
          <w:szCs w:val="18"/>
          <w:color w:val="auto"/>
        </w:rPr>
        <w:t>At December 31, 2016 valuation allowances against deferred tax assets of $4.6 billion were comprised of cumulative losses and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primarily in GME, South Korea and certain U.S. states.</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At December 31, 2015 as a result of business restructuring and improving profitability in certain European businesses evidenced by three years of adjusted cumulative earnings and the completion of our near- and medium-term business plans in the three months ended December 31, 2015 that forecast continuing improvement in profitability, we determined that it was more likely than not that our future earnings will be sufficient to realize the deferred tax assets in these European businesses. Accordingly we reversed $3.9 billion of GME's valuation allowances resulting in an income tax benefit.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following table summarizes activity of the total amounts of unrecognized tax benefits: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Additions to current year tax positions</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prior years'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Reductions to prior years' tax positions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1,877</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December 31, 2016 and 2015 there were $712 million and $896 million of unrecognized tax benefits that if recognized would favorably affect our effective tax rate in the future. In the years ended December 31, 2016, 2015 and 2014 income tax related interest and penalties were insignificant. At December 31, 2016 and 2015 we had liabilities of $172 million and $183 million for income tax related interest and penalties.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December 31, 2016 it is not possible to reasonably estimate the expected change to the total amount of unrecognized tax benefits in the next twelve months.</w:t>
      </w:r>
    </w:p>
    <w:p>
      <w:pPr>
        <w:spacing w:after="0" w:line="166" w:lineRule="exact"/>
        <w:rPr>
          <w:sz w:val="20"/>
          <w:szCs w:val="20"/>
          <w:color w:val="auto"/>
        </w:rPr>
      </w:pPr>
    </w:p>
    <w:p>
      <w:pPr>
        <w:jc w:val="both"/>
        <w:ind w:firstLine="162"/>
        <w:spacing w:after="0" w:line="298"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Income tax returns are filed in multiple jurisdictions and are subject to examination by taxing authorities throughout the world.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open tax years from 2006 to 2016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 Given the global nature of our operations there is a risk that transfer pricing disputes may arise.</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net operating loss carryforwards in Germany through November 30, 2009 that, as a result of reorganizations that took place in 2008 and 2009, were not recorded as deferred tax assets. Depending on the outcome of pending European court decisions these loss carryforwards may be available to reduce future taxable income in Germany.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and Other Initiatives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720" w:type="dxa"/>
            <w:vAlign w:val="bottom"/>
          </w:tcPr>
          <w:p>
            <w:pPr>
              <w:spacing w:after="0"/>
              <w:rPr>
                <w:sz w:val="21"/>
                <w:szCs w:val="21"/>
                <w:color w:val="auto"/>
              </w:rPr>
            </w:pPr>
          </w:p>
        </w:tc>
        <w:tc>
          <w:tcPr>
            <w:tcW w:w="440" w:type="dxa"/>
            <w:vAlign w:val="bottom"/>
          </w:tcPr>
          <w:p>
            <w:pPr>
              <w:jc w:val="right"/>
              <w:ind w:right="33"/>
              <w:spacing w:after="0"/>
              <w:rPr>
                <w:sz w:val="20"/>
                <w:szCs w:val="20"/>
                <w:color w:val="auto"/>
              </w:rPr>
            </w:pPr>
            <w:r>
              <w:rPr>
                <w:rFonts w:ascii="Arial" w:cs="Arial" w:eastAsia="Arial" w:hAnsi="Arial"/>
                <w:sz w:val="18"/>
                <w:szCs w:val="18"/>
                <w:color w:val="auto"/>
                <w:w w:val="99"/>
              </w:rPr>
              <w:t>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Included temporary layoff benefits of $354 million at December 31, 2014 for GMNA.</w:t>
      </w:r>
    </w:p>
    <w:p>
      <w:pPr>
        <w:spacing w:after="0" w:line="2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2016 restructuring and other initiatives related primarily to charges of $240 million at GMNA related to the cash severance incentive program to qualified U.S. hourly employees under our 2015 labor agreement with the UAW, and separation and other programs in Australia, Korea and India and the withdrawal of the Chevrolet brand from Europe which had costs of $110 million, a total cost since inception in 2013 of $805 million and affected a total of approximately 4,510 employees in GMIO through December 31, 2016. We expect to complete these previously announced programs in GMIO in 2017 and incur additional restructuring and other charges related to these programs of approximately $65 million.</w:t>
      </w:r>
    </w:p>
    <w:p>
      <w:pPr>
        <w:spacing w:after="0" w:line="17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2015 restructuring and other initiatives related primarily to the reversal of the U.S. Supplemental Unemployment Benefit Plan accrual for temporary layoff benefits of $317 million resulting from a plan amendment in the 2015 UAW Agreement at GMNA and the separation and other programs in Australia, Korea, Thailand, Indonesia and India and the withdrawal of the Chevrolet brand from Europe which had costs incurred of $208 million, a total cost since inception of $722 million and affected a total of approximately 5,490 employees in GMIO through December 31, 2015.</w:t>
      </w:r>
    </w:p>
    <w:p>
      <w:pPr>
        <w:spacing w:after="0" w:line="15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year ended December 31, 2014 restructuring and other initiatives related primarily to the termination of all vehicle and transmission production at our Bochum, Germany facility completed in December 2014 which had costs incurred of $620 million and a total cost since inception of $841 million at GME through December 31, 2014 and the separation programs in Australia and Korea, the withdrawal of the Chevrolet brand from Europe and the cessation of manufacturing in Australia which had costs incurred of $193 million and a total cost since inception of $514 million at GMIO through December 31, 2014.</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Exit of Russia </w:t>
      </w:r>
      <w:r>
        <w:rPr>
          <w:rFonts w:ascii="Arial" w:cs="Arial" w:eastAsia="Arial" w:hAnsi="Arial"/>
          <w:sz w:val="17"/>
          <w:szCs w:val="17"/>
          <w:color w:val="auto"/>
        </w:rPr>
        <w:t>In March 2015 we announced plans to exit Russia and ceased manufacturing, eliminated Opel brand distribution and reduced Chevrolet brand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in the year ended December 31, 2015. This decision impacted 300 dealers and distributors and 1,130 employees. As a result we recorded pre-tax charges of $443 million at GME and GMIO through December 31, 2015, net of noncontrolling interests of $56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Interest Income and Other Non-Operating Income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185</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Foreign currency transaction and remeasurement gains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378</w:t>
            </w:r>
          </w:p>
        </w:tc>
      </w:tr>
      <w:tr>
        <w:trPr>
          <w:trHeight w:val="27"/>
        </w:trPr>
        <w:tc>
          <w:tcPr>
            <w:tcW w:w="7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interest income and other non-operating income, net</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823</w:t>
            </w:r>
          </w:p>
        </w:tc>
      </w:tr>
      <w:tr>
        <w:trPr>
          <w:trHeight w:val="20"/>
        </w:trPr>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Stockholders’ Equity and Noncontrolling Interests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Preferred and Common Stock </w:t>
      </w:r>
      <w:r>
        <w:rPr>
          <w:rFonts w:ascii="Arial" w:cs="Arial" w:eastAsia="Arial" w:hAnsi="Arial"/>
          <w:sz w:val="18"/>
          <w:szCs w:val="18"/>
          <w:color w:val="auto"/>
        </w:rPr>
        <w:t>We have 2.0 billion shares of preferred stock and 5.0 billion shares of common stock authorized for issuance.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and 2015 we had 1.5 billion shares of common stock issued and outstanding.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were $1.52, $1.38 and $1.20 and our total dividends paid on common stock were $2.3 billion, $2.2 billion and $1.9 billion for the years ended December 31, 2016, 2015 and 2014.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years ended December 31, 2016 and 2015 we purchased 77 million and 102 million shares of our outstanding common stock for $2.5 billion and $3.5 billion as part of the common stock repurchase program announced in March 2015, which our Board of Directors increased and extended in January 2016 and January 2017.</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2015 the number of warrants outstanding was 70 million consisting of two tranches of warrants that we issued in July 2009.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tranche expired on July 10, 2016. The second tranche is exercisable at any time prior to July 10, 2019 at an exercise price of $18.33 per share. We had 42 million of these warrants outstanding at December 31, 2016.</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In December 2014 we redeemed all of the remaining outstanding shares of our Series A Preferred Stock at a price equal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liquidation amount, including accumulated dividends, of $3.9 billion, which reduced Net income attributable to common stockholders by $809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b w:val="1"/>
                <w:bCs w:val="1"/>
                <w:color w:val="auto"/>
              </w:rPr>
              <w:t>Foreign Currency Translation Adjustments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 before reclassification adjustment, net of tax(a)</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Reclassification adjustment, net of tax(a)(b)</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 net of tax(a)</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attributable to noncontrolling interests, net of tax(a)</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Defined Benefit Plans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Balance at beginning of period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(5,999)</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(7,006)</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(2,501)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Tax expense (benefit)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reclassification adjustment,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Reclassification adjustment, net of tax(a)(c)</w:t>
            </w:r>
          </w:p>
        </w:tc>
        <w:tc>
          <w:tcPr>
            <w:tcW w:w="30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7"/>
                <w:szCs w:val="17"/>
                <w:color w:val="auto"/>
              </w:rPr>
              <w:t>Other comprehensive loss attributable to noncontrolling interests, net of tax(a)</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(7,006)</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6435"/>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income tax effect was insignificant in the years ended December 31, 2016, 2015 and 2014.</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Related to the Russia exit in the year ended December 31, 2015. Included in Automotive cost of sales. Refer to Note 17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6"/>
          <w:szCs w:val="16"/>
          <w:color w:val="auto"/>
        </w:rPr>
        <w:t>Included in the computation of net periodic pension and OPEB (income) expense. Refer to Note 14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pacing w:after="0" w:line="121"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3,949</w:t>
            </w:r>
          </w:p>
        </w:tc>
      </w:tr>
      <w:tr>
        <w:trPr>
          <w:trHeight w:val="22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w w:val="95"/>
              </w:rPr>
              <w:t>Less: cumulative dividends on preferred stock and charge related to redemption and purchase of</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w:t>
            </w: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9,427</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2,786</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20" w:type="dxa"/>
            <w:vAlign w:val="bottom"/>
          </w:tcPr>
          <w:p>
            <w:pPr>
              <w:spacing w:after="0"/>
              <w:rPr>
                <w:sz w:val="10"/>
                <w:szCs w:val="10"/>
                <w:color w:val="auto"/>
              </w:rPr>
            </w:pPr>
          </w:p>
        </w:tc>
        <w:tc>
          <w:tcPr>
            <w:tcW w:w="7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1,605</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97"/>
        </w:trPr>
        <w:tc>
          <w:tcPr>
            <w:tcW w:w="20" w:type="dxa"/>
            <w:vAlign w:val="bottom"/>
          </w:tcPr>
          <w:p>
            <w:pPr>
              <w:spacing w:after="0"/>
              <w:rPr>
                <w:sz w:val="24"/>
                <w:szCs w:val="24"/>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1,687</w:t>
            </w:r>
          </w:p>
        </w:tc>
      </w:tr>
      <w:tr>
        <w:trPr>
          <w:trHeight w:val="109"/>
        </w:trPr>
        <w:tc>
          <w:tcPr>
            <w:tcW w:w="20" w:type="dxa"/>
            <w:vAlign w:val="bottom"/>
          </w:tcPr>
          <w:p>
            <w:pPr>
              <w:spacing w:after="0"/>
              <w:rPr>
                <w:sz w:val="9"/>
                <w:szCs w:val="9"/>
                <w:color w:val="auto"/>
              </w:rPr>
            </w:pPr>
          </w:p>
        </w:tc>
        <w:tc>
          <w:tcPr>
            <w:tcW w:w="7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20" w:type="dxa"/>
            <w:vAlign w:val="bottom"/>
          </w:tcPr>
          <w:p>
            <w:pPr>
              <w:spacing w:after="0"/>
              <w:rPr>
                <w:sz w:val="10"/>
                <w:szCs w:val="10"/>
                <w:color w:val="auto"/>
              </w:rPr>
            </w:pPr>
          </w:p>
        </w:tc>
        <w:tc>
          <w:tcPr>
            <w:tcW w:w="7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7420" w:type="dxa"/>
            <w:vAlign w:val="bottom"/>
            <w:gridSpan w:val="2"/>
          </w:tcPr>
          <w:p>
            <w:pPr>
              <w:jc w:val="right"/>
              <w:ind w:right="6430"/>
              <w:spacing w:after="0"/>
              <w:rPr>
                <w:sz w:val="20"/>
                <w:szCs w:val="20"/>
                <w:color w:val="auto"/>
              </w:rPr>
            </w:pPr>
            <w:r>
              <w:rPr>
                <w:rFonts w:ascii="Arial" w:cs="Arial" w:eastAsia="Arial" w:hAnsi="Arial"/>
                <w:sz w:val="18"/>
                <w:szCs w:val="18"/>
                <w:color w:val="auto"/>
                <w:w w:val="87"/>
              </w:rPr>
              <w:t>__________</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340" w:right="20" w:hanging="332"/>
        <w:spacing w:after="0" w:line="26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warrants and stock options were excluded from the computation of diluted earnings per share because the securities would have had an antidilutive effect.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grant to certain employees RSUs, RSAs, PSUs and stock options (collectively, stock incentive awards) under our 2016 Equity Incentive Plan, our 2014 Long-Term Incentive Plan and, prior to our 2014 Long-Term Incentive Plan, RSUs under our 2009 Long-Term Incentive Plan. Shares awarded under the plans are subject to forfeiture if the participant leaves the company for reasons other than those permitted under the plans such as retirement, death or disability.</w:t>
      </w:r>
    </w:p>
    <w:p>
      <w:pPr>
        <w:spacing w:after="0" w:line="22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granted expire 10 years from the grant date, with two-fifths of the award becoming exercisable approximately 19 months after the date of grant and the remainder vest ratably over the next three years based on the performance of our common stock relative to that of a specified peer group.</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connection with our acquisition described in Note 9, RSAs and PSUs were granted. The RSAs vest ratably, generally over a three-year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PSUs are contingent upon achievement of specific technology and commercialization milestones.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 Incentive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Stock Incentive Awards(a)</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 Grant</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January 1, 2016</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December 31, 2016</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55.1</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6010"/>
              <w:spacing w:after="0"/>
              <w:rPr>
                <w:sz w:val="20"/>
                <w:szCs w:val="20"/>
                <w:color w:val="auto"/>
              </w:rPr>
            </w:pPr>
            <w:r>
              <w:rPr>
                <w:rFonts w:ascii="Arial" w:cs="Arial" w:eastAsia="Arial" w:hAnsi="Arial"/>
                <w:sz w:val="13"/>
                <w:szCs w:val="13"/>
                <w:color w:val="auto"/>
                <w:w w:val="85"/>
              </w:rPr>
              <w:t>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4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80"/>
        <w:spacing w:after="0"/>
        <w:tabs>
          <w:tab w:leader="none" w:pos="5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target amount of PSUs.</w:t>
      </w:r>
    </w:p>
    <w:p>
      <w:pPr>
        <w:sectPr>
          <w:pgSz w:w="11900" w:h="16838" w:orient="portrait"/>
          <w:cols w:equalWidth="0" w:num="1">
            <w:col w:w="11420"/>
          </w:cols>
          <w:pgMar w:left="240" w:top="341"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41"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Total compensation expense related to the above awards was $650 million, $446 million and $245 million in the years ended December 31, 2016, 2015 and 2014.</w:t>
      </w:r>
    </w:p>
    <w:p>
      <w:pPr>
        <w:spacing w:after="0" w:line="21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At December 31, 2016 the total unrecognized compensation expense for nonvested equity awards granted was $323 million. This expense is expected to be recorded over a weighted-average period of 2.4 years. The total fair value of stock incentive awards vested was $325 million, $228 million and $221 million in the years ended December 31, 2016, 2015 and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Supplementary Quarterly Financial Information (Unaudited)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supplementary quarterly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4,691</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1,835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426"/>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4th 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gross margin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4,756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6,266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3.92</w:t>
            </w:r>
          </w:p>
        </w:tc>
      </w:tr>
    </w:tbl>
    <w:p>
      <w:pPr>
        <w:spacing w:after="0" w:line="24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 three months ended December 31, 2015 included an income tax benefit of $3.9 billion related to the reversal of deferred tax asset valuation allowances at GME, and a gain on extinguishment of debt of $449 million related to unsecured debt in Brazil in GMSA on a pre-tax basis. The three months ended September 30, 2015 included charges for various legal matters of approximately $1.5 billion related to the Ignition Switch Recall in Corporate on a pre-tax basis. The three months ended June 30, 2015 included asset impairment charges of $297 million related to our Thailand subsidiaries in GMIO, and a charge of $604 million for the Venezuela currency devaluation in GMSA, each on a pre-tax basis. The three months ended March 31, 2015 included costs related to the Russia exit of $337 million in GME and $91 million in GMIO and a charge of $150 million for the Ignition Switch Recall compensation program in Corporate, each on a pre-tax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12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analyze the results of our business through the following segments: GMNA, GME, GMIO, GMSA and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41"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entities design, manufacture and/or market vehicles under the Baojun, Buick, Cadillac, Chevrolet, Jiefang and Wuling brands.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operations' interest income and interest expense, Maven, corporate expenditures including autonomous vehicle-related engineering and other costs and certain nonsegment specific revenues and expenses are recorded centrally in Corporate. Corporate assets consist primarily of cash and cash equivalents, marketable securities, our investment in Lyft, goodwill, intangibles, Maven vehicles and intercompany balances. All intersegment balances and transactions have been eliminated in consolidation. The following tables summarize key financial information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At and For the Year Ended December 31,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119,022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156,849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166,380</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12,047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1,135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(374)</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11,631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12,530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11,684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(2,416)</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159</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9,427</w:t>
            </w:r>
          </w:p>
        </w:tc>
      </w:tr>
      <w:tr>
        <w:trPr>
          <w:trHeight w:val="103"/>
        </w:trPr>
        <w:tc>
          <w:tcPr>
            <w:tcW w:w="2420" w:type="dxa"/>
            <w:vAlign w:val="bottom"/>
            <w:shd w:val="clear" w:color="auto" w:fill="CCEEFF"/>
          </w:tcPr>
          <w:p>
            <w:pPr>
              <w:ind w:left="40"/>
              <w:spacing w:after="0" w:line="103" w:lineRule="exact"/>
              <w:rPr>
                <w:sz w:val="20"/>
                <w:szCs w:val="20"/>
                <w:color w:val="auto"/>
              </w:rPr>
            </w:pPr>
            <w:r>
              <w:rPr>
                <w:rFonts w:ascii="Arial" w:cs="Arial" w:eastAsia="Arial" w:hAnsi="Arial"/>
                <w:sz w:val="11"/>
                <w:szCs w:val="11"/>
                <w:color w:val="auto"/>
              </w:rPr>
              <w:t>Equity in net assets of nonconsolidated</w:t>
            </w: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8,996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103,738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13,262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20,205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7,439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27,163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(36,752)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135,055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87,947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221,690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9,542</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5,440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10,152</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w:t>
            </w: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2,282</w:t>
            </w: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a net charge of $300 million for legal related matters related to the ignition switch recall.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4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At and For the Year Ended December 31,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106,622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152,356</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11,026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(813)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1,397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(622)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9,987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10,814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7,718</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benefit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1,897</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9,687</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line="14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8,113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8,215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9,201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92,480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129,421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66,081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194,338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485</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7,784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7,874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7,171</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primarily of costs related to the Russia exit of $353 million in GME and $85 million in GMIO, which is net of noncontrolling interests; asset impairment charges of $297 million related to our Thailand subsidiaries in GMIO; Venezuela currency devaluation and asset impairment charges of $720 million in GMSA; charges related to the ignition switch recall including the compensation program of $195 million and various settlements and legal related matters of approximately $1.6 billion in Corporate; and other of $41 million.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At and For the Year Ended December 31,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101,199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155,929</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jc w:val="center"/>
              <w:ind w:right="1697"/>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6,603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1,222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(180)</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5,696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6,494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jc w:val="center"/>
              <w:ind w:right="1697"/>
              <w:spacing w:after="0"/>
              <w:rPr>
                <w:sz w:val="20"/>
                <w:szCs w:val="20"/>
                <w:color w:val="auto"/>
              </w:rPr>
            </w:pPr>
            <w:r>
              <w:rPr>
                <w:rFonts w:ascii="Arial" w:cs="Arial" w:eastAsia="Arial" w:hAnsi="Arial"/>
                <w:sz w:val="13"/>
                <w:szCs w:val="13"/>
                <w:color w:val="auto"/>
                <w:w w:val="85"/>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4,246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3,949</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line="14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420" w:type="dxa"/>
            <w:vAlign w:val="bottom"/>
          </w:tcPr>
          <w:p>
            <w:pPr>
              <w:jc w:val="center"/>
              <w:ind w:right="1677"/>
              <w:spacing w:after="0"/>
              <w:rPr>
                <w:sz w:val="20"/>
                <w:szCs w:val="20"/>
                <w:color w:val="auto"/>
              </w:rPr>
            </w:pPr>
            <w:r>
              <w:rPr>
                <w:rFonts w:ascii="Arial" w:cs="Arial" w:eastAsia="Arial" w:hAnsi="Arial"/>
                <w:sz w:val="13"/>
                <w:szCs w:val="13"/>
                <w:color w:val="auto"/>
                <w:w w:val="92"/>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8,254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8,350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92,781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24,308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131,484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177,311</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4,985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7,039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7,091</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6,238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 excluding goodwill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2,094</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7"/>
              <w:spacing w:after="0" w:line="144" w:lineRule="exact"/>
              <w:rPr>
                <w:sz w:val="20"/>
                <w:szCs w:val="20"/>
                <w:color w:val="auto"/>
              </w:rPr>
            </w:pPr>
            <w:r>
              <w:rPr>
                <w:rFonts w:ascii="Arial" w:cs="Arial" w:eastAsia="Arial" w:hAnsi="Arial"/>
                <w:sz w:val="13"/>
                <w:szCs w:val="13"/>
                <w:color w:val="auto"/>
                <w:w w:val="88"/>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a catch-up adjustment related to the change in estimate for recall campaigns of $874 million in GMNA; asset impairment charges of $245 million related to our Russian subsidiaries in GME; asset impairment charges of $158 million related to our Thailand subsidiary in GMIO; Venezuela currency devaluation charges of $419 million and Goodwill impairment charges of $120 million in GMSA; a charge related to the ignition switch recall compensation program of $400 million in Corporate; and other of $111 million.</w:t>
      </w:r>
    </w:p>
    <w:p>
      <w:pPr>
        <w:spacing w:after="0" w:line="138"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Automotive revenue is attributed to geographic areas based on the country in which our subsidiary is located. GM Financial revenue is attributed to the geographic area where the financing is originated. The following table summarizes information concerning principal geographic areas:</w:t>
      </w:r>
    </w:p>
    <w:p>
      <w:pPr>
        <w:sectPr>
          <w:pgSz w:w="11900" w:h="16838" w:orient="portrait"/>
          <w:cols w:equalWidth="0" w:num="1">
            <w:col w:w="11420"/>
          </w:cols>
          <w:pgMar w:left="240" w:top="34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41"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7"/>
              </w:rPr>
              <w:t>At and For the Years Ended December 31,</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89"/>
              </w:rPr>
              <w:t>2014</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Long-Lived Assets</w:t>
            </w:r>
          </w:p>
        </w:tc>
        <w:tc>
          <w:tcPr>
            <w:tcW w:w="180" w:type="dxa"/>
            <w:vAlign w:val="bottom"/>
          </w:tcPr>
          <w:p>
            <w:pPr>
              <w:spacing w:after="0"/>
              <w:rPr>
                <w:sz w:val="13"/>
                <w:szCs w:val="13"/>
                <w:color w:val="auto"/>
              </w:rPr>
            </w:pPr>
          </w:p>
        </w:tc>
        <w:tc>
          <w:tcPr>
            <w:tcW w:w="9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Net Sales &amp;</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Long-Lived Assets</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110,848</w:t>
            </w:r>
          </w:p>
        </w:tc>
        <w:tc>
          <w:tcPr>
            <w:tcW w:w="60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93,559</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 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152,356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155,929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individual country other than the U.S. represented more than 10% of our total Net sales and revenue or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Supplemental Information for the Consolidated Statements of Cash Flows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sources (uses) of cash provided by Change in other operating assets and liabilities and Cash paid for income taxes and interest: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Wholesale receivables funded by GM Financial,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Automotive equipment on operating leases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paid for income taxes and interest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Cash paid for interest (net of amounts capitalized) – Automotive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(net of amounts capitalized) – GM Financial</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cash paid for interest (net of amounts capitalized)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41"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December 31, 2016.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December 31, 2016.</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effective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72"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Our management performed an assessment of the effectiveness of our internal control over financial reporting at December 31, 2016,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at December 31, 2016. Based on management's assessment, we have concluded that our internal control over financial reporting was effective at December 31, 2016.</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its report which is included herein.</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December 31, 2016 that have materially affected, or are reasonably likely to materially affect, our internal control over financial reporting.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  MARY T. BARRA</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  CHARLES K. STEVENS III</w:t>
            </w:r>
          </w:p>
        </w:tc>
      </w:tr>
      <w:tr>
        <w:trPr>
          <w:trHeight w:val="27"/>
        </w:trPr>
        <w:tc>
          <w:tcPr>
            <w:tcW w:w="344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440" w:type="dxa"/>
            <w:vAlign w:val="bottom"/>
          </w:tcPr>
          <w:p>
            <w:pPr>
              <w:ind w:left="40"/>
              <w:spacing w:after="0"/>
              <w:rPr>
                <w:sz w:val="20"/>
                <w:szCs w:val="20"/>
                <w:color w:val="auto"/>
              </w:rPr>
            </w:pPr>
            <w:r>
              <w:rPr>
                <w:rFonts w:ascii="Arial" w:cs="Arial" w:eastAsia="Arial" w:hAnsi="Arial"/>
                <w:sz w:val="18"/>
                <w:szCs w:val="18"/>
                <w:color w:val="auto"/>
              </w:rPr>
              <w:t>Mary T. Barra</w:t>
            </w:r>
          </w:p>
        </w:tc>
        <w:tc>
          <w:tcPr>
            <w:tcW w:w="3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Charles K. Stevens III</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Chairman &amp; Chief Executive Officer</w:t>
            </w:r>
          </w:p>
        </w:tc>
        <w:tc>
          <w:tcPr>
            <w:tcW w:w="3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7, 2017</w:t>
            </w:r>
          </w:p>
        </w:tc>
        <w:tc>
          <w:tcPr>
            <w:tcW w:w="30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February 7, 2017</w:t>
            </w:r>
          </w:p>
        </w:tc>
      </w:tr>
      <w:tr>
        <w:trPr>
          <w:trHeight w:val="459"/>
        </w:trPr>
        <w:tc>
          <w:tcPr>
            <w:tcW w:w="3440" w:type="dxa"/>
            <w:vAlign w:val="bottom"/>
          </w:tcPr>
          <w:p>
            <w:pPr>
              <w:spacing w:after="0"/>
              <w:rPr>
                <w:sz w:val="24"/>
                <w:szCs w:val="24"/>
                <w:color w:val="auto"/>
              </w:rPr>
            </w:pP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 * * * * * *</w:t>
            </w:r>
          </w:p>
        </w:tc>
        <w:tc>
          <w:tcPr>
            <w:tcW w:w="49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91" w:name="page92"/>
    <w:bookmarkEnd w:id="91"/>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 xml:space="preserve">We have adopted a code of ethics that applies to the Company's directors, officers, and employees, including the CEO, CFO, Controller and Chief Accounting Officer and any other persons performing similar functions. The text of our code of ethics, “Winning With Integrity,” has been posted on our website at </w:t>
      </w:r>
      <w:r>
        <w:rPr>
          <w:rFonts w:ascii="Arial" w:cs="Arial" w:eastAsia="Arial" w:hAnsi="Arial"/>
          <w:sz w:val="17"/>
          <w:szCs w:val="17"/>
          <w:u w:val="single" w:color="auto"/>
          <w:color w:val="auto"/>
        </w:rPr>
        <w:t>www.gm.com/company/investors</w:t>
      </w:r>
      <w:r>
        <w:rPr>
          <w:rFonts w:ascii="Arial" w:cs="Arial" w:eastAsia="Arial" w:hAnsi="Arial"/>
          <w:sz w:val="17"/>
          <w:szCs w:val="17"/>
          <w:color w:val="auto"/>
        </w:rPr>
        <w:t xml:space="preserve"> at Corporate Governance. We will provide a copy of the code of ethics without charge upon request to Corporate Secretary, General Motors Company, Mail Code 482-C25-A36, 300 Renaissance Center, P.O. Box 300, Detroit, MI 48265-3000. We will disclose on our website any amendment to or waiver from our code of ethics on behalf of any of our executive officers or directors.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Information required by (Items 10, 11, 12, 13 and 14) of this Form 10-K is incorporated by reference from our definitive Proxy Statement for our 2017 Annual Meeting of Stockholders, which will be filed with the SEC, pursuant to Regulation 14A, not later than 120 days after the end of the 2016 fiscal year, all of which information is hereby incorporated by reference in, and made part of, this Form 10-K, except the information required by Item 10 with respect to our code of ethics in Item 10 above and disclosure of our executive officers, which is included in Item 1 of this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92" w:name="page93"/>
    <w:bookmarkEnd w:id="92"/>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0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All Financial Statements and Supplemental Information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and notes thereto in Item 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8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3"/>
              </w:rPr>
              <w:t>Restated Certificate of Incorporation of General Motors Company dated December 7, 2010, incorporated herein by reference to</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3.2 to the Current Report on Form 8-K of General Motors Company filed December 13,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Amended and Restated Bylaws of General Motors Company, dated as of March 4, 2016,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3.1 to the Current Report on Form 8-K of General Motors Company filed March 8,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Indenture dated as of September 27, 2013, between General Motors Company and the Bank of New York Mellon, as Trustee,</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incorporated herein by reference to Exhibit 4.2 to the Registration Statement on Form S-3 of General Motors Company filed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30,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First Supplemental Indenture dated as of September 27, 2013 to the Indenture dated as of September 27, 2013 between General</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and the Bank of New York Mellon, as Trustee, incorporated herein by reference to Exhibit 4.3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Registration Statement on Form S-4 of General Motors Company filed May 22,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Second Supplemental Indenture dated as of November 12, 2014 to the Indenture dated as of September 27, 2013 between General</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Motors Company and the Bank of New York Mellon, as Trustee, incorporated herein by reference to Exhibit 4.4 to the Current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 on Form 8-K of General Motors Company filed November 12,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18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1"/>
              </w:rPr>
              <w:t>Third Supplemental Indenture, dated as of February 23, 2016, to the Indenture, dated as of September 27, 2013, between General</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Motors Company, as issuer, and The Bank of New York Mellon, as Trustee, incorporated herein by reference to Exhibit 4.1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Current Report on Form 8-K of General Motors Company filed February 23,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Stockholders Agreement, dated as of October 15, 2009 between General Motors Company, the United States Department of the</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Treasury, Canada GEN Investment Corporation (fka 7176384 Canada Inc.), the UAW Retiree Medical Benefits Trust, and, for</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limited purposes, General Motors LLC, incorporated herein by reference to Exhibit 10.8 to the Current Report on Form 8-K of</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Motors Company filed November 16, 2009</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Equity Registration Rights Agreement, dated as of October 15, 2009, between General Motors Company, the United States</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Department of Treasury, Canada GEN Investment Corporation (fka 7176384 Canada Inc.), the UAW Retiree Medical Benefits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Trust, Motors Liquidation Company, and, for limited purposes, General Motors LLC, incorporated herein by reference to Exhibit</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10.1 to the Current Report on Form 8-K of Motors Liquidation Company filed October 21, 2009</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Letter Agreement regarding Equity Registration Rights Agreement, dated October 21, 2010, among General Motors Company,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the United States Department of Treasury, Canada GEN Investment Corporation, the UAW Retiree Medical Benefits Trust and</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Motors Liquidation Company, incorporated herein by reference to Exhibit 10.43 to Amendment No. 5 to the Registration</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Statement on Form S-1 (File No. 333-168919) of General Motors Company filed November 3,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7"/>
              </w:rPr>
              <w:t>Form of Compensation Statement, incorporated herein by reference to Exhibit 10.14 to the Annual Report on Form 10-K of</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General Motors Company 2009 Long-Term Incentive Plan, as amended January 13, 2014,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10.7 to the Annual Report on Form 10-K of General Motors Company filed February 6,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The General Motors Company Deferred Compensation Plan for Non-Employee Directors, incorporated herein by reference to</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Exhibit 10.1 to the Quarterly Report on Form 10-Q of General Motors Company filed May 6, 2011</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General Motors Company Executive Retirement Plan, with modifications through October 10, 2012, incorporated herein by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reference to Exhibit 10.12 to the Annual Report on Form 10-K of General Motors Company filed February 15, 2013</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341" w:right="259" w:bottom="1440" w:gutter="0" w:footer="0" w:header="0"/>
        </w:sectPr>
      </w:pPr>
    </w:p>
    <w:bookmarkStart w:id="93" w:name="page94"/>
    <w:bookmarkEnd w:id="93"/>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8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8"/>
              </w:rPr>
              <w:t>Amendment No. 1 to General Motors Company Executive Retirement Plan, with modifications through October 10, 2012,</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incorporated herein by reference to Exhibit 10.2 to the Current Report on Form 8-K of General Motors Company filed February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3, 2016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General Motors Company Salary Stock Plan, as amended January 13, 2014, incorporated herein by reference to Exhibit 10.10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Annual Report on Form 10-K of General Motors Company filed February 6, 2014</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General Motors Company 2014 Short-Term Incentive Plan, incorporated herein by reference to Exhibit 10.2 to the Current Report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Amendment No. 1 to General Motors Company Short-Term Incentive Plan, incorporated herein by reference to Exhibit 10.3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Current Report on Form 8-K of General Motors Company filed February 3, 2016</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General Motors Company 2014 Long-Term Incentive Plan, incorporated herein by reference to Exhibit 10.1 to the Current Report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on Form 8-K of General Motors Company filed June 12,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General Motors Company 2016 Equity Incentive Plan, incorporated herein by reference to Exhibit 99.1 to the Registration</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Statement on Form S-8 of General Motors Company filed May 13, 2016</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Form of General Motors Company Restricted Stock Unit Agreement (cash settlement) dated December 15, 2011 under the 2009</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Long-Term Incentive Plan, incorporated herein by reference to Exhibit 10.26 to the Annual Report on Form 10-K of General</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filed February 27, 2012</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Form of General Motors Company Restated Stock Agreement (share settlement) dated December 15, 2011 under the 2009 Long-</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Term Incentive Plan, incorporated herein by reference to Exhibit 10.27 to the Annual Report on Form 10-K of General Motors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 filed February 27, 2012</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General Motors Company Vehicle Operations - Senior Management Vehicle Program (SMVP) Supplement, revised December</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15, 2005, incorporated herein by reference to Exhibit 10(g) to the Annual Report on Form 10-K of Motors Liquidation Company</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filed March 28, 2006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General Motors LLC U.S. Executive Severance Program, incorporated herein by reference to Exhibit 10.1 to the Current Report</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 Form 8-K of General Motors Company filed February 3, 2016</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National Association, including Form of Warrant Certificate attached as Exhibit D thereto, relating to warrants with a $30 original</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($10 after stock split) exercise price and a July 10, 2016 expiration date, incorporated herein by reference to Exhibit 10.29 to the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Annual Report on Form 10-K of General Motors Company filed April 7, 2010</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Warrant Agreement, dated as of October 16, 2009, between General Motors Company and U.S. Bank</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National Association, as Warrant Agent, including a Form of Warrant Certificate attached as Exhibit D thereto, relating to</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warrants with a $55 original ($18.33 after stock split) exercise price and a July 10, 2019 expiration date, incorporated herein by</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reference to Exhibit 10.30 to the Annual Report on Form 10-K of General Motors Company filed April 7, 2010</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10.20†</w:t>
            </w:r>
          </w:p>
        </w:tc>
        <w:tc>
          <w:tcPr>
            <w:tcW w:w="8500" w:type="dxa"/>
            <w:vAlign w:val="bottom"/>
          </w:tcPr>
          <w:p>
            <w:pPr>
              <w:ind w:left="40"/>
              <w:spacing w:after="0"/>
              <w:rPr>
                <w:sz w:val="20"/>
                <w:szCs w:val="20"/>
                <w:color w:val="auto"/>
              </w:rPr>
            </w:pPr>
            <w:r>
              <w:rPr>
                <w:rFonts w:ascii="Arial" w:cs="Arial" w:eastAsia="Arial" w:hAnsi="Arial"/>
                <w:sz w:val="16"/>
                <w:szCs w:val="16"/>
                <w:color w:val="auto"/>
                <w:w w:val="92"/>
              </w:rPr>
              <w:t>Amended and Restated Master Agreement, dated as of December 19, 2012, between General Motors Holdings LLC and Peugeot</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S.A., incorporated herein by reference to Exhibit 10.24 to the Annual Report on Form 10-K of General Motors Company filed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February 6,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10.21†</w:t>
            </w: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Second Amended and Restated 3-Year Revolving Credit Agreement, dated as of May 26, 2016, among General Motors Company,</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General Motors Financial Company, Inc., GM Europe Treasury Company AB, General Motors do Brasil Ltda., the subsidiary</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borrowers from time to time parties thereto, the several lenders from time to time parties thereto, JPMorgan Chase Bank, N.A., as</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administrative agent, and Citibank, N.A., as syndication agent, incorporated herein by reference to Exhibit 10.1 to the Current</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 on Form 8-K of General Motors Company filed June 2, 2016</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gridSpan w:val="2"/>
          </w:tcPr>
          <w:p>
            <w:pPr>
              <w:ind w:left="40"/>
              <w:spacing w:after="0"/>
              <w:rPr>
                <w:sz w:val="20"/>
                <w:szCs w:val="20"/>
                <w:color w:val="auto"/>
              </w:rPr>
            </w:pPr>
            <w:r>
              <w:rPr>
                <w:rFonts w:ascii="Arial" w:cs="Arial" w:eastAsia="Arial" w:hAnsi="Arial"/>
                <w:sz w:val="16"/>
                <w:szCs w:val="16"/>
                <w:color w:val="auto"/>
              </w:rPr>
              <w:t>10.22†</w:t>
            </w:r>
          </w:p>
        </w:tc>
        <w:tc>
          <w:tcPr>
            <w:tcW w:w="8500" w:type="dxa"/>
            <w:vAlign w:val="bottom"/>
          </w:tcPr>
          <w:p>
            <w:pPr>
              <w:ind w:left="40"/>
              <w:spacing w:after="0"/>
              <w:rPr>
                <w:sz w:val="20"/>
                <w:szCs w:val="20"/>
                <w:color w:val="auto"/>
              </w:rPr>
            </w:pPr>
            <w:r>
              <w:rPr>
                <w:rFonts w:ascii="Arial" w:cs="Arial" w:eastAsia="Arial" w:hAnsi="Arial"/>
                <w:sz w:val="16"/>
                <w:szCs w:val="16"/>
                <w:color w:val="auto"/>
                <w:w w:val="91"/>
              </w:rPr>
              <w:t>Second Amended and Restated 5-Year Revolving Credit Agreement, dated as of May 26, 2016, among General Motors Company,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6"/>
              </w:rPr>
              <w:t>General Motors Financial Company, Inc., General Motors do Brasil Ltda., the subsidiary borrowers from time to time parties</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thereto, the several lenders from time to time parties thereto, JPMorgan Chase Bank, N.A., as administrative agent, and Citibank,</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8"/>
              </w:rPr>
              <w:t>N.A., as syndication agent, incorporated herein by reference to Exhibit 10.2 to the Current Report on Form 8-K of General</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Motors Company filed June 2,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Director's Service Agreement between Adam Opel AG and Dr. Karl-Thomas Neumann, incorporated herein by reference to</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10.28 to the Annual Report on Form 10-K of General Motors Company filed February 6, 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2"/>
              </w:rPr>
              <w:t>Amendment to Warrant Agreements between General Motors Company and U.S. Bank National Association, incorporated herein</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by reference to Exhibit 10.1 to the Quarterly Report on Form 10-Q of General Motors Company filed April 24, 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Form of General Motors Company Restricted Stock Unit Award Agreement under the 2014 Long-Term Incentive Plan,</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incorporated herein by reference to Exhibit 10.1 to the Quarterly Report on Form 10-Q of General Motors Company filed July 24,</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8"/>
              </w:rPr>
              <w:t>Form of General Motors Company Performance Stock Unit Award Agreement under the 2014 Long-Term Incentive Plan,</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3"/>
              </w:rPr>
              <w:t>incorporated herein by reference to Exhibit 10.2 to the Quarterly Report on Form 10-Q of General Motors Company filed July 24,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2014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41" w:right="259" w:bottom="1149"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341" w:right="259" w:bottom="1149" w:gutter="0" w:footer="0" w:header="0"/>
          <w:type w:val="continuous"/>
        </w:sectPr>
      </w:pPr>
    </w:p>
    <w:bookmarkStart w:id="94" w:name="page95"/>
    <w:bookmarkEnd w:id="94"/>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500" w:type="dxa"/>
            <w:vAlign w:val="bottom"/>
            <w:vMerge w:val="restart"/>
          </w:tcPr>
          <w:p>
            <w:pPr>
              <w:ind w:left="3820"/>
              <w:spacing w:after="0"/>
              <w:rPr>
                <w:sz w:val="20"/>
                <w:szCs w:val="20"/>
                <w:color w:val="auto"/>
              </w:rPr>
            </w:pPr>
            <w:r>
              <w:rPr>
                <w:rFonts w:ascii="Arial" w:cs="Arial" w:eastAsia="Arial" w:hAnsi="Arial"/>
                <w:sz w:val="14"/>
                <w:szCs w:val="14"/>
                <w:b w:val="1"/>
                <w:bCs w:val="1"/>
                <w:color w:val="auto"/>
              </w:rPr>
              <w:t>Exhibit Name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850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8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4"/>
              </w:rPr>
              <w:t>Form of Non-Qualified Stock Option Agreement under the 2014 Long-Term Incentive Plan, incorporated herein by reference to</w:t>
            </w:r>
          </w:p>
        </w:tc>
        <w:tc>
          <w:tcPr>
            <w:tcW w:w="1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10.1 to the Current Report on Form 8-K of General Motors Company filed July 30, 2015</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Form of General Motors Company Restricted Stock Unit Award Agreement under the 2014 Long-Term Incentive Plan,</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5"/>
              </w:rPr>
              <w:t>incorporated herein by reference to Exhibit 10.4 to the Quarterly Report on Form 10-Q of General Motors Company filed April</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21, 2016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19"/>
                <w:szCs w:val="19"/>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Form of General Motors Company Performance Stock Unit Award Agreement under the 2014 Long-Term Incentive Plan,</w:t>
            </w:r>
          </w:p>
        </w:tc>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5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incorporated herein by reference to Exhibit 10.5 to the Quarterly Report on Form 10-Q of General Motors Company filed April</w:t>
            </w: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21, 2016</w:t>
            </w:r>
          </w:p>
        </w:tc>
        <w:tc>
          <w:tcPr>
            <w:tcW w:w="1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00" w:type="dxa"/>
            <w:vAlign w:val="bottom"/>
          </w:tcPr>
          <w:p>
            <w:pPr>
              <w:ind w:left="40"/>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w w:val="98"/>
              </w:rPr>
              <w:t>Form of Director and Officer Indemnification Agreement, incorporated herein by reference to Exhibit 10.6 to the Quarterly</w:t>
            </w:r>
          </w:p>
        </w:tc>
        <w:tc>
          <w:tcPr>
            <w:tcW w:w="1900" w:type="dxa"/>
            <w:vAlign w:val="bottom"/>
          </w:tcPr>
          <w:p>
            <w:pPr>
              <w:ind w:left="140"/>
              <w:spacing w:after="0"/>
              <w:rPr>
                <w:sz w:val="20"/>
                <w:szCs w:val="20"/>
                <w:color w:val="auto"/>
              </w:rPr>
            </w:pPr>
            <w:r>
              <w:rPr>
                <w:rFonts w:ascii="Arial" w:cs="Arial" w:eastAsia="Arial" w:hAnsi="Arial"/>
                <w:sz w:val="16"/>
                <w:szCs w:val="16"/>
                <w:color w:val="auto"/>
                <w:w w:val="91"/>
              </w:rPr>
              <w:t>Incorporated by Reference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00" w:type="dxa"/>
            <w:vAlign w:val="bottom"/>
          </w:tcPr>
          <w:p>
            <w:pPr>
              <w:ind w:left="40"/>
              <w:spacing w:after="0"/>
              <w:rPr>
                <w:sz w:val="20"/>
                <w:szCs w:val="20"/>
                <w:color w:val="auto"/>
              </w:rPr>
            </w:pPr>
            <w:r>
              <w:rPr>
                <w:rFonts w:ascii="Arial" w:cs="Arial" w:eastAsia="Arial" w:hAnsi="Arial"/>
                <w:sz w:val="16"/>
                <w:szCs w:val="16"/>
                <w:color w:val="auto"/>
              </w:rPr>
              <w:t>Report on Form 10-Q of General Motors Company filed April 21, 2016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325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32575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64" w:lineRule="exact"/>
        <w:rPr>
          <w:sz w:val="20"/>
          <w:szCs w:val="20"/>
          <w:color w:val="auto"/>
        </w:rPr>
      </w:pPr>
    </w:p>
    <w:p>
      <w:pPr>
        <w:ind w:left="1040" w:right="1540" w:hanging="1005"/>
        <w:spacing w:after="0" w:line="372" w:lineRule="auto"/>
        <w:tabs>
          <w:tab w:leader="none" w:pos="10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Computations of Ratio of Earnings to Fixed Charges and Ratio of Earnings to Combined Fixed Charges and Preferred Stock Dividends for the Years Ended December 31, 2016, 2015, 2014, 2013 and 2012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Arial" w:cs="Arial" w:eastAsia="Arial" w:hAnsi="Arial"/>
                <w:sz w:val="16"/>
                <w:szCs w:val="16"/>
                <w:color w:val="auto"/>
              </w:rPr>
              <w:t>21</w:t>
            </w:r>
          </w:p>
        </w:tc>
        <w:tc>
          <w:tcPr>
            <w:tcW w:w="8640" w:type="dxa"/>
            <w:vAlign w:val="bottom"/>
          </w:tcPr>
          <w:p>
            <w:pPr>
              <w:ind w:left="360"/>
              <w:spacing w:after="0"/>
              <w:rPr>
                <w:sz w:val="20"/>
                <w:szCs w:val="20"/>
                <w:color w:val="auto"/>
              </w:rPr>
            </w:pPr>
            <w:r>
              <w:rPr>
                <w:rFonts w:ascii="Arial" w:cs="Arial" w:eastAsia="Arial" w:hAnsi="Arial"/>
                <w:sz w:val="16"/>
                <w:szCs w:val="16"/>
                <w:color w:val="auto"/>
              </w:rPr>
              <w:t>Subsidiaries and Joint Ventures of the Registrant as of December 31, 2016</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6"/>
                <w:szCs w:val="16"/>
                <w:color w:val="auto"/>
              </w:rPr>
              <w:t>23.1</w:t>
            </w:r>
          </w:p>
        </w:tc>
        <w:tc>
          <w:tcPr>
            <w:tcW w:w="8640" w:type="dxa"/>
            <w:vAlign w:val="bottom"/>
          </w:tcPr>
          <w:p>
            <w:pPr>
              <w:ind w:left="360"/>
              <w:spacing w:after="0"/>
              <w:rPr>
                <w:sz w:val="20"/>
                <w:szCs w:val="20"/>
                <w:color w:val="auto"/>
              </w:rPr>
            </w:pPr>
            <w:r>
              <w:rPr>
                <w:rFonts w:ascii="Arial" w:cs="Arial" w:eastAsia="Arial" w:hAnsi="Arial"/>
                <w:sz w:val="16"/>
                <w:szCs w:val="16"/>
                <w:color w:val="auto"/>
                <w:w w:val="96"/>
              </w:rPr>
              <w:t>Consent of Independent Registered Public Accounting Firm for audited financial statements of General Motors Company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6"/>
                <w:szCs w:val="16"/>
                <w:color w:val="auto"/>
              </w:rPr>
              <w:t>23.2</w:t>
            </w:r>
          </w:p>
        </w:tc>
        <w:tc>
          <w:tcPr>
            <w:tcW w:w="8640" w:type="dxa"/>
            <w:vAlign w:val="bottom"/>
          </w:tcPr>
          <w:p>
            <w:pPr>
              <w:ind w:left="360"/>
              <w:spacing w:after="0"/>
              <w:rPr>
                <w:sz w:val="20"/>
                <w:szCs w:val="20"/>
                <w:color w:val="auto"/>
              </w:rPr>
            </w:pPr>
            <w:r>
              <w:rPr>
                <w:rFonts w:ascii="Arial" w:cs="Arial" w:eastAsia="Arial" w:hAnsi="Arial"/>
                <w:sz w:val="16"/>
                <w:szCs w:val="16"/>
                <w:color w:val="auto"/>
              </w:rPr>
              <w:t>Consent of Independent Auditors for audited financial statements of SAIC General Motors Corp., Ltd.</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6"/>
                <w:szCs w:val="16"/>
                <w:color w:val="auto"/>
              </w:rPr>
              <w:t>24</w:t>
            </w:r>
          </w:p>
        </w:tc>
        <w:tc>
          <w:tcPr>
            <w:tcW w:w="8640" w:type="dxa"/>
            <w:vAlign w:val="bottom"/>
          </w:tcPr>
          <w:p>
            <w:pPr>
              <w:ind w:left="360"/>
              <w:spacing w:after="0"/>
              <w:rPr>
                <w:sz w:val="20"/>
                <w:szCs w:val="20"/>
                <w:color w:val="auto"/>
              </w:rPr>
            </w:pPr>
            <w:r>
              <w:rPr>
                <w:rFonts w:ascii="Arial" w:cs="Arial" w:eastAsia="Arial" w:hAnsi="Arial"/>
                <w:sz w:val="16"/>
                <w:szCs w:val="16"/>
                <w:color w:val="auto"/>
              </w:rPr>
              <w:t>Power of Attorney for Directors of General Motors Company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6"/>
                <w:szCs w:val="16"/>
                <w:color w:val="auto"/>
              </w:rPr>
              <w:t>31.1</w:t>
            </w:r>
          </w:p>
        </w:tc>
        <w:tc>
          <w:tcPr>
            <w:tcW w:w="8640" w:type="dxa"/>
            <w:vAlign w:val="bottom"/>
          </w:tcPr>
          <w:p>
            <w:pPr>
              <w:ind w:left="360"/>
              <w:spacing w:after="0"/>
              <w:rPr>
                <w:sz w:val="20"/>
                <w:szCs w:val="20"/>
                <w:color w:val="auto"/>
              </w:rPr>
            </w:pPr>
            <w:r>
              <w:rPr>
                <w:rFonts w:ascii="Arial" w:cs="Arial" w:eastAsia="Arial" w:hAnsi="Arial"/>
                <w:sz w:val="16"/>
                <w:szCs w:val="16"/>
                <w:color w:val="auto"/>
              </w:rPr>
              <w:t>Section 302 Certification of the Chief Executive Officer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6"/>
                <w:szCs w:val="16"/>
                <w:color w:val="auto"/>
              </w:rPr>
              <w:t>31.2</w:t>
            </w:r>
          </w:p>
        </w:tc>
        <w:tc>
          <w:tcPr>
            <w:tcW w:w="8640" w:type="dxa"/>
            <w:vAlign w:val="bottom"/>
          </w:tcPr>
          <w:p>
            <w:pPr>
              <w:ind w:left="360"/>
              <w:spacing w:after="0"/>
              <w:rPr>
                <w:sz w:val="20"/>
                <w:szCs w:val="20"/>
                <w:color w:val="auto"/>
              </w:rPr>
            </w:pPr>
            <w:r>
              <w:rPr>
                <w:rFonts w:ascii="Arial" w:cs="Arial" w:eastAsia="Arial" w:hAnsi="Arial"/>
                <w:sz w:val="16"/>
                <w:szCs w:val="16"/>
                <w:color w:val="auto"/>
              </w:rPr>
              <w:t>Section 302 Certification of the Chief Financial Officer</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Arial" w:cs="Arial" w:eastAsia="Arial" w:hAnsi="Arial"/>
                <w:sz w:val="16"/>
                <w:szCs w:val="16"/>
                <w:color w:val="auto"/>
              </w:rPr>
              <w:t>32</w:t>
            </w:r>
          </w:p>
        </w:tc>
        <w:tc>
          <w:tcPr>
            <w:tcW w:w="8640" w:type="dxa"/>
            <w:vAlign w:val="bottom"/>
            <w:vMerge w:val="restart"/>
          </w:tcPr>
          <w:p>
            <w:pPr>
              <w:ind w:left="360"/>
              <w:spacing w:after="0"/>
              <w:rPr>
                <w:sz w:val="20"/>
                <w:szCs w:val="20"/>
                <w:color w:val="auto"/>
              </w:rPr>
            </w:pPr>
            <w:r>
              <w:rPr>
                <w:rFonts w:ascii="Arial" w:cs="Arial" w:eastAsia="Arial" w:hAnsi="Arial"/>
                <w:sz w:val="16"/>
                <w:szCs w:val="16"/>
                <w:color w:val="auto"/>
                <w:w w:val="96"/>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40" w:type="dxa"/>
            <w:vAlign w:val="bottom"/>
          </w:tcPr>
          <w:p>
            <w:pPr>
              <w:spacing w:after="0"/>
              <w:rPr>
                <w:sz w:val="20"/>
                <w:szCs w:val="20"/>
                <w:color w:val="auto"/>
              </w:rPr>
            </w:pPr>
            <w:r>
              <w:rPr>
                <w:rFonts w:ascii="Arial" w:cs="Arial" w:eastAsia="Arial" w:hAnsi="Arial"/>
                <w:sz w:val="16"/>
                <w:szCs w:val="16"/>
                <w:color w:val="auto"/>
              </w:rPr>
              <w:t>99.1</w:t>
            </w:r>
          </w:p>
        </w:tc>
        <w:tc>
          <w:tcPr>
            <w:tcW w:w="8640" w:type="dxa"/>
            <w:vAlign w:val="bottom"/>
          </w:tcPr>
          <w:p>
            <w:pPr>
              <w:ind w:left="360"/>
              <w:spacing w:after="0"/>
              <w:rPr>
                <w:sz w:val="20"/>
                <w:szCs w:val="20"/>
                <w:color w:val="auto"/>
              </w:rPr>
            </w:pPr>
            <w:r>
              <w:rPr>
                <w:rFonts w:ascii="Arial" w:cs="Arial" w:eastAsia="Arial" w:hAnsi="Arial"/>
                <w:sz w:val="16"/>
                <w:szCs w:val="16"/>
                <w:color w:val="auto"/>
                <w:w w:val="92"/>
              </w:rPr>
              <w:t>SAIC General Motors Corp., Ltd. (F.K.A. Shanghai General Motors Corp., Ltd.) and subsidiaries audited consolidated financial</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8640" w:type="dxa"/>
            <w:vAlign w:val="bottom"/>
          </w:tcPr>
          <w:p>
            <w:pPr>
              <w:ind w:left="360"/>
              <w:spacing w:after="0"/>
              <w:rPr>
                <w:sz w:val="20"/>
                <w:szCs w:val="20"/>
                <w:color w:val="auto"/>
              </w:rPr>
            </w:pPr>
            <w:r>
              <w:rPr>
                <w:rFonts w:ascii="Arial" w:cs="Arial" w:eastAsia="Arial" w:hAnsi="Arial"/>
                <w:sz w:val="16"/>
                <w:szCs w:val="16"/>
                <w:color w:val="auto"/>
                <w:w w:val="89"/>
              </w:rPr>
              <w:t>statements including the consolidated balance sheet as of December 31, 2016 and 2015, and the related consolidated statements</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8640" w:type="dxa"/>
            <w:vAlign w:val="bottom"/>
          </w:tcPr>
          <w:p>
            <w:pPr>
              <w:ind w:left="360"/>
              <w:spacing w:after="0"/>
              <w:rPr>
                <w:sz w:val="20"/>
                <w:szCs w:val="20"/>
                <w:color w:val="auto"/>
              </w:rPr>
            </w:pPr>
            <w:r>
              <w:rPr>
                <w:rFonts w:ascii="Arial" w:cs="Arial" w:eastAsia="Arial" w:hAnsi="Arial"/>
                <w:sz w:val="16"/>
                <w:szCs w:val="16"/>
                <w:color w:val="auto"/>
              </w:rPr>
              <w:t>of income and comprehensive income, equity and cash flow for the years then 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-1547495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-1204595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229475"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Furnished with this Report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77" w:lineRule="exact"/>
        <w:rPr>
          <w:sz w:val="20"/>
          <w:szCs w:val="20"/>
          <w:color w:val="auto"/>
        </w:rPr>
      </w:pPr>
    </w:p>
    <w:p>
      <w:pPr>
        <w:sectPr>
          <w:pgSz w:w="11900" w:h="16838" w:orient="portrait"/>
          <w:cols w:equalWidth="0" w:num="2">
            <w:col w:w="9320" w:space="320"/>
            <w:col w:w="1760"/>
          </w:cols>
          <w:pgMar w:left="240" w:top="341" w:right="25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40" w:type="dxa"/>
            <w:vAlign w:val="bottom"/>
          </w:tcPr>
          <w:p>
            <w:pPr>
              <w:ind w:left="40"/>
              <w:spacing w:after="0"/>
              <w:rPr>
                <w:sz w:val="20"/>
                <w:szCs w:val="20"/>
                <w:color w:val="auto"/>
              </w:rPr>
            </w:pPr>
            <w:r>
              <w:rPr>
                <w:rFonts w:ascii="Arial" w:cs="Arial" w:eastAsia="Arial" w:hAnsi="Arial"/>
                <w:sz w:val="16"/>
                <w:szCs w:val="16"/>
                <w:color w:val="auto"/>
              </w:rPr>
              <w:t>101.INS</w:t>
            </w:r>
          </w:p>
        </w:tc>
        <w:tc>
          <w:tcPr>
            <w:tcW w:w="6520" w:type="dxa"/>
            <w:vAlign w:val="bottom"/>
          </w:tcPr>
          <w:p>
            <w:pPr>
              <w:ind w:left="200"/>
              <w:spacing w:after="0"/>
              <w:rPr>
                <w:sz w:val="20"/>
                <w:szCs w:val="20"/>
                <w:color w:val="auto"/>
              </w:rPr>
            </w:pPr>
            <w:r>
              <w:rPr>
                <w:rFonts w:ascii="Arial" w:cs="Arial" w:eastAsia="Arial" w:hAnsi="Arial"/>
                <w:sz w:val="16"/>
                <w:szCs w:val="16"/>
                <w:color w:val="auto"/>
              </w:rPr>
              <w:t>XBRL Instance Document</w:t>
            </w:r>
          </w:p>
        </w:tc>
        <w:tc>
          <w:tcPr>
            <w:tcW w:w="4040" w:type="dxa"/>
            <w:vAlign w:val="bottom"/>
          </w:tcPr>
          <w:p>
            <w:pPr>
              <w:ind w:left="2280"/>
              <w:spacing w:after="0"/>
              <w:rPr>
                <w:sz w:val="20"/>
                <w:szCs w:val="20"/>
                <w:color w:val="auto"/>
              </w:rPr>
            </w:pPr>
            <w:r>
              <w:rPr>
                <w:rFonts w:ascii="Arial" w:cs="Arial" w:eastAsia="Arial" w:hAnsi="Arial"/>
                <w:sz w:val="16"/>
                <w:szCs w:val="16"/>
                <w:color w:val="auto"/>
              </w:rPr>
              <w:t>Filed Herewith</w:t>
            </w:r>
          </w:p>
        </w:tc>
      </w:tr>
      <w:tr>
        <w:trPr>
          <w:trHeight w:val="33"/>
        </w:trPr>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XBRL Taxonomy Extension Schema Document</w:t>
            </w:r>
          </w:p>
        </w:tc>
        <w:tc>
          <w:tcPr>
            <w:tcW w:w="404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6"/>
                <w:szCs w:val="16"/>
                <w:color w:val="auto"/>
              </w:rPr>
              <w:t>Filed Herewith</w:t>
            </w:r>
          </w:p>
        </w:tc>
      </w:tr>
      <w:tr>
        <w:trPr>
          <w:trHeight w:val="237"/>
        </w:trPr>
        <w:tc>
          <w:tcPr>
            <w:tcW w:w="840" w:type="dxa"/>
            <w:vAlign w:val="bottom"/>
          </w:tcPr>
          <w:p>
            <w:pPr>
              <w:ind w:left="40"/>
              <w:spacing w:after="0"/>
              <w:rPr>
                <w:sz w:val="20"/>
                <w:szCs w:val="20"/>
                <w:color w:val="auto"/>
              </w:rPr>
            </w:pPr>
            <w:r>
              <w:rPr>
                <w:rFonts w:ascii="Arial" w:cs="Arial" w:eastAsia="Arial" w:hAnsi="Arial"/>
                <w:sz w:val="16"/>
                <w:szCs w:val="16"/>
                <w:color w:val="auto"/>
              </w:rPr>
              <w:t>101.CAL</w:t>
            </w:r>
          </w:p>
        </w:tc>
        <w:tc>
          <w:tcPr>
            <w:tcW w:w="652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c>
          <w:tcPr>
            <w:tcW w:w="4040" w:type="dxa"/>
            <w:vAlign w:val="bottom"/>
          </w:tcPr>
          <w:p>
            <w:pPr>
              <w:ind w:left="2280"/>
              <w:spacing w:after="0"/>
              <w:rPr>
                <w:sz w:val="20"/>
                <w:szCs w:val="20"/>
                <w:color w:val="auto"/>
              </w:rPr>
            </w:pPr>
            <w:r>
              <w:rPr>
                <w:rFonts w:ascii="Arial" w:cs="Arial" w:eastAsia="Arial" w:hAnsi="Arial"/>
                <w:sz w:val="16"/>
                <w:szCs w:val="16"/>
                <w:color w:val="auto"/>
              </w:rPr>
              <w:t>Filed Herewith</w:t>
            </w:r>
          </w:p>
        </w:tc>
      </w:tr>
      <w:tr>
        <w:trPr>
          <w:trHeight w:val="33"/>
        </w:trPr>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XBRL Taxonomy Extension Definition Linkbase Document</w:t>
            </w:r>
          </w:p>
        </w:tc>
        <w:tc>
          <w:tcPr>
            <w:tcW w:w="404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6"/>
                <w:szCs w:val="16"/>
                <w:color w:val="auto"/>
              </w:rPr>
              <w:t>Filed Herewith</w:t>
            </w:r>
          </w:p>
        </w:tc>
      </w:tr>
      <w:tr>
        <w:trPr>
          <w:trHeight w:val="237"/>
        </w:trPr>
        <w:tc>
          <w:tcPr>
            <w:tcW w:w="840" w:type="dxa"/>
            <w:vAlign w:val="bottom"/>
          </w:tcPr>
          <w:p>
            <w:pPr>
              <w:ind w:left="40"/>
              <w:spacing w:after="0"/>
              <w:rPr>
                <w:sz w:val="20"/>
                <w:szCs w:val="20"/>
                <w:color w:val="auto"/>
              </w:rPr>
            </w:pPr>
            <w:r>
              <w:rPr>
                <w:rFonts w:ascii="Arial" w:cs="Arial" w:eastAsia="Arial" w:hAnsi="Arial"/>
                <w:sz w:val="16"/>
                <w:szCs w:val="16"/>
                <w:color w:val="auto"/>
              </w:rPr>
              <w:t>101.LAB</w:t>
            </w:r>
          </w:p>
        </w:tc>
        <w:tc>
          <w:tcPr>
            <w:tcW w:w="652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c>
          <w:tcPr>
            <w:tcW w:w="4040" w:type="dxa"/>
            <w:vAlign w:val="bottom"/>
          </w:tcPr>
          <w:p>
            <w:pPr>
              <w:ind w:left="2280"/>
              <w:spacing w:after="0"/>
              <w:rPr>
                <w:sz w:val="20"/>
                <w:szCs w:val="20"/>
                <w:color w:val="auto"/>
              </w:rPr>
            </w:pPr>
            <w:r>
              <w:rPr>
                <w:rFonts w:ascii="Arial" w:cs="Arial" w:eastAsia="Arial" w:hAnsi="Arial"/>
                <w:sz w:val="16"/>
                <w:szCs w:val="16"/>
                <w:color w:val="auto"/>
              </w:rPr>
              <w:t>Filed Herewith</w:t>
            </w:r>
          </w:p>
        </w:tc>
      </w:tr>
      <w:tr>
        <w:trPr>
          <w:trHeight w:val="33"/>
        </w:trPr>
        <w:tc>
          <w:tcPr>
            <w:tcW w:w="8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37"/>
        </w:trPr>
        <w:tc>
          <w:tcPr>
            <w:tcW w:w="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c>
          <w:tcPr>
            <w:tcW w:w="404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Filed Herewith</w:t>
            </w:r>
          </w:p>
        </w:tc>
      </w:tr>
      <w:tr>
        <w:trPr>
          <w:trHeight w:val="33"/>
        </w:trPr>
        <w:tc>
          <w:tcPr>
            <w:tcW w:w="8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r>
    </w:tbl>
    <w:p>
      <w:pPr>
        <w:spacing w:after="0" w:line="368" w:lineRule="exact"/>
        <w:rPr>
          <w:sz w:val="20"/>
          <w:szCs w:val="20"/>
          <w:color w:val="auto"/>
        </w:rPr>
      </w:pPr>
    </w:p>
    <w:p>
      <w:pPr>
        <w:ind w:left="840" w:hanging="805"/>
        <w:spacing w:after="0"/>
        <w:tabs>
          <w:tab w:leader="none" w:pos="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Certain confidential portions have been omitted pursuant to a granted request for confidential treatment, which has been separately filed with the SEC.</w:t>
      </w:r>
    </w:p>
    <w:p>
      <w:pPr>
        <w:spacing w:after="0" w:line="84" w:lineRule="exact"/>
        <w:rPr>
          <w:sz w:val="20"/>
          <w:szCs w:val="20"/>
          <w:color w:val="auto"/>
        </w:rPr>
      </w:pPr>
    </w:p>
    <w:p>
      <w:pPr>
        <w:ind w:left="840" w:hanging="805"/>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15(b) of this Report.</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26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341" w:right="259" w:bottom="1440" w:gutter="0" w:footer="0" w:header="0"/>
          <w:type w:val="continuous"/>
        </w:sectPr>
      </w:pPr>
    </w:p>
    <w:bookmarkStart w:id="95" w:name="page96"/>
    <w:bookmarkEnd w:id="95"/>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315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6" w:name="page97"/>
    <w:bookmarkEnd w:id="96"/>
    <w:p>
      <w:pPr>
        <w:spacing w:after="0"/>
        <w:rPr>
          <w:rFonts w:ascii="Arial" w:cs="Arial" w:eastAsia="Arial" w:hAnsi="Arial"/>
          <w:sz w:val="18"/>
          <w:szCs w:val="18"/>
          <w:u w:val="single" w:color="auto"/>
          <w:color w:val="661DE8"/>
        </w:rPr>
      </w:pPr>
      <w:hyperlink w:anchor="page2">
        <w:r>
          <w:rPr>
            <w:rFonts w:ascii="Arial" w:cs="Arial" w:eastAsia="Arial" w:hAnsi="Arial"/>
            <w:sz w:val="18"/>
            <w:szCs w:val="18"/>
            <w:u w:val="single" w:color="auto"/>
            <w:color w:val="661DE8"/>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7th day of February 2017 by the following persons on behalf of the registrant and in the capacities indicated, including a majority of the directors.</w:t>
      </w:r>
    </w:p>
    <w:p>
      <w:pPr>
        <w:spacing w:after="0" w:line="112" w:lineRule="exact"/>
        <w:rPr>
          <w:sz w:val="20"/>
          <w:szCs w:val="20"/>
          <w:color w:val="auto"/>
        </w:rPr>
      </w:pPr>
    </w:p>
    <w:p>
      <w:pPr>
        <w:ind w:left="2200"/>
        <w:spacing w:after="0"/>
        <w:tabs>
          <w:tab w:leader="none" w:pos="83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T. Barra</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Charles K. Stevens III</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Timko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Theodore M. Solso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J. Ashton</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Linda R. Gooden</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Jimenez</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Jane L. Mendillo</w:t>
      </w:r>
    </w:p>
    <w:p>
      <w:pPr>
        <w:spacing w:after="0" w:line="252" w:lineRule="exact"/>
        <w:rPr>
          <w:sz w:val="20"/>
          <w:szCs w:val="20"/>
          <w:color w:val="auto"/>
        </w:rPr>
      </w:pPr>
    </w:p>
    <w:p>
      <w:pPr>
        <w:ind w:left="40" w:right="1120"/>
        <w:spacing w:after="0" w:line="356" w:lineRule="auto"/>
        <w:rPr>
          <w:sz w:val="20"/>
          <w:szCs w:val="20"/>
          <w:color w:val="auto"/>
        </w:rPr>
      </w:pPr>
      <w:r>
        <w:rPr>
          <w:rFonts w:ascii="Arial" w:cs="Arial" w:eastAsia="Arial" w:hAnsi="Arial"/>
          <w:sz w:val="18"/>
          <w:szCs w:val="18"/>
          <w:color w:val="auto"/>
        </w:rPr>
        <w:t>/s/ ADMIRAL MICHAEL G. MULLEN, USN (ret.)*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3267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J. Mulva</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F. Russo</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Schoewe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36"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Controller and Chief Accounting Officer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Lead 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83"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*By: /s/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39370</wp:posOffset>
            </wp:positionV>
            <wp:extent cx="28301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Jill E. Sutton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142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41" w:right="2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COMPUTATIONS OF RATIO OF EARNINGS TO FIXED CHARGES AND RATIO OF EARNINGS TO COMBINED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millions</w:t>
      </w:r>
      <w:r>
        <w:rPr>
          <w:rFonts w:ascii="Arial" w:cs="Arial" w:eastAsia="Arial" w:hAnsi="Arial"/>
          <w:sz w:val="18"/>
          <w:szCs w:val="18"/>
          <w:b w:val="1"/>
          <w:bCs w:val="1"/>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42"/>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80"/>
        </w:trPr>
        <w:tc>
          <w:tcPr>
            <w:tcW w:w="50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58"/>
        </w:trPr>
        <w:tc>
          <w:tcPr>
            <w:tcW w:w="50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2012</w:t>
            </w:r>
          </w:p>
        </w:tc>
      </w:tr>
      <w:tr>
        <w:trPr>
          <w:trHeight w:val="23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Income from continuing operations before income taxes and equity income</w:t>
            </w:r>
          </w:p>
        </w:tc>
        <w:tc>
          <w:tcPr>
            <w:tcW w:w="36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5,648</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(30,257)</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Fixed charges excluding capitalized interest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2,776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943</w:t>
            </w: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capitalized interest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Dividends from nonconsolidated affiliates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1,544</w:t>
            </w:r>
          </w:p>
        </w:tc>
      </w:tr>
      <w:tr>
        <w:trPr>
          <w:trHeight w:val="33"/>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available for fixed charges</w:t>
            </w:r>
          </w:p>
        </w:tc>
        <w:tc>
          <w:tcPr>
            <w:tcW w:w="36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7,533</w:t>
            </w:r>
          </w:p>
        </w:tc>
        <w:tc>
          <w:tcPr>
            <w:tcW w:w="36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related charges on debt</w:t>
            </w:r>
          </w:p>
        </w:tc>
        <w:tc>
          <w:tcPr>
            <w:tcW w:w="36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1,070</w:t>
            </w:r>
          </w:p>
        </w:tc>
        <w:tc>
          <w:tcPr>
            <w:tcW w:w="36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Portion of rentals deemed to be interest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138</w:t>
            </w: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capitalized in period</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Total fixed charges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2,916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1,060</w:t>
            </w: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dividends grossed up to a pre-tax basis</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859</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Combined fixed charges and preferred stock dividends</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2,916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w:t>
            </w:r>
          </w:p>
        </w:tc>
      </w:tr>
      <w:tr>
        <w:trPr>
          <w:trHeight w:val="73"/>
        </w:trPr>
        <w:tc>
          <w:tcPr>
            <w:tcW w:w="50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02"/>
        </w:trPr>
        <w:tc>
          <w:tcPr>
            <w:tcW w:w="5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Ratio of earnings to fixed charges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Ratio of earnings to combined fixed charges and preferred stock dividends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33"/>
        </w:trPr>
        <w:tc>
          <w:tcPr>
            <w:tcW w:w="5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Earnings in the year ended December 31, 2012 were inadequate to cover fixed charges by $28.8 billion and combined fixed charges and preferred stock dividends by $29.7 billion.</w:t>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2016</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2140879 Ontario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ACAR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ACF Investment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Adam Opel AG</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AFS SenSub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Aftermarket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Consumer Loan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Financial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Funding Corp. XI</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AmeriCredit Syndicated Warehouse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Annunciata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APGO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Argonaut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Banco GMAC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Baylis (Gloucester)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Bochum Perspektive 2022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Boco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Boden Brussels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Cadillac Europe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Carve-Out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Sales India Private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CHEVYPLAN S.A. Sociedad Administradora de Planes de Autofinanciamiento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Controladora General Motors,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DCJ1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Dealership Liquidations,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Delphi Energy and Engine Management Systems UK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DMAX,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FAW-GM Light Duty Commercial Vehicle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Financiera de Colombia S.A. Compania de Financiamiento Comercial</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 Colmotores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Africa and Middle East FZE</w:t>
            </w:r>
          </w:p>
        </w:tc>
        <w:tc>
          <w:tcPr>
            <w:tcW w:w="1720" w:type="dxa"/>
            <w:vAlign w:val="bottom"/>
            <w:gridSpan w:val="3"/>
          </w:tcPr>
          <w:p>
            <w:pPr>
              <w:spacing w:after="0"/>
              <w:rPr>
                <w:sz w:val="20"/>
                <w:szCs w:val="20"/>
                <w:color w:val="auto"/>
              </w:rPr>
            </w:pPr>
            <w:r>
              <w:rPr>
                <w:rFonts w:ascii="Arial" w:cs="Arial" w:eastAsia="Arial" w:hAnsi="Arial"/>
                <w:sz w:val="18"/>
                <w:szCs w:val="18"/>
                <w:color w:val="auto"/>
                <w:w w:val="99"/>
              </w:rPr>
              <w:t>United Arab Emirates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Pacific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Asia,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Asset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Austria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bl>
    <w:p>
      <w:pPr>
        <w:sectPr>
          <w:pgSz w:w="11900" w:h="16838" w:orient="portrait"/>
          <w:cols w:equalWidth="0" w:num="1">
            <w:col w:w="11380"/>
          </w:cols>
          <w:pgMar w:left="280" w:top="126" w:right="239" w:bottom="1440" w:gutter="0" w:footer="0" w:header="0"/>
        </w:sectPr>
      </w:pPr>
    </w:p>
    <w:bookmarkStart w:id="99" w:name="page100"/>
    <w:bookmarkEnd w:id="99"/>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Automobiles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Automotive Holdings,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Belgium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Daewoo Auto and Technology CIS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Argentina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del Ecuador S.A.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East Africa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Egypt, S.A.E.</w:t>
            </w:r>
          </w:p>
        </w:tc>
        <w:tc>
          <w:tcPr>
            <w:tcW w:w="1720" w:type="dxa"/>
            <w:vAlign w:val="bottom"/>
            <w:gridSpan w:val="3"/>
          </w:tcPr>
          <w:p>
            <w:pPr>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Espana, S.L.U.</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Holdings, S.L.U.</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Chile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Company,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International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Italia S.p.A.</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of Canada,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Suisse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Financial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Finland Oy</w:t>
            </w:r>
          </w:p>
        </w:tc>
        <w:tc>
          <w:tcPr>
            <w:tcW w:w="1720" w:type="dxa"/>
            <w:vAlign w:val="bottom"/>
            <w:gridSpan w:val="3"/>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France</w:t>
            </w:r>
          </w:p>
        </w:tc>
        <w:tc>
          <w:tcPr>
            <w:tcW w:w="172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GBS Hungary Kft.</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Global Service Operations,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Hellas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Holden Australia NSC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 Participacoes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Investments Pty.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Ireland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Israel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Italia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2016</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Japan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Manufacturing Poland Sp. z o.o.</w:t>
            </w:r>
          </w:p>
        </w:tc>
        <w:tc>
          <w:tcPr>
            <w:tcW w:w="172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Nederland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New Zealand Pensions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of Canada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Commercial Vehicle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Overseas Distribution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Peru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Poland Spolka, z o. o.</w:t>
            </w:r>
          </w:p>
        </w:tc>
        <w:tc>
          <w:tcPr>
            <w:tcW w:w="1720" w:type="dxa"/>
            <w:vAlign w:val="bottom"/>
            <w:gridSpan w:val="3"/>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Portugal Lda.</w:t>
            </w:r>
          </w:p>
        </w:tc>
        <w:tc>
          <w:tcPr>
            <w:tcW w:w="172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Powertrain (Thailand)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Research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South Africa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Suisse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Taiwan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Treasury Center,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Turkiye Limited Sirketi</w:t>
            </w:r>
          </w:p>
        </w:tc>
        <w:tc>
          <w:tcPr>
            <w:tcW w:w="1720" w:type="dxa"/>
            <w:vAlign w:val="bottom"/>
            <w:gridSpan w:val="3"/>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Uruguay S.A.</w:t>
            </w:r>
          </w:p>
        </w:tc>
        <w:tc>
          <w:tcPr>
            <w:tcW w:w="1720" w:type="dxa"/>
            <w:vAlign w:val="bottom"/>
            <w:gridSpan w:val="3"/>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Venezolana,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Ventures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 Warehousing and Trading (Shanghai)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General Motors-Holden's Sales Pty.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Global Tooling Service Company Europe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(UK)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Administradora de Bens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APO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Auslandsprojekte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Automotive Services Belgium NV</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Automotive UK</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Canada Limited Partnership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CME Holdings C.V.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Components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Cruise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Eurometals,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Europe Treasury Company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2016</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 Finance 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Canada Leasing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Consumer Discount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 Mexico, S.A. de C.V. SOFOM E.R.</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Del Peru S.A.C.</w:t>
            </w:r>
          </w:p>
        </w:tc>
        <w:tc>
          <w:tcPr>
            <w:tcW w:w="1720" w:type="dxa"/>
            <w:vAlign w:val="bottom"/>
            <w:gridSpan w:val="3"/>
          </w:tcPr>
          <w:p>
            <w:pPr>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Insurance Services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Mexico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Financial Real Estate GmbH &amp; Co KG</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Business Services Philippines,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Purchasing and Supply Chain Romania Srl</w:t>
            </w:r>
          </w:p>
        </w:tc>
        <w:tc>
          <w:tcPr>
            <w:tcW w:w="1720" w:type="dxa"/>
            <w:vAlign w:val="bottom"/>
            <w:gridSpan w:val="3"/>
          </w:tcPr>
          <w:p>
            <w:pPr>
              <w:spacing w:after="0"/>
              <w:rPr>
                <w:sz w:val="20"/>
                <w:szCs w:val="20"/>
                <w:color w:val="auto"/>
              </w:rPr>
            </w:pPr>
            <w:r>
              <w:rPr>
                <w:rFonts w:ascii="Arial" w:cs="Arial" w:eastAsia="Arial" w:hAnsi="Arial"/>
                <w:sz w:val="18"/>
                <w:szCs w:val="18"/>
                <w:color w:val="auto"/>
              </w:rPr>
              <w:t>Romania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Technology Operations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Global Tooling Company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Holden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No.1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Holdings U.K. No.3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Inversiones Santiago Limitada</w:t>
            </w:r>
          </w:p>
        </w:tc>
        <w:tc>
          <w:tcPr>
            <w:tcW w:w="1720" w:type="dxa"/>
            <w:vAlign w:val="bottom"/>
            <w:gridSpan w:val="3"/>
          </w:tcPr>
          <w:p>
            <w:pPr>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Investment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Korea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LAAM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Mexico Holdings B.V.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Personnel Services,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Plats (Proprietary)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PSA Purchasing Services S.A.</w:t>
            </w:r>
          </w:p>
        </w:tc>
        <w:tc>
          <w:tcPr>
            <w:tcW w:w="172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Retirees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Subsystems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 Viet Nam Motor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GM-DI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Administradora de Consorcios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Banque S.A.</w:t>
            </w:r>
          </w:p>
        </w:tc>
        <w:tc>
          <w:tcPr>
            <w:tcW w:w="1720" w:type="dxa"/>
            <w:vAlign w:val="bottom"/>
            <w:gridSpan w:val="3"/>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Continental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de Venezuela, C.A.</w:t>
            </w:r>
          </w:p>
        </w:tc>
        <w:tc>
          <w:tcPr>
            <w:tcW w:w="1720" w:type="dxa"/>
            <w:vAlign w:val="bottom"/>
            <w:gridSpan w:val="3"/>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Espana de Financiacion, S.A. Unipersonal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Holdings (U.K.)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 Instituicao Financeira de Credito, S.A.</w:t>
            </w:r>
          </w:p>
        </w:tc>
        <w:tc>
          <w:tcPr>
            <w:tcW w:w="1720" w:type="dxa"/>
            <w:vAlign w:val="bottom"/>
            <w:gridSpan w:val="3"/>
          </w:tcPr>
          <w:p>
            <w:pPr>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Lease B.V. (aka Masterlease Europe)</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Nederland N.V.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Servicios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 UK plc</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02" w:name="page103"/>
    <w:bookmarkEnd w:id="102"/>
    <w:p>
      <w:pPr>
        <w:jc w:val="center"/>
        <w:ind w:right="-61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AS OF DECEMBER 31,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020" w:type="dxa"/>
            <w:vAlign w:val="bottom"/>
            <w:gridSpan w:val="2"/>
          </w:tcPr>
          <w:p>
            <w:pPr>
              <w:spacing w:after="0"/>
              <w:rPr>
                <w:sz w:val="20"/>
                <w:szCs w:val="20"/>
                <w:color w:val="auto"/>
              </w:rPr>
            </w:pPr>
            <w:r>
              <w:rPr>
                <w:rFonts w:ascii="Arial" w:cs="Arial" w:eastAsia="Arial" w:hAnsi="Arial"/>
                <w:sz w:val="18"/>
                <w:szCs w:val="18"/>
                <w:color w:val="auto"/>
              </w:rPr>
              <w:t>GMAC-Prestadora de Servios de Mo-de-Obra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GMACI Corretora de Seguros Ltda</w:t>
            </w:r>
          </w:p>
        </w:tc>
        <w:tc>
          <w:tcPr>
            <w:tcW w:w="1720" w:type="dxa"/>
            <w:vAlign w:val="bottom"/>
            <w:gridSpan w:val="3"/>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GMAM Real Estate I,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GMCH&amp;SP Private Equity II L.P.</w:t>
            </w:r>
          </w:p>
        </w:tc>
        <w:tc>
          <w:tcPr>
            <w:tcW w:w="1720" w:type="dxa"/>
            <w:vAlign w:val="bottom"/>
            <w:gridSpan w:val="3"/>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Holdco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Europe LLP</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Floorplan Owner Revolving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Funding Corp.</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Germany Holdings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Global Assignment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International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Leasing Warehousing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GMF Wholesale Receivables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GMGP Holdings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Go Motor Retailing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Go Trade Parts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Grand Pointe Park Condominium Association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H.S.H.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Haines &amp; Strange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Holden New Zealand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Pension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IBC Vehicles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Lease Ownership Cooperative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Lidlington Engineering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Limited Liability Company "General Motors CIS"</w:t>
            </w:r>
          </w:p>
        </w:tc>
        <w:tc>
          <w:tcPr>
            <w:tcW w:w="1720" w:type="dxa"/>
            <w:vAlign w:val="bottom"/>
            <w:gridSpan w:val="3"/>
          </w:tcPr>
          <w:p>
            <w:pPr>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Master Lease Germany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Millbrook Pension Management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Monetization of Carve-Out,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 Repris Automocio S.L.</w:t>
            </w:r>
          </w:p>
        </w:tc>
        <w:tc>
          <w:tcPr>
            <w:tcW w:w="1720" w:type="dxa"/>
            <w:vAlign w:val="bottom"/>
            <w:gridSpan w:val="3"/>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Holding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Properties (Trading)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Motors Properties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Multi-Use Lease Entity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North American New Cars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Omnibus BB Transportes, S. A.</w:t>
            </w:r>
          </w:p>
        </w:tc>
        <w:tc>
          <w:tcPr>
            <w:tcW w:w="1720" w:type="dxa"/>
            <w:vAlign w:val="bottom"/>
            <w:gridSpan w:val="3"/>
          </w:tcPr>
          <w:p>
            <w:pPr>
              <w:spacing w:after="0"/>
              <w:rPr>
                <w:sz w:val="20"/>
                <w:szCs w:val="20"/>
                <w:color w:val="auto"/>
              </w:rPr>
            </w:pPr>
            <w:r>
              <w:rPr>
                <w:rFonts w:ascii="Arial" w:cs="Arial" w:eastAsia="Arial" w:hAnsi="Arial"/>
                <w:sz w:val="18"/>
                <w:szCs w:val="18"/>
                <w:color w:val="auto"/>
              </w:rPr>
              <w:t>Ecuador</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de Mexico S. de R.L.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Europe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Global Services Corporation</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720"/>
          </w:cols>
          <w:pgMar w:left="280" w:top="121" w:right="89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30"/>
              <w:spacing w:after="0"/>
              <w:rPr>
                <w:sz w:val="20"/>
                <w:szCs w:val="20"/>
                <w:color w:val="auto"/>
              </w:rPr>
            </w:pPr>
            <w:r>
              <w:rPr>
                <w:rFonts w:ascii="Arial" w:cs="Arial" w:eastAsia="Arial" w:hAnsi="Arial"/>
                <w:sz w:val="18"/>
                <w:szCs w:val="18"/>
                <w:b w:val="1"/>
                <w:bCs w:val="1"/>
                <w:color w:val="auto"/>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20" w:type="dxa"/>
            <w:vAlign w:val="bottom"/>
          </w:tcPr>
          <w:p>
            <w:pPr>
              <w:jc w:val="center"/>
              <w:ind w:left="1250"/>
              <w:spacing w:after="0"/>
              <w:rPr>
                <w:sz w:val="20"/>
                <w:szCs w:val="20"/>
                <w:color w:val="auto"/>
              </w:rPr>
            </w:pPr>
            <w:r>
              <w:rPr>
                <w:rFonts w:ascii="Arial" w:cs="Arial" w:eastAsia="Arial" w:hAnsi="Arial"/>
                <w:sz w:val="18"/>
                <w:szCs w:val="18"/>
                <w:b w:val="1"/>
                <w:bCs w:val="1"/>
                <w:color w:val="auto"/>
                <w:w w:val="95"/>
              </w:rPr>
              <w:t>AS OF DECEMBER 31, 2016</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8020" w:type="dxa"/>
            <w:vAlign w:val="bottom"/>
            <w:vMerge w:val="restart"/>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w w:val="91"/>
              </w:rPr>
              <w:t>State or Sovereign Power of</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20" w:type="dxa"/>
            <w:vAlign w:val="bottom"/>
            <w:vMerge w:val="continue"/>
          </w:tcPr>
          <w:p>
            <w:pPr>
              <w:spacing w:after="0"/>
              <w:rPr>
                <w:sz w:val="11"/>
                <w:szCs w:val="11"/>
                <w:color w:val="auto"/>
              </w:rPr>
            </w:pPr>
          </w:p>
        </w:tc>
        <w:tc>
          <w:tcPr>
            <w:tcW w:w="8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Incorporation</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Bank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Danmark A/S</w:t>
            </w:r>
          </w:p>
        </w:tc>
        <w:tc>
          <w:tcPr>
            <w:tcW w:w="1720" w:type="dxa"/>
            <w:vAlign w:val="bottom"/>
            <w:gridSpan w:val="3"/>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Group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Group Warehousing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Leasing GmbH (German entity)</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Norge AS</w:t>
            </w:r>
          </w:p>
        </w:tc>
        <w:tc>
          <w:tcPr>
            <w:tcW w:w="1720" w:type="dxa"/>
            <w:vAlign w:val="bottom"/>
            <w:gridSpan w:val="3"/>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Sonderdienste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Southeast Europe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Sverige AB</w:t>
            </w:r>
          </w:p>
        </w:tc>
        <w:tc>
          <w:tcPr>
            <w:tcW w:w="17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Szentgotthard Automotive Manufacturing LLC</w:t>
            </w:r>
          </w:p>
        </w:tc>
        <w:tc>
          <w:tcPr>
            <w:tcW w:w="1720" w:type="dxa"/>
            <w:vAlign w:val="bottom"/>
            <w:gridSpan w:val="3"/>
          </w:tcPr>
          <w:p>
            <w:pPr>
              <w:spacing w:after="0"/>
              <w:rPr>
                <w:sz w:val="20"/>
                <w:szCs w:val="20"/>
                <w:color w:val="auto"/>
              </w:rPr>
            </w:pPr>
            <w:r>
              <w:rPr>
                <w:rFonts w:ascii="Arial" w:cs="Arial" w:eastAsia="Arial" w:hAnsi="Arial"/>
                <w:sz w:val="18"/>
                <w:szCs w:val="18"/>
                <w:color w:val="auto"/>
              </w:rPr>
              <w:t>Hungary</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Opel Wien GmbH</w:t>
            </w:r>
          </w:p>
        </w:tc>
        <w:tc>
          <w:tcPr>
            <w:tcW w:w="172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P.T. G M AutoWorld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PIMS Co.</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PT. General Motors Indonesia Manufacturing</w:t>
            </w:r>
          </w:p>
        </w:tc>
        <w:tc>
          <w:tcPr>
            <w:tcW w:w="1720" w:type="dxa"/>
            <w:vAlign w:val="bottom"/>
            <w:gridSpan w:val="3"/>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Phase II,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Riverfront Holdings,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Corporation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Investment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General Motors Sales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Motors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Dong Yue Powertrain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(Shenyang) Norsom Motors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 GM Wuling Automobile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SAIC-GMAC Automotive Finance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Servicios GMAC S.A. de C.V.</w:t>
            </w:r>
          </w:p>
        </w:tc>
        <w:tc>
          <w:tcPr>
            <w:tcW w:w="1720" w:type="dxa"/>
            <w:vAlign w:val="bottom"/>
            <w:gridSpan w:val="3"/>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Chengxin Used Car Operation and Management Company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Shanghai OnStar Telematics Co. Ltd.</w:t>
            </w:r>
          </w:p>
        </w:tc>
        <w:tc>
          <w:tcPr>
            <w:tcW w:w="1720" w:type="dxa"/>
            <w:vAlign w:val="bottom"/>
            <w:gridSpan w:val="3"/>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Sherwoods (Darlington)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Skurrays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Stam-Terberg Autobedrijven B. V.</w:t>
            </w:r>
          </w:p>
        </w:tc>
        <w:tc>
          <w:tcPr>
            <w:tcW w:w="17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Vauxhall Defined Contribution Pension Plan Trustees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Vehicle Asset Universal Leasing Trust</w:t>
            </w:r>
          </w:p>
        </w:tc>
        <w:tc>
          <w:tcPr>
            <w:tcW w:w="17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VHC Sub-Holdings (UK)</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Vickers (Lakeside)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Vision Motors Limited</w:t>
            </w:r>
          </w:p>
        </w:tc>
        <w:tc>
          <w:tcPr>
            <w:tcW w:w="1720" w:type="dxa"/>
            <w:vAlign w:val="bottom"/>
            <w:gridSpan w:val="3"/>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WRE, Inc.</w:t>
            </w:r>
          </w:p>
        </w:tc>
        <w:tc>
          <w:tcPr>
            <w:tcW w:w="17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Zona Franca Industrial Colmotores SAS</w:t>
            </w:r>
          </w:p>
        </w:tc>
        <w:tc>
          <w:tcPr>
            <w:tcW w:w="172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rPr>
              <w:t>Total - 250</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121" w:right="899" w:bottom="1440" w:gutter="0" w:footer="0" w:header="0"/>
        </w:sectPr>
      </w:pPr>
    </w:p>
    <w:bookmarkStart w:id="104" w:name="page105"/>
    <w:bookmarkEnd w:id="104"/>
    <w:p>
      <w:pPr>
        <w:jc w:val="center"/>
        <w:ind w:right="-379"/>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SUBSIDIARIES AND JOINT VENTURES OF THE REGISTRANT</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 OF DECEMBER 31, 2016</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Item 601(b)(21) of Regulation S-K we have omitted certain subsidiaries which, considered in the aggregate as a single subsidiary, would not constitute a significant subsidiary at December 31, 2016. Additionally 58 subsidiaries of General Motors Financial Company, Inc. have been omitted that operate in the U.S. in the same line of business as General Motors Financial Company, Inc. at December 31, 2016.</w:t>
      </w:r>
    </w:p>
    <w:p>
      <w:pPr>
        <w:sectPr>
          <w:pgSz w:w="11900" w:h="16838" w:orient="portrait"/>
          <w:cols w:equalWidth="0" w:num="1">
            <w:col w:w="11040"/>
          </w:cols>
          <w:pgMar w:left="240" w:top="121" w:right="6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333-211344 and 333-196812 on Form S-8 and Registration Statement No. 333-188153 and 333-195601 on Form S-3 of our report dated February 7, 2017 relating to the consolidated financial statements of General Motors Company and subsidiaries (the Company) and the effectiveness of the Company's internal control over financial reporting, appearing in this Annual Report on Form 10-K of General Motors Company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665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2017</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AUDITORS</w:t>
      </w:r>
    </w:p>
    <w:p>
      <w:pPr>
        <w:spacing w:after="0" w:line="38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333-211344 and 333-196812 on Form S-8 and Registration Statement No. 333-188153 and 333-195601 on Form S-3 of our report dated January 26, 2017 relating to the consolidated financial statements of SAIC General Motors Corp., Ltd and subsidiaries, appearing in this Annual Report on Form 10-K of General Motors Company for the year ended December 31, 2016.</w:t>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7992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Shanghai, People’s Republic of China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2017</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SEC Report(s) on</w:t>
            </w:r>
          </w:p>
        </w:tc>
        <w:tc>
          <w:tcPr>
            <w:tcW w:w="3720" w:type="dxa"/>
            <w:vAlign w:val="bottom"/>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Covering</w:t>
            </w:r>
          </w:p>
        </w:tc>
        <w:tc>
          <w:tcPr>
            <w:tcW w:w="1580" w:type="dxa"/>
            <w:vAlign w:val="bottom"/>
          </w:tcPr>
          <w:p>
            <w:pPr>
              <w:spacing w:after="0"/>
              <w:rPr>
                <w:sz w:val="17"/>
                <w:szCs w:val="17"/>
                <w:color w:val="auto"/>
              </w:rPr>
            </w:pPr>
          </w:p>
        </w:tc>
      </w:tr>
      <w:tr>
        <w:trPr>
          <w:trHeight w:val="561"/>
        </w:trPr>
        <w:tc>
          <w:tcPr>
            <w:tcW w:w="5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 Ashton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Jane L. Mendillo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Linda R. Gooden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Jimenez</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2"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01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SEC Report(s) on</w:t>
            </w: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Covering</w:t>
            </w:r>
          </w:p>
        </w:tc>
      </w:tr>
      <w:tr>
        <w:trPr>
          <w:trHeight w:val="20"/>
        </w:trPr>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34"/>
        </w:trPr>
        <w:tc>
          <w:tcPr>
            <w:tcW w:w="1080" w:type="dxa"/>
            <w:vAlign w:val="bottom"/>
          </w:tcPr>
          <w:p>
            <w:pPr>
              <w:spacing w:after="0"/>
              <w:rPr>
                <w:sz w:val="20"/>
                <w:szCs w:val="20"/>
                <w:color w:val="auto"/>
              </w:rPr>
            </w:pPr>
            <w:r>
              <w:rPr>
                <w:rFonts w:ascii="Arial" w:cs="Arial" w:eastAsia="Arial" w:hAnsi="Arial"/>
                <w:sz w:val="18"/>
                <w:szCs w:val="18"/>
                <w:color w:val="auto"/>
              </w:rPr>
              <w:t>Form 10-K</w:t>
            </w:r>
          </w:p>
        </w:tc>
        <w:tc>
          <w:tcPr>
            <w:tcW w:w="40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8"/>
              </w:rPr>
              <w:t>Year Ended December 31, 2016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1934, this power of attorney has been executed by the undersigned.</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Theodore M. Solso</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December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555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796"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6073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7, 2017</w:t>
      </w:r>
    </w:p>
    <w:p>
      <w:pPr>
        <w:sectPr>
          <w:pgSz w:w="11900" w:h="16838" w:orient="portrait"/>
          <w:cols w:equalWidth="0" w:num="1">
            <w:col w:w="11420"/>
          </w:cols>
          <w:pgMar w:left="240" w:top="337"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361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7, 2017</w:t>
      </w:r>
    </w:p>
    <w:p>
      <w:pPr>
        <w:sectPr>
          <w:pgSz w:w="11900" w:h="16838" w:orient="portrait"/>
          <w:cols w:equalWidth="0" w:num="1">
            <w:col w:w="11420"/>
          </w:cols>
          <w:pgMar w:left="240" w:top="337"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Annual Report of General Motors Company (the “Company”) on Form 10-K for the period ended December 31, 2016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3274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7, 2017</w:t>
      </w:r>
    </w:p>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SAIC GENERAL MOTORS CORP., LTD.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AND SUBSIDIARIES</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Consolidated Financial Statements as of and for the Years Ended</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December 31, 2016, 2015 and 2014 and Independent Auditors’ Report</w:t>
      </w:r>
    </w:p>
    <w:p>
      <w:pPr>
        <w:sectPr>
          <w:pgSz w:w="11900" w:h="16838" w:orient="portrait"/>
          <w:cols w:equalWidth="0" w:num="1">
            <w:col w:w="10220"/>
          </w:cols>
          <w:pgMar w:left="1440" w:top="12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6760" w:type="dxa"/>
            <w:vAlign w:val="bottom"/>
            <w:gridSpan w:val="2"/>
          </w:tcPr>
          <w:p>
            <w:pPr>
              <w:ind w:left="1000"/>
              <w:spacing w:after="0"/>
              <w:rPr>
                <w:sz w:val="20"/>
                <w:szCs w:val="20"/>
                <w:color w:val="auto"/>
              </w:rPr>
            </w:pPr>
            <w:r>
              <w:rPr>
                <w:rFonts w:ascii="Arial" w:cs="Arial" w:eastAsia="Arial" w:hAnsi="Arial"/>
                <w:sz w:val="22"/>
                <w:szCs w:val="22"/>
                <w:color w:val="auto"/>
                <w:w w:val="93"/>
              </w:rPr>
              <w:t>SAIC GENERAL MOTORS CORP., LTD. AND SUBSIDIARIES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8"/>
        </w:trPr>
        <w:tc>
          <w:tcPr>
            <w:tcW w:w="1140" w:type="dxa"/>
            <w:vAlign w:val="bottom"/>
          </w:tcPr>
          <w:p>
            <w:pPr>
              <w:spacing w:after="0"/>
              <w:rPr>
                <w:sz w:val="20"/>
                <w:szCs w:val="20"/>
                <w:color w:val="auto"/>
              </w:rPr>
            </w:pPr>
            <w:r>
              <w:rPr>
                <w:rFonts w:ascii="Arial" w:cs="Arial" w:eastAsia="Arial" w:hAnsi="Arial"/>
                <w:sz w:val="22"/>
                <w:szCs w:val="22"/>
                <w:color w:val="auto"/>
                <w:w w:val="92"/>
              </w:rPr>
              <w:t>CONTENTS</w:t>
            </w:r>
          </w:p>
        </w:tc>
        <w:tc>
          <w:tcPr>
            <w:tcW w:w="1000" w:type="dxa"/>
            <w:vAlign w:val="bottom"/>
          </w:tcPr>
          <w:p>
            <w:pPr>
              <w:spacing w:after="0"/>
              <w:rPr>
                <w:sz w:val="24"/>
                <w:szCs w:val="24"/>
                <w:color w:val="auto"/>
              </w:rPr>
            </w:pPr>
          </w:p>
        </w:tc>
        <w:tc>
          <w:tcPr>
            <w:tcW w:w="5760" w:type="dxa"/>
            <w:vAlign w:val="bottom"/>
            <w:tcBorders>
              <w:top w:val="single" w:sz="8" w:color="auto"/>
            </w:tcBorders>
          </w:tcPr>
          <w:p>
            <w:pPr>
              <w:spacing w:after="0"/>
              <w:rPr>
                <w:sz w:val="24"/>
                <w:szCs w:val="24"/>
                <w:color w:val="auto"/>
              </w:rPr>
            </w:pPr>
          </w:p>
        </w:tc>
        <w:tc>
          <w:tcPr>
            <w:tcW w:w="2000" w:type="dxa"/>
            <w:vAlign w:val="bottom"/>
            <w:gridSpan w:val="9"/>
          </w:tcPr>
          <w:p>
            <w:pPr>
              <w:ind w:left="1200"/>
              <w:spacing w:after="0"/>
              <w:rPr>
                <w:sz w:val="20"/>
                <w:szCs w:val="20"/>
                <w:color w:val="auto"/>
              </w:rPr>
            </w:pPr>
            <w:r>
              <w:rPr>
                <w:rFonts w:ascii="Arial" w:cs="Arial" w:eastAsia="Arial" w:hAnsi="Arial"/>
                <w:sz w:val="22"/>
                <w:szCs w:val="22"/>
                <w:color w:val="auto"/>
                <w:w w:val="86"/>
              </w:rPr>
              <w:t>PAGE(S)</w:t>
            </w:r>
          </w:p>
        </w:tc>
      </w:tr>
      <w:tr>
        <w:trPr>
          <w:trHeight w:val="20"/>
        </w:trPr>
        <w:tc>
          <w:tcPr>
            <w:tcW w:w="1140" w:type="dxa"/>
            <w:vAlign w:val="bottom"/>
            <w:shd w:val="clear" w:color="auto" w:fill="000000"/>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1249"/>
        </w:trPr>
        <w:tc>
          <w:tcPr>
            <w:tcW w:w="7900" w:type="dxa"/>
            <w:vAlign w:val="bottom"/>
            <w:gridSpan w:val="3"/>
          </w:tcPr>
          <w:p>
            <w:pPr>
              <w:spacing w:after="0"/>
              <w:rPr>
                <w:sz w:val="20"/>
                <w:szCs w:val="20"/>
                <w:color w:val="auto"/>
              </w:rPr>
            </w:pPr>
            <w:r>
              <w:rPr>
                <w:rFonts w:ascii="Arial" w:cs="Arial" w:eastAsia="Arial" w:hAnsi="Arial"/>
                <w:sz w:val="22"/>
                <w:szCs w:val="22"/>
                <w:color w:val="auto"/>
              </w:rPr>
              <w:t>INDEPENDENT AUDITORS' REPORT</w:t>
            </w:r>
          </w:p>
        </w:tc>
        <w:tc>
          <w:tcPr>
            <w:tcW w:w="1800" w:type="dxa"/>
            <w:vAlign w:val="bottom"/>
            <w:gridSpan w:val="7"/>
          </w:tcPr>
          <w:p>
            <w:pPr>
              <w:jc w:val="center"/>
              <w:ind w:left="1292"/>
              <w:spacing w:after="0"/>
              <w:rPr>
                <w:rFonts w:ascii="Arial" w:cs="Arial" w:eastAsia="Arial" w:hAnsi="Arial"/>
                <w:sz w:val="22"/>
                <w:szCs w:val="22"/>
                <w:color w:val="0000EE"/>
                <w:w w:val="90"/>
              </w:rPr>
            </w:pPr>
            <w:hyperlink w:anchor="page123">
              <w:r>
                <w:rPr>
                  <w:rFonts w:ascii="Arial" w:cs="Arial" w:eastAsia="Arial" w:hAnsi="Arial"/>
                  <w:sz w:val="22"/>
                  <w:szCs w:val="22"/>
                  <w:color w:val="0000EE"/>
                  <w:w w:val="90"/>
                </w:rPr>
                <w:t>1 - 2</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79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25"/>
        </w:trPr>
        <w:tc>
          <w:tcPr>
            <w:tcW w:w="7900" w:type="dxa"/>
            <w:vAlign w:val="bottom"/>
            <w:gridSpan w:val="3"/>
          </w:tcPr>
          <w:p>
            <w:pPr>
              <w:spacing w:after="0"/>
              <w:rPr>
                <w:sz w:val="20"/>
                <w:szCs w:val="20"/>
                <w:color w:val="auto"/>
              </w:rPr>
            </w:pPr>
            <w:r>
              <w:rPr>
                <w:rFonts w:ascii="Arial" w:cs="Arial" w:eastAsia="Arial" w:hAnsi="Arial"/>
                <w:sz w:val="22"/>
                <w:szCs w:val="22"/>
                <w:color w:val="auto"/>
              </w:rPr>
              <w:t>CONSOLIDATED BALANCE SHEETS</w:t>
            </w:r>
          </w:p>
        </w:tc>
        <w:tc>
          <w:tcPr>
            <w:tcW w:w="1800" w:type="dxa"/>
            <w:vAlign w:val="bottom"/>
            <w:gridSpan w:val="7"/>
          </w:tcPr>
          <w:p>
            <w:pPr>
              <w:jc w:val="center"/>
              <w:ind w:left="1292"/>
              <w:spacing w:after="0"/>
              <w:rPr>
                <w:rFonts w:ascii="Arial" w:cs="Arial" w:eastAsia="Arial" w:hAnsi="Arial"/>
                <w:sz w:val="22"/>
                <w:szCs w:val="22"/>
                <w:color w:val="0000EE"/>
                <w:w w:val="90"/>
              </w:rPr>
            </w:pPr>
            <w:hyperlink w:anchor="page125">
              <w:r>
                <w:rPr>
                  <w:rFonts w:ascii="Arial" w:cs="Arial" w:eastAsia="Arial" w:hAnsi="Arial"/>
                  <w:sz w:val="22"/>
                  <w:szCs w:val="22"/>
                  <w:color w:val="0000EE"/>
                  <w:w w:val="90"/>
                </w:rPr>
                <w:t>3 - 4</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76"/>
        </w:trPr>
        <w:tc>
          <w:tcPr>
            <w:tcW w:w="7900" w:type="dxa"/>
            <w:vAlign w:val="bottom"/>
            <w:gridSpan w:val="3"/>
          </w:tcPr>
          <w:p>
            <w:pPr>
              <w:spacing w:after="0"/>
              <w:rPr>
                <w:sz w:val="20"/>
                <w:szCs w:val="20"/>
                <w:color w:val="auto"/>
              </w:rPr>
            </w:pPr>
            <w:r>
              <w:rPr>
                <w:rFonts w:ascii="Arial" w:cs="Arial" w:eastAsia="Arial" w:hAnsi="Arial"/>
                <w:sz w:val="22"/>
                <w:szCs w:val="22"/>
                <w:color w:val="auto"/>
              </w:rPr>
              <w:t>CONSOLIDATED STATEMENTS OF INCOME</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7"/>
        </w:trPr>
        <w:tc>
          <w:tcPr>
            <w:tcW w:w="7900" w:type="dxa"/>
            <w:vAlign w:val="bottom"/>
            <w:gridSpan w:val="3"/>
          </w:tcPr>
          <w:p>
            <w:pPr>
              <w:ind w:left="40"/>
              <w:spacing w:after="0" w:line="246" w:lineRule="exact"/>
              <w:rPr>
                <w:sz w:val="20"/>
                <w:szCs w:val="20"/>
                <w:color w:val="auto"/>
              </w:rPr>
            </w:pPr>
            <w:r>
              <w:rPr>
                <w:rFonts w:ascii="Arial" w:cs="Arial" w:eastAsia="Arial" w:hAnsi="Arial"/>
                <w:sz w:val="22"/>
                <w:szCs w:val="22"/>
                <w:color w:val="auto"/>
              </w:rPr>
              <w:t>AND COMPREHENSIVE INCOME</w:t>
            </w:r>
          </w:p>
        </w:tc>
        <w:tc>
          <w:tcPr>
            <w:tcW w:w="1540" w:type="dxa"/>
            <w:vAlign w:val="bottom"/>
            <w:gridSpan w:val="4"/>
          </w:tcPr>
          <w:p>
            <w:pPr>
              <w:spacing w:after="0"/>
              <w:rPr>
                <w:sz w:val="21"/>
                <w:szCs w:val="21"/>
                <w:color w:val="auto"/>
              </w:rPr>
            </w:pPr>
          </w:p>
        </w:tc>
        <w:tc>
          <w:tcPr>
            <w:tcW w:w="140" w:type="dxa"/>
            <w:vAlign w:val="bottom"/>
            <w:tcBorders>
              <w:bottom w:val="single" w:sz="8" w:color="0000EE"/>
            </w:tcBorders>
            <w:gridSpan w:val="2"/>
          </w:tcPr>
          <w:p>
            <w:pPr>
              <w:jc w:val="center"/>
              <w:ind w:right="20"/>
              <w:spacing w:after="0" w:line="246" w:lineRule="exact"/>
              <w:rPr>
                <w:rFonts w:ascii="Arial" w:cs="Arial" w:eastAsia="Arial" w:hAnsi="Arial"/>
                <w:sz w:val="22"/>
                <w:szCs w:val="22"/>
                <w:color w:val="0000EE"/>
                <w:w w:val="97"/>
              </w:rPr>
            </w:pPr>
            <w:hyperlink w:anchor="page127">
              <w:r>
                <w:rPr>
                  <w:rFonts w:ascii="Arial" w:cs="Arial" w:eastAsia="Arial" w:hAnsi="Arial"/>
                  <w:sz w:val="22"/>
                  <w:szCs w:val="22"/>
                  <w:color w:val="0000EE"/>
                  <w:w w:val="97"/>
                </w:rPr>
                <w:t>5</w:t>
              </w:r>
            </w:hyperlink>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925"/>
        </w:trPr>
        <w:tc>
          <w:tcPr>
            <w:tcW w:w="7900" w:type="dxa"/>
            <w:vAlign w:val="bottom"/>
            <w:gridSpan w:val="3"/>
          </w:tcPr>
          <w:p>
            <w:pPr>
              <w:spacing w:after="0"/>
              <w:rPr>
                <w:sz w:val="20"/>
                <w:szCs w:val="20"/>
                <w:color w:val="auto"/>
              </w:rPr>
            </w:pPr>
            <w:r>
              <w:rPr>
                <w:rFonts w:ascii="Arial" w:cs="Arial" w:eastAsia="Arial" w:hAnsi="Arial"/>
                <w:sz w:val="22"/>
                <w:szCs w:val="22"/>
                <w:color w:val="auto"/>
              </w:rPr>
              <w:t>CONSOLIDATED STATEMENTS OF EQUITY</w:t>
            </w:r>
          </w:p>
        </w:tc>
        <w:tc>
          <w:tcPr>
            <w:tcW w:w="1540" w:type="dxa"/>
            <w:vAlign w:val="bottom"/>
            <w:gridSpan w:val="4"/>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128">
              <w:r>
                <w:rPr>
                  <w:rFonts w:ascii="Arial" w:cs="Arial" w:eastAsia="Arial" w:hAnsi="Arial"/>
                  <w:sz w:val="22"/>
                  <w:szCs w:val="22"/>
                  <w:color w:val="0000EE"/>
                  <w:w w:val="97"/>
                </w:rPr>
                <w:t>6</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25"/>
        </w:trPr>
        <w:tc>
          <w:tcPr>
            <w:tcW w:w="7900" w:type="dxa"/>
            <w:vAlign w:val="bottom"/>
            <w:gridSpan w:val="3"/>
          </w:tcPr>
          <w:p>
            <w:pPr>
              <w:spacing w:after="0"/>
              <w:rPr>
                <w:sz w:val="20"/>
                <w:szCs w:val="20"/>
                <w:color w:val="auto"/>
              </w:rPr>
            </w:pPr>
            <w:r>
              <w:rPr>
                <w:rFonts w:ascii="Arial" w:cs="Arial" w:eastAsia="Arial" w:hAnsi="Arial"/>
                <w:sz w:val="22"/>
                <w:szCs w:val="22"/>
                <w:color w:val="auto"/>
              </w:rPr>
              <w:t>CONSOLIDATED STATEMENTS OF CASH FLOWS</w:t>
            </w:r>
          </w:p>
        </w:tc>
        <w:tc>
          <w:tcPr>
            <w:tcW w:w="1800" w:type="dxa"/>
            <w:vAlign w:val="bottom"/>
            <w:gridSpan w:val="7"/>
          </w:tcPr>
          <w:p>
            <w:pPr>
              <w:jc w:val="center"/>
              <w:ind w:left="1292"/>
              <w:spacing w:after="0"/>
              <w:rPr>
                <w:rFonts w:ascii="Arial" w:cs="Arial" w:eastAsia="Arial" w:hAnsi="Arial"/>
                <w:sz w:val="22"/>
                <w:szCs w:val="22"/>
                <w:color w:val="0000EE"/>
                <w:w w:val="90"/>
              </w:rPr>
            </w:pPr>
            <w:hyperlink w:anchor="page129">
              <w:r>
                <w:rPr>
                  <w:rFonts w:ascii="Arial" w:cs="Arial" w:eastAsia="Arial" w:hAnsi="Arial"/>
                  <w:sz w:val="22"/>
                  <w:szCs w:val="22"/>
                  <w:color w:val="0000EE"/>
                  <w:w w:val="90"/>
                </w:rPr>
                <w:t>7 - 8</w:t>
              </w:r>
            </w:hyperlink>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79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25"/>
        </w:trPr>
        <w:tc>
          <w:tcPr>
            <w:tcW w:w="7900" w:type="dxa"/>
            <w:vAlign w:val="bottom"/>
            <w:gridSpan w:val="3"/>
          </w:tcPr>
          <w:p>
            <w:pPr>
              <w:spacing w:after="0"/>
              <w:rPr>
                <w:sz w:val="20"/>
                <w:szCs w:val="20"/>
                <w:color w:val="auto"/>
              </w:rPr>
            </w:pPr>
            <w:r>
              <w:rPr>
                <w:rFonts w:ascii="Arial" w:cs="Arial" w:eastAsia="Arial" w:hAnsi="Arial"/>
                <w:sz w:val="22"/>
                <w:szCs w:val="22"/>
                <w:color w:val="auto"/>
              </w:rPr>
              <w:t>NOTES TO THE CONSOLIDATED FINANCIAL STATEMENTS</w:t>
            </w:r>
          </w:p>
        </w:tc>
        <w:tc>
          <w:tcPr>
            <w:tcW w:w="1340" w:type="dxa"/>
            <w:vAlign w:val="bottom"/>
            <w:gridSpan w:val="2"/>
          </w:tcPr>
          <w:p>
            <w:pPr>
              <w:spacing w:after="0"/>
              <w:rPr>
                <w:sz w:val="24"/>
                <w:szCs w:val="24"/>
                <w:color w:val="auto"/>
              </w:rPr>
            </w:pPr>
          </w:p>
        </w:tc>
        <w:tc>
          <w:tcPr>
            <w:tcW w:w="500" w:type="dxa"/>
            <w:vAlign w:val="bottom"/>
            <w:tcBorders>
              <w:bottom w:val="single" w:sz="8" w:color="0000EE"/>
            </w:tcBorders>
            <w:gridSpan w:val="6"/>
          </w:tcPr>
          <w:p>
            <w:pPr>
              <w:jc w:val="center"/>
              <w:spacing w:after="0"/>
              <w:rPr>
                <w:rFonts w:ascii="Arial" w:cs="Arial" w:eastAsia="Arial" w:hAnsi="Arial"/>
                <w:sz w:val="22"/>
                <w:szCs w:val="22"/>
                <w:color w:val="0000EE"/>
                <w:w w:val="88"/>
              </w:rPr>
            </w:pPr>
            <w:hyperlink w:anchor="page131">
              <w:r>
                <w:rPr>
                  <w:rFonts w:ascii="Arial" w:cs="Arial" w:eastAsia="Arial" w:hAnsi="Arial"/>
                  <w:sz w:val="22"/>
                  <w:szCs w:val="22"/>
                  <w:color w:val="0000EE"/>
                  <w:w w:val="88"/>
                </w:rPr>
                <w:t>9 - 19</w:t>
              </w:r>
            </w:hyperlink>
          </w:p>
        </w:tc>
        <w:tc>
          <w:tcPr>
            <w:tcW w:w="160" w:type="dxa"/>
            <w:vAlign w:val="bottom"/>
          </w:tcPr>
          <w:p>
            <w:pPr>
              <w:spacing w:after="0"/>
              <w:rPr>
                <w:sz w:val="24"/>
                <w:szCs w:val="24"/>
                <w:color w:val="auto"/>
              </w:rPr>
            </w:pPr>
          </w:p>
        </w:tc>
      </w:tr>
    </w:tbl>
    <w:p>
      <w:pPr>
        <w:sectPr>
          <w:pgSz w:w="11900" w:h="16838" w:orient="portrait"/>
          <w:cols w:equalWidth="0" w:num="1">
            <w:col w:w="9900"/>
          </w:cols>
          <w:pgMar w:left="940" w:top="616" w:right="105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DTT(A)(17)U00001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INDEPENDENT AUDITORS' REPORT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 SAIC General Motors Corp., Ltd.:</w:t>
      </w:r>
    </w:p>
    <w:p>
      <w:pPr>
        <w:spacing w:after="0" w:line="220" w:lineRule="exact"/>
        <w:rPr>
          <w:sz w:val="20"/>
          <w:szCs w:val="20"/>
          <w:color w:val="auto"/>
        </w:rPr>
      </w:pPr>
    </w:p>
    <w:p>
      <w:pPr>
        <w:ind w:left="20" w:right="120"/>
        <w:spacing w:after="0" w:line="302" w:lineRule="auto"/>
        <w:rPr>
          <w:sz w:val="20"/>
          <w:szCs w:val="20"/>
          <w:color w:val="auto"/>
        </w:rPr>
      </w:pPr>
      <w:r>
        <w:rPr>
          <w:rFonts w:ascii="Arial" w:cs="Arial" w:eastAsia="Arial" w:hAnsi="Arial"/>
          <w:sz w:val="19"/>
          <w:szCs w:val="19"/>
          <w:color w:val="auto"/>
        </w:rPr>
        <w:t>We have audited the accompanying consolidated financial statements of SAIC General Motors Corp., Ltd. and its subsidiaries (the "Company"), which comprise the consolidated balance sheets as of December 31, 2016 and 2015, and the related consolidated statements of income and comprehensive income, equity, and cash flows for each of the three years in the period ended December 31, 2016, and the related notes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Responsibility for the Consolidated Financial Statements</w:t>
      </w:r>
    </w:p>
    <w:p>
      <w:pPr>
        <w:spacing w:after="0" w:line="226" w:lineRule="exact"/>
        <w:rPr>
          <w:sz w:val="20"/>
          <w:szCs w:val="20"/>
          <w:color w:val="auto"/>
        </w:rPr>
      </w:pPr>
    </w:p>
    <w:p>
      <w:pPr>
        <w:jc w:val="both"/>
        <w:ind w:left="20" w:right="240"/>
        <w:spacing w:after="0" w:line="265" w:lineRule="auto"/>
        <w:rPr>
          <w:sz w:val="20"/>
          <w:szCs w:val="20"/>
          <w:color w:val="auto"/>
        </w:rPr>
      </w:pPr>
      <w:r>
        <w:rPr>
          <w:rFonts w:ascii="Arial" w:cs="Arial" w:eastAsia="Arial" w:hAnsi="Arial"/>
          <w:sz w:val="21"/>
          <w:szCs w:val="21"/>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Responsibility</w:t>
      </w:r>
    </w:p>
    <w:p>
      <w:pPr>
        <w:spacing w:after="0" w:line="226" w:lineRule="exact"/>
        <w:rPr>
          <w:sz w:val="20"/>
          <w:szCs w:val="20"/>
          <w:color w:val="auto"/>
        </w:rPr>
      </w:pPr>
    </w:p>
    <w:p>
      <w:pPr>
        <w:ind w:left="20" w:right="20"/>
        <w:spacing w:after="0" w:line="250" w:lineRule="auto"/>
        <w:rPr>
          <w:sz w:val="20"/>
          <w:szCs w:val="20"/>
          <w:color w:val="auto"/>
        </w:rPr>
      </w:pPr>
      <w:r>
        <w:rPr>
          <w:rFonts w:ascii="Arial" w:cs="Arial" w:eastAsia="Arial" w:hAnsi="Arial"/>
          <w:sz w:val="22"/>
          <w:szCs w:val="22"/>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8" w:lineRule="exact"/>
        <w:rPr>
          <w:sz w:val="20"/>
          <w:szCs w:val="20"/>
          <w:color w:val="auto"/>
        </w:rPr>
      </w:pPr>
    </w:p>
    <w:p>
      <w:pPr>
        <w:ind w:left="20"/>
        <w:spacing w:after="0" w:line="290"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640" w:top="1440" w:right="2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Opinion</w:t>
      </w:r>
    </w:p>
    <w:p>
      <w:pPr>
        <w:spacing w:after="0" w:line="226" w:lineRule="exact"/>
        <w:rPr>
          <w:sz w:val="20"/>
          <w:szCs w:val="20"/>
          <w:color w:val="auto"/>
        </w:rPr>
      </w:pPr>
    </w:p>
    <w:p>
      <w:pPr>
        <w:ind w:left="20" w:right="300"/>
        <w:spacing w:after="0" w:line="265" w:lineRule="auto"/>
        <w:rPr>
          <w:sz w:val="20"/>
          <w:szCs w:val="20"/>
          <w:color w:val="auto"/>
        </w:rPr>
      </w:pPr>
      <w:r>
        <w:rPr>
          <w:rFonts w:ascii="Arial" w:cs="Arial" w:eastAsia="Arial" w:hAnsi="Arial"/>
          <w:sz w:val="21"/>
          <w:szCs w:val="21"/>
          <w:color w:val="auto"/>
        </w:rPr>
        <w:t>In our opinion, the consolidated financial statements referred to above present fairly, in all material respects, the financial position of SAIC General Motors Corp., Ltd. and its subsidiaries as of December 31, 2016 and 2015, and the results of their operations and their cash flows for each of the three years in the period ended December 31, 2016,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500" w:firstLine="14"/>
        <w:spacing w:after="0" w:line="249" w:lineRule="auto"/>
        <w:rPr>
          <w:sz w:val="20"/>
          <w:szCs w:val="20"/>
          <w:color w:val="auto"/>
        </w:rPr>
      </w:pPr>
      <w:r>
        <w:rPr>
          <w:rFonts w:ascii="Arial" w:cs="Arial" w:eastAsia="Arial" w:hAnsi="Arial"/>
          <w:sz w:val="22"/>
          <w:szCs w:val="22"/>
          <w:u w:val="single" w:color="auto"/>
          <w:color w:val="auto"/>
        </w:rPr>
        <w:t xml:space="preserve">/s/ DELOITTE TOUCHE TOHMATSU CERTIFIED PUBLIC ACCOUNTANTS LLP </w:t>
      </w:r>
      <w:r>
        <w:rPr>
          <w:rFonts w:ascii="Arial" w:cs="Arial" w:eastAsia="Arial" w:hAnsi="Arial"/>
          <w:sz w:val="22"/>
          <w:szCs w:val="22"/>
          <w:color w:val="auto"/>
        </w:rPr>
        <w:t>Deloitte Touche Tohmatsu Certified Public Accountants LLP Shanghai, People's Republic of China</w:t>
      </w:r>
    </w:p>
    <w:p>
      <w:pPr>
        <w:spacing w:after="0"/>
        <w:rPr>
          <w:sz w:val="20"/>
          <w:szCs w:val="20"/>
          <w:color w:val="auto"/>
        </w:rPr>
      </w:pPr>
      <w:r>
        <w:rPr>
          <w:rFonts w:ascii="Arial" w:cs="Arial" w:eastAsia="Arial" w:hAnsi="Arial"/>
          <w:sz w:val="22"/>
          <w:szCs w:val="22"/>
          <w:color w:val="auto"/>
        </w:rPr>
        <w:t>January 26, 2017</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640" w:top="1440" w:right="2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22"/>
          <w:szCs w:val="22"/>
          <w:b w:val="1"/>
          <w:bCs w:val="1"/>
          <w:color w:val="auto"/>
        </w:rPr>
        <w:t>SAIC GENERAL MOTORS CORP., LTD.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0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8"/>
        </w:trPr>
        <w:tc>
          <w:tcPr>
            <w:tcW w:w="70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340"/>
              <w:spacing w:after="0"/>
              <w:rPr>
                <w:sz w:val="20"/>
                <w:szCs w:val="20"/>
                <w:color w:val="auto"/>
              </w:rPr>
            </w:pPr>
            <w:r>
              <w:rPr>
                <w:rFonts w:ascii="Arial" w:cs="Arial" w:eastAsia="Arial" w:hAnsi="Arial"/>
                <w:sz w:val="22"/>
                <w:szCs w:val="22"/>
                <w:color w:val="auto"/>
                <w:w w:val="90"/>
              </w:rPr>
              <w:t>December 31</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0"/>
        </w:trPr>
        <w:tc>
          <w:tcPr>
            <w:tcW w:w="7040" w:type="dxa"/>
            <w:vAlign w:val="bottom"/>
          </w:tcPr>
          <w:p>
            <w:pPr>
              <w:spacing w:after="0"/>
              <w:rPr>
                <w:sz w:val="19"/>
                <w:szCs w:val="19"/>
                <w:color w:val="auto"/>
              </w:rPr>
            </w:pPr>
          </w:p>
        </w:tc>
        <w:tc>
          <w:tcPr>
            <w:tcW w:w="12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2016</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3"/>
          </w:tcPr>
          <w:p>
            <w:pPr>
              <w:jc w:val="right"/>
              <w:ind w:right="800"/>
              <w:spacing w:after="0" w:line="229" w:lineRule="exact"/>
              <w:rPr>
                <w:sz w:val="20"/>
                <w:szCs w:val="20"/>
                <w:color w:val="auto"/>
              </w:rPr>
            </w:pPr>
            <w:r>
              <w:rPr>
                <w:rFonts w:ascii="Arial" w:cs="Arial" w:eastAsia="Arial" w:hAnsi="Arial"/>
                <w:sz w:val="22"/>
                <w:szCs w:val="22"/>
                <w:color w:val="auto"/>
              </w:rPr>
              <w:t>2015</w:t>
            </w:r>
          </w:p>
        </w:tc>
      </w:tr>
      <w:tr>
        <w:trPr>
          <w:trHeight w:val="328"/>
        </w:trPr>
        <w:tc>
          <w:tcPr>
            <w:tcW w:w="7040" w:type="dxa"/>
            <w:vAlign w:val="bottom"/>
          </w:tcPr>
          <w:p>
            <w:pPr>
              <w:spacing w:after="0"/>
              <w:rPr>
                <w:sz w:val="20"/>
                <w:szCs w:val="20"/>
                <w:color w:val="auto"/>
              </w:rPr>
            </w:pPr>
            <w:r>
              <w:rPr>
                <w:rFonts w:ascii="Arial" w:cs="Arial" w:eastAsia="Arial" w:hAnsi="Arial"/>
                <w:sz w:val="22"/>
                <w:szCs w:val="22"/>
                <w:color w:val="auto"/>
              </w:rPr>
              <w:t>Current assets:</w:t>
            </w:r>
          </w:p>
        </w:tc>
        <w:tc>
          <w:tcPr>
            <w:tcW w:w="8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Cash and cash equivalents (note 1(e))</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32,969,999,234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23,583,750,107</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Trade accounts receivable, net of allowance</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240"/>
              <w:spacing w:after="0"/>
              <w:rPr>
                <w:sz w:val="20"/>
                <w:szCs w:val="20"/>
                <w:color w:val="auto"/>
              </w:rPr>
            </w:pPr>
            <w:r>
              <w:rPr>
                <w:rFonts w:ascii="Arial" w:cs="Arial" w:eastAsia="Arial" w:hAnsi="Arial"/>
                <w:sz w:val="22"/>
                <w:szCs w:val="22"/>
                <w:color w:val="auto"/>
              </w:rPr>
              <w:t>for doubtful accounts of 32,695 and 1,762,790</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240"/>
              <w:spacing w:after="0"/>
              <w:rPr>
                <w:sz w:val="20"/>
                <w:szCs w:val="20"/>
                <w:color w:val="auto"/>
              </w:rPr>
            </w:pPr>
            <w:r>
              <w:rPr>
                <w:rFonts w:ascii="Arial" w:cs="Arial" w:eastAsia="Arial" w:hAnsi="Arial"/>
                <w:sz w:val="22"/>
                <w:szCs w:val="22"/>
                <w:color w:val="auto"/>
              </w:rPr>
              <w:t>for 2016 and 2015, respectively</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25,106,686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rPr>
              <w:t>18,653,079</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Due from related parties</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4,976,879,575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11,484,457,813</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Inventories (note 2)</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6,491,168,127</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5,767,903,628</w:t>
            </w:r>
          </w:p>
        </w:tc>
      </w:tr>
      <w:tr>
        <w:trPr>
          <w:trHeight w:val="308"/>
        </w:trPr>
        <w:tc>
          <w:tcPr>
            <w:tcW w:w="7040" w:type="dxa"/>
            <w:vAlign w:val="bottom"/>
          </w:tcPr>
          <w:p>
            <w:pPr>
              <w:ind w:left="100"/>
              <w:spacing w:after="0"/>
              <w:rPr>
                <w:sz w:val="20"/>
                <w:szCs w:val="20"/>
                <w:color w:val="auto"/>
              </w:rPr>
            </w:pPr>
            <w:r>
              <w:rPr>
                <w:rFonts w:ascii="Arial" w:cs="Arial" w:eastAsia="Arial" w:hAnsi="Arial"/>
                <w:sz w:val="22"/>
                <w:szCs w:val="22"/>
                <w:color w:val="auto"/>
              </w:rPr>
              <w:t>Other current assets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757,562,182</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532,749,502</w:t>
            </w:r>
          </w:p>
        </w:tc>
      </w:tr>
      <w:tr>
        <w:trPr>
          <w:trHeight w:val="426"/>
        </w:trPr>
        <w:tc>
          <w:tcPr>
            <w:tcW w:w="7040" w:type="dxa"/>
            <w:vAlign w:val="bottom"/>
          </w:tcPr>
          <w:p>
            <w:pPr>
              <w:spacing w:after="0"/>
              <w:rPr>
                <w:sz w:val="20"/>
                <w:szCs w:val="20"/>
                <w:color w:val="auto"/>
              </w:rPr>
            </w:pPr>
            <w:r>
              <w:rPr>
                <w:rFonts w:ascii="Arial" w:cs="Arial" w:eastAsia="Arial" w:hAnsi="Arial"/>
                <w:sz w:val="22"/>
                <w:szCs w:val="22"/>
                <w:color w:val="auto"/>
              </w:rPr>
              <w:t>Total current assets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45,220,715,804</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41,387,514,129</w:t>
            </w:r>
          </w:p>
        </w:tc>
      </w:tr>
      <w:tr>
        <w:trPr>
          <w:trHeight w:val="604"/>
        </w:trPr>
        <w:tc>
          <w:tcPr>
            <w:tcW w:w="7040" w:type="dxa"/>
            <w:vAlign w:val="bottom"/>
          </w:tcPr>
          <w:p>
            <w:pPr>
              <w:spacing w:after="0"/>
              <w:rPr>
                <w:sz w:val="20"/>
                <w:szCs w:val="20"/>
                <w:color w:val="auto"/>
              </w:rPr>
            </w:pPr>
            <w:r>
              <w:rPr>
                <w:rFonts w:ascii="Arial" w:cs="Arial" w:eastAsia="Arial" w:hAnsi="Arial"/>
                <w:sz w:val="22"/>
                <w:szCs w:val="22"/>
                <w:color w:val="auto"/>
              </w:rPr>
              <w:t>Non-current assets: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Equity in net assets of nonconsolidated</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220"/>
              <w:spacing w:after="0"/>
              <w:rPr>
                <w:sz w:val="20"/>
                <w:szCs w:val="20"/>
                <w:color w:val="auto"/>
              </w:rPr>
            </w:pPr>
            <w:r>
              <w:rPr>
                <w:rFonts w:ascii="Arial" w:cs="Arial" w:eastAsia="Arial" w:hAnsi="Arial"/>
                <w:sz w:val="22"/>
                <w:szCs w:val="22"/>
                <w:color w:val="auto"/>
              </w:rPr>
              <w:t>affiliates (note 3)</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2,495,191,042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2,427,613,212</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Prepaid land use rights (note 1 (n))</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3,649,300,686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3,732,362,617</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Property, net (note 4)</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44,694,128,626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38,180,494,024</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Intangible assets (note 5)</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3,036,097,282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3,170,622,312</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Goodwill (note 1 (m))</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367,474,296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rPr>
              <w:t>367,474,296</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Deferred tax assets (note 7)</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3,802,682,764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2,507,632,536</w:t>
            </w:r>
          </w:p>
        </w:tc>
      </w:tr>
      <w:tr>
        <w:trPr>
          <w:trHeight w:val="308"/>
        </w:trPr>
        <w:tc>
          <w:tcPr>
            <w:tcW w:w="7040" w:type="dxa"/>
            <w:vAlign w:val="bottom"/>
          </w:tcPr>
          <w:p>
            <w:pPr>
              <w:ind w:left="100"/>
              <w:spacing w:after="0"/>
              <w:rPr>
                <w:sz w:val="20"/>
                <w:szCs w:val="20"/>
                <w:color w:val="auto"/>
              </w:rPr>
            </w:pPr>
            <w:r>
              <w:rPr>
                <w:rFonts w:ascii="Arial" w:cs="Arial" w:eastAsia="Arial" w:hAnsi="Arial"/>
                <w:sz w:val="22"/>
                <w:szCs w:val="22"/>
                <w:color w:val="auto"/>
              </w:rPr>
              <w:t>Other non-current assets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2,886,610</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23,189,666</w:t>
            </w:r>
          </w:p>
        </w:tc>
      </w:tr>
      <w:tr>
        <w:trPr>
          <w:trHeight w:val="426"/>
        </w:trPr>
        <w:tc>
          <w:tcPr>
            <w:tcW w:w="7040" w:type="dxa"/>
            <w:vAlign w:val="bottom"/>
          </w:tcPr>
          <w:p>
            <w:pPr>
              <w:spacing w:after="0"/>
              <w:rPr>
                <w:sz w:val="20"/>
                <w:szCs w:val="20"/>
                <w:color w:val="auto"/>
              </w:rPr>
            </w:pPr>
            <w:r>
              <w:rPr>
                <w:rFonts w:ascii="Arial" w:cs="Arial" w:eastAsia="Arial" w:hAnsi="Arial"/>
                <w:sz w:val="22"/>
                <w:szCs w:val="22"/>
                <w:color w:val="auto"/>
              </w:rPr>
              <w:t>Total non-current assets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58,047,761,306</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50,409,388,663</w:t>
            </w:r>
          </w:p>
        </w:tc>
      </w:tr>
      <w:tr>
        <w:trPr>
          <w:trHeight w:val="430"/>
        </w:trPr>
        <w:tc>
          <w:tcPr>
            <w:tcW w:w="7040" w:type="dxa"/>
            <w:vAlign w:val="bottom"/>
          </w:tcPr>
          <w:p>
            <w:pPr>
              <w:spacing w:after="0"/>
              <w:rPr>
                <w:sz w:val="20"/>
                <w:szCs w:val="20"/>
                <w:color w:val="auto"/>
              </w:rPr>
            </w:pPr>
            <w:r>
              <w:rPr>
                <w:rFonts w:ascii="Arial" w:cs="Arial" w:eastAsia="Arial" w:hAnsi="Arial"/>
                <w:sz w:val="22"/>
                <w:szCs w:val="22"/>
                <w:color w:val="auto"/>
              </w:rPr>
              <w:t>Total assets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103,268,477,110</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91,796,902,792</w:t>
            </w:r>
          </w:p>
        </w:tc>
      </w:tr>
      <w:tr>
        <w:trPr>
          <w:trHeight w:val="20"/>
        </w:trPr>
        <w:tc>
          <w:tcPr>
            <w:tcW w:w="7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10220"/>
        <w:spacing w:after="0"/>
        <w:rPr>
          <w:sz w:val="20"/>
          <w:szCs w:val="20"/>
          <w:color w:val="auto"/>
        </w:rPr>
      </w:pPr>
      <w:r>
        <w:rPr>
          <w:rFonts w:ascii="Arial" w:cs="Arial" w:eastAsia="Arial" w:hAnsi="Arial"/>
          <w:sz w:val="22"/>
          <w:szCs w:val="22"/>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641985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80" w:top="639" w:right="2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22"/>
          <w:szCs w:val="22"/>
          <w:b w:val="1"/>
          <w:bCs w:val="1"/>
          <w:color w:val="auto"/>
        </w:rPr>
        <w:t>SAIC GENERAL MOTORS CORP., LTD. AND SUBSIDIARIES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040" w:type="dxa"/>
            <w:vAlign w:val="bottom"/>
          </w:tcPr>
          <w:p>
            <w:pPr>
              <w:spacing w:after="0"/>
              <w:rPr>
                <w:sz w:val="20"/>
                <w:szCs w:val="20"/>
                <w:color w:val="auto"/>
              </w:rPr>
            </w:pPr>
            <w:r>
              <w:rPr>
                <w:rFonts w:ascii="Arial" w:cs="Arial" w:eastAsia="Arial" w:hAnsi="Arial"/>
                <w:sz w:val="22"/>
                <w:szCs w:val="22"/>
                <w:b w:val="1"/>
                <w:bCs w:val="1"/>
                <w:color w:val="auto"/>
              </w:rPr>
              <w:t>LIABILITIES AND EQUITY</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8"/>
        </w:trPr>
        <w:tc>
          <w:tcPr>
            <w:tcW w:w="70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340"/>
              <w:spacing w:after="0"/>
              <w:rPr>
                <w:sz w:val="20"/>
                <w:szCs w:val="20"/>
                <w:color w:val="auto"/>
              </w:rPr>
            </w:pPr>
            <w:r>
              <w:rPr>
                <w:rFonts w:ascii="Arial" w:cs="Arial" w:eastAsia="Arial" w:hAnsi="Arial"/>
                <w:sz w:val="22"/>
                <w:szCs w:val="22"/>
                <w:color w:val="auto"/>
                <w:w w:val="90"/>
              </w:rPr>
              <w:t>December 31</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0"/>
        </w:trPr>
        <w:tc>
          <w:tcPr>
            <w:tcW w:w="7040" w:type="dxa"/>
            <w:vAlign w:val="bottom"/>
          </w:tcPr>
          <w:p>
            <w:pPr>
              <w:spacing w:after="0"/>
              <w:rPr>
                <w:sz w:val="19"/>
                <w:szCs w:val="19"/>
                <w:color w:val="auto"/>
              </w:rPr>
            </w:pPr>
          </w:p>
        </w:tc>
        <w:tc>
          <w:tcPr>
            <w:tcW w:w="12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2016</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gridSpan w:val="3"/>
          </w:tcPr>
          <w:p>
            <w:pPr>
              <w:jc w:val="right"/>
              <w:ind w:right="800"/>
              <w:spacing w:after="0" w:line="229" w:lineRule="exact"/>
              <w:rPr>
                <w:sz w:val="20"/>
                <w:szCs w:val="20"/>
                <w:color w:val="auto"/>
              </w:rPr>
            </w:pPr>
            <w:r>
              <w:rPr>
                <w:rFonts w:ascii="Arial" w:cs="Arial" w:eastAsia="Arial" w:hAnsi="Arial"/>
                <w:sz w:val="22"/>
                <w:szCs w:val="22"/>
                <w:color w:val="auto"/>
              </w:rPr>
              <w:t>2015</w:t>
            </w:r>
          </w:p>
        </w:tc>
      </w:tr>
      <w:tr>
        <w:trPr>
          <w:trHeight w:val="328"/>
        </w:trPr>
        <w:tc>
          <w:tcPr>
            <w:tcW w:w="7040" w:type="dxa"/>
            <w:vAlign w:val="bottom"/>
          </w:tcPr>
          <w:p>
            <w:pPr>
              <w:spacing w:after="0"/>
              <w:rPr>
                <w:sz w:val="20"/>
                <w:szCs w:val="20"/>
                <w:color w:val="auto"/>
              </w:rPr>
            </w:pPr>
            <w:r>
              <w:rPr>
                <w:rFonts w:ascii="Arial" w:cs="Arial" w:eastAsia="Arial" w:hAnsi="Arial"/>
                <w:sz w:val="22"/>
                <w:szCs w:val="22"/>
                <w:color w:val="auto"/>
              </w:rPr>
              <w:t>Current liabilities:</w:t>
            </w:r>
          </w:p>
        </w:tc>
        <w:tc>
          <w:tcPr>
            <w:tcW w:w="8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Trade accounts payable</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34,887,034,846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29,803,717,918</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Due to related parties</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14,422,958,592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10,826,457,662</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Payroll payable</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3,779,258,642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3,363,424,411</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Income taxes payable</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2,195,708,965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3,512,951,655</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Dividends payable</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2,365,179,532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2,534,187,396</w:t>
            </w:r>
          </w:p>
        </w:tc>
      </w:tr>
      <w:tr>
        <w:trPr>
          <w:trHeight w:val="308"/>
        </w:trPr>
        <w:tc>
          <w:tcPr>
            <w:tcW w:w="7040" w:type="dxa"/>
            <w:vAlign w:val="bottom"/>
          </w:tcPr>
          <w:p>
            <w:pPr>
              <w:ind w:left="140"/>
              <w:spacing w:after="0"/>
              <w:rPr>
                <w:sz w:val="20"/>
                <w:szCs w:val="20"/>
                <w:color w:val="auto"/>
              </w:rPr>
            </w:pPr>
            <w:r>
              <w:rPr>
                <w:rFonts w:ascii="Arial" w:cs="Arial" w:eastAsia="Arial" w:hAnsi="Arial"/>
                <w:sz w:val="22"/>
                <w:szCs w:val="22"/>
                <w:color w:val="auto"/>
              </w:rPr>
              <w:t>Other current liabilities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7,138,021,037</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9"/>
              </w:rPr>
              <w:t>3,722,989,563</w:t>
            </w:r>
          </w:p>
        </w:tc>
      </w:tr>
      <w:tr>
        <w:trPr>
          <w:trHeight w:val="453"/>
        </w:trPr>
        <w:tc>
          <w:tcPr>
            <w:tcW w:w="704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64,788,161,614</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53,763,728,605</w:t>
            </w:r>
          </w:p>
        </w:tc>
      </w:tr>
      <w:tr>
        <w:trPr>
          <w:trHeight w:val="604"/>
        </w:trPr>
        <w:tc>
          <w:tcPr>
            <w:tcW w:w="7040" w:type="dxa"/>
            <w:vAlign w:val="bottom"/>
          </w:tcPr>
          <w:p>
            <w:pPr>
              <w:spacing w:after="0"/>
              <w:rPr>
                <w:sz w:val="20"/>
                <w:szCs w:val="20"/>
                <w:color w:val="auto"/>
              </w:rPr>
            </w:pPr>
            <w:r>
              <w:rPr>
                <w:rFonts w:ascii="Arial" w:cs="Arial" w:eastAsia="Arial" w:hAnsi="Arial"/>
                <w:sz w:val="22"/>
                <w:szCs w:val="22"/>
                <w:color w:val="auto"/>
              </w:rPr>
              <w:t>Long-term liabilities: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8"/>
        </w:trPr>
        <w:tc>
          <w:tcPr>
            <w:tcW w:w="7040" w:type="dxa"/>
            <w:vAlign w:val="bottom"/>
          </w:tcPr>
          <w:p>
            <w:pPr>
              <w:ind w:left="100"/>
              <w:spacing w:after="0"/>
              <w:rPr>
                <w:sz w:val="20"/>
                <w:szCs w:val="20"/>
                <w:color w:val="auto"/>
              </w:rPr>
            </w:pPr>
            <w:r>
              <w:rPr>
                <w:rFonts w:ascii="Arial" w:cs="Arial" w:eastAsia="Arial" w:hAnsi="Arial"/>
                <w:sz w:val="22"/>
                <w:szCs w:val="22"/>
                <w:color w:val="auto"/>
              </w:rPr>
              <w:t>Accrued and other long-term liabilities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1,196,972,083</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188,234,059</w:t>
            </w:r>
          </w:p>
        </w:tc>
      </w:tr>
      <w:tr>
        <w:trPr>
          <w:trHeight w:val="426"/>
        </w:trPr>
        <w:tc>
          <w:tcPr>
            <w:tcW w:w="7040" w:type="dxa"/>
            <w:vAlign w:val="bottom"/>
          </w:tcPr>
          <w:p>
            <w:pPr>
              <w:spacing w:after="0"/>
              <w:rPr>
                <w:sz w:val="20"/>
                <w:szCs w:val="20"/>
                <w:color w:val="auto"/>
              </w:rPr>
            </w:pPr>
            <w:r>
              <w:rPr>
                <w:rFonts w:ascii="Arial" w:cs="Arial" w:eastAsia="Arial" w:hAnsi="Arial"/>
                <w:sz w:val="22"/>
                <w:szCs w:val="22"/>
                <w:color w:val="auto"/>
              </w:rPr>
              <w:t>Total liabilities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65,985,133,697</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53,951,962,664</w:t>
            </w:r>
          </w:p>
        </w:tc>
      </w:tr>
      <w:tr>
        <w:trPr>
          <w:trHeight w:val="604"/>
        </w:trPr>
        <w:tc>
          <w:tcPr>
            <w:tcW w:w="7040" w:type="dxa"/>
            <w:vAlign w:val="bottom"/>
          </w:tcPr>
          <w:p>
            <w:pPr>
              <w:spacing w:after="0"/>
              <w:rPr>
                <w:sz w:val="20"/>
                <w:szCs w:val="20"/>
                <w:color w:val="auto"/>
              </w:rPr>
            </w:pPr>
            <w:r>
              <w:rPr>
                <w:rFonts w:ascii="Arial" w:cs="Arial" w:eastAsia="Arial" w:hAnsi="Arial"/>
                <w:sz w:val="22"/>
                <w:szCs w:val="22"/>
                <w:color w:val="auto"/>
              </w:rPr>
              <w:t>Commitment and contingencies (note 9)</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21"/>
        </w:trPr>
        <w:tc>
          <w:tcPr>
            <w:tcW w:w="7040" w:type="dxa"/>
            <w:vAlign w:val="bottom"/>
          </w:tcPr>
          <w:p>
            <w:pPr>
              <w:spacing w:after="0"/>
              <w:rPr>
                <w:sz w:val="20"/>
                <w:szCs w:val="20"/>
                <w:color w:val="auto"/>
              </w:rPr>
            </w:pPr>
            <w:r>
              <w:rPr>
                <w:rFonts w:ascii="Arial" w:cs="Arial" w:eastAsia="Arial" w:hAnsi="Arial"/>
                <w:sz w:val="22"/>
                <w:szCs w:val="22"/>
                <w:color w:val="auto"/>
              </w:rPr>
              <w:t>Equity</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Statutory capital</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8,802,006,138</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9"/>
              </w:rPr>
              <w:t>8,802,006,138</w:t>
            </w:r>
          </w:p>
        </w:tc>
      </w:tr>
      <w:tr>
        <w:trPr>
          <w:trHeight w:val="297"/>
        </w:trPr>
        <w:tc>
          <w:tcPr>
            <w:tcW w:w="7040" w:type="dxa"/>
            <w:vAlign w:val="bottom"/>
          </w:tcPr>
          <w:p>
            <w:pPr>
              <w:ind w:left="100"/>
              <w:spacing w:after="0"/>
              <w:rPr>
                <w:sz w:val="20"/>
                <w:szCs w:val="20"/>
                <w:color w:val="auto"/>
              </w:rPr>
            </w:pPr>
            <w:r>
              <w:rPr>
                <w:rFonts w:ascii="Arial" w:cs="Arial" w:eastAsia="Arial" w:hAnsi="Arial"/>
                <w:sz w:val="22"/>
                <w:szCs w:val="22"/>
                <w:color w:val="auto"/>
              </w:rPr>
              <w:t>Additional paid-in capital</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1,174,131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rPr>
              <w:t>1,174,131</w:t>
            </w:r>
          </w:p>
        </w:tc>
      </w:tr>
      <w:tr>
        <w:trPr>
          <w:trHeight w:val="308"/>
        </w:trPr>
        <w:tc>
          <w:tcPr>
            <w:tcW w:w="7040" w:type="dxa"/>
            <w:vAlign w:val="bottom"/>
          </w:tcPr>
          <w:p>
            <w:pPr>
              <w:ind w:left="100"/>
              <w:spacing w:after="0"/>
              <w:rPr>
                <w:sz w:val="20"/>
                <w:szCs w:val="20"/>
                <w:color w:val="auto"/>
              </w:rPr>
            </w:pPr>
            <w:r>
              <w:rPr>
                <w:rFonts w:ascii="Arial" w:cs="Arial" w:eastAsia="Arial" w:hAnsi="Arial"/>
                <w:sz w:val="22"/>
                <w:szCs w:val="22"/>
                <w:color w:val="auto"/>
              </w:rPr>
              <w:t>Retained earnings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22,880,427,650</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23,338,020,279</w:t>
            </w:r>
          </w:p>
        </w:tc>
      </w:tr>
      <w:tr>
        <w:trPr>
          <w:trHeight w:val="442"/>
        </w:trPr>
        <w:tc>
          <w:tcPr>
            <w:tcW w:w="7040" w:type="dxa"/>
            <w:vAlign w:val="bottom"/>
          </w:tcPr>
          <w:p>
            <w:pPr>
              <w:spacing w:after="0"/>
              <w:rPr>
                <w:sz w:val="20"/>
                <w:szCs w:val="20"/>
                <w:color w:val="auto"/>
              </w:rPr>
            </w:pPr>
            <w:r>
              <w:rPr>
                <w:rFonts w:ascii="Arial" w:cs="Arial" w:eastAsia="Arial" w:hAnsi="Arial"/>
                <w:sz w:val="22"/>
                <w:szCs w:val="22"/>
                <w:color w:val="auto"/>
              </w:rPr>
              <w:t>Total SAIC General Motors Corp., Ltd.'s equity</w:t>
            </w:r>
          </w:p>
        </w:tc>
        <w:tc>
          <w:tcPr>
            <w:tcW w:w="2080" w:type="dxa"/>
            <w:vAlign w:val="bottom"/>
            <w:gridSpan w:val="3"/>
          </w:tcPr>
          <w:p>
            <w:pPr>
              <w:jc w:val="right"/>
              <w:ind w:right="32"/>
              <w:spacing w:after="0"/>
              <w:rPr>
                <w:sz w:val="20"/>
                <w:szCs w:val="20"/>
                <w:color w:val="auto"/>
              </w:rPr>
            </w:pPr>
            <w:r>
              <w:rPr>
                <w:rFonts w:ascii="Arial" w:cs="Arial" w:eastAsia="Arial" w:hAnsi="Arial"/>
                <w:sz w:val="22"/>
                <w:szCs w:val="22"/>
                <w:color w:val="auto"/>
              </w:rPr>
              <w:t>31,683,607,919</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2"/>
                <w:szCs w:val="22"/>
                <w:color w:val="auto"/>
                <w:w w:val="91"/>
              </w:rPr>
              <w:t>32,141,200,548</w:t>
            </w:r>
          </w:p>
        </w:tc>
      </w:tr>
      <w:tr>
        <w:trPr>
          <w:trHeight w:val="308"/>
        </w:trPr>
        <w:tc>
          <w:tcPr>
            <w:tcW w:w="7040" w:type="dxa"/>
            <w:vAlign w:val="bottom"/>
          </w:tcPr>
          <w:p>
            <w:pPr>
              <w:spacing w:after="0"/>
              <w:rPr>
                <w:sz w:val="20"/>
                <w:szCs w:val="20"/>
                <w:color w:val="auto"/>
              </w:rPr>
            </w:pPr>
            <w:r>
              <w:rPr>
                <w:rFonts w:ascii="Arial" w:cs="Arial" w:eastAsia="Arial" w:hAnsi="Arial"/>
                <w:sz w:val="22"/>
                <w:szCs w:val="22"/>
                <w:color w:val="auto"/>
              </w:rPr>
              <w:t>Non-controlling interests</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5,599,735,494</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9"/>
              </w:rPr>
              <w:t>5,703,739,580</w:t>
            </w:r>
          </w:p>
        </w:tc>
      </w:tr>
      <w:tr>
        <w:trPr>
          <w:trHeight w:val="453"/>
        </w:trPr>
        <w:tc>
          <w:tcPr>
            <w:tcW w:w="7040" w:type="dxa"/>
            <w:vAlign w:val="bottom"/>
          </w:tcPr>
          <w:p>
            <w:pPr>
              <w:spacing w:after="0"/>
              <w:rPr>
                <w:sz w:val="20"/>
                <w:szCs w:val="20"/>
                <w:color w:val="auto"/>
              </w:rPr>
            </w:pPr>
            <w:r>
              <w:rPr>
                <w:rFonts w:ascii="Arial" w:cs="Arial" w:eastAsia="Arial" w:hAnsi="Arial"/>
                <w:sz w:val="22"/>
                <w:szCs w:val="22"/>
                <w:color w:val="auto"/>
              </w:rPr>
              <w:t>Total equity</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37,283,343,413</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37,844,940,128</w:t>
            </w:r>
          </w:p>
        </w:tc>
      </w:tr>
      <w:tr>
        <w:trPr>
          <w:trHeight w:val="457"/>
        </w:trPr>
        <w:tc>
          <w:tcPr>
            <w:tcW w:w="7040" w:type="dxa"/>
            <w:vAlign w:val="bottom"/>
          </w:tcPr>
          <w:p>
            <w:pPr>
              <w:spacing w:after="0"/>
              <w:rPr>
                <w:sz w:val="20"/>
                <w:szCs w:val="20"/>
                <w:color w:val="auto"/>
              </w:rPr>
            </w:pPr>
            <w:r>
              <w:rPr>
                <w:rFonts w:ascii="Arial" w:cs="Arial" w:eastAsia="Arial" w:hAnsi="Arial"/>
                <w:sz w:val="22"/>
                <w:szCs w:val="22"/>
                <w:color w:val="auto"/>
              </w:rPr>
              <w:t>Total liabilities and equity</w:t>
            </w:r>
          </w:p>
        </w:tc>
        <w:tc>
          <w:tcPr>
            <w:tcW w:w="2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22"/>
                <w:szCs w:val="22"/>
                <w:color w:val="auto"/>
              </w:rPr>
              <w:t>103,268,477,110</w:t>
            </w:r>
          </w:p>
        </w:tc>
        <w:tc>
          <w:tcPr>
            <w:tcW w:w="2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1"/>
              </w:rPr>
              <w:t>91,796,902,792</w:t>
            </w:r>
          </w:p>
        </w:tc>
      </w:tr>
      <w:tr>
        <w:trPr>
          <w:trHeight w:val="20"/>
        </w:trPr>
        <w:tc>
          <w:tcPr>
            <w:tcW w:w="7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consolidated financial statements.</w:t>
      </w:r>
    </w:p>
    <w:p>
      <w:pPr>
        <w:sectPr>
          <w:pgSz w:w="11900" w:h="16838" w:orient="portrait"/>
          <w:cols w:equalWidth="0" w:num="1">
            <w:col w:w="11380"/>
          </w:cols>
          <w:pgMar w:left="280" w:top="63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11380"/>
          </w:cols>
          <w:pgMar w:left="280" w:top="639" w:right="239" w:bottom="1440" w:gutter="0" w:footer="0" w:header="0"/>
          <w:type w:val="continuous"/>
        </w:sectPr>
      </w:pPr>
    </w:p>
    <w:bookmarkStart w:id="126" w:name="page127"/>
    <w:bookmarkEnd w:id="126"/>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Income and Comprehensive Income (Expressed in Renminbi)</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21"/>
                <w:szCs w:val="21"/>
                <w:color w:val="auto"/>
                <w:w w:val="86"/>
              </w:rPr>
              <w:t>Year ended December 31</w:t>
            </w: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1240" w:type="dxa"/>
            <w:vAlign w:val="bottom"/>
            <w:gridSpan w:val="2"/>
          </w:tcPr>
          <w:p>
            <w:pPr>
              <w:jc w:val="right"/>
              <w:spacing w:after="0" w:line="230" w:lineRule="exact"/>
              <w:rPr>
                <w:sz w:val="20"/>
                <w:szCs w:val="20"/>
                <w:color w:val="auto"/>
              </w:rPr>
            </w:pPr>
            <w:r>
              <w:rPr>
                <w:rFonts w:ascii="Arial" w:cs="Arial" w:eastAsia="Arial" w:hAnsi="Arial"/>
                <w:sz w:val="21"/>
                <w:szCs w:val="21"/>
                <w:color w:val="auto"/>
              </w:rPr>
              <w:t>2016</w:t>
            </w:r>
          </w:p>
        </w:tc>
        <w:tc>
          <w:tcPr>
            <w:tcW w:w="820" w:type="dxa"/>
            <w:vAlign w:val="bottom"/>
          </w:tcPr>
          <w:p>
            <w:pPr>
              <w:spacing w:after="0"/>
              <w:rPr>
                <w:sz w:val="19"/>
                <w:szCs w:val="19"/>
                <w:color w:val="auto"/>
              </w:rPr>
            </w:pPr>
          </w:p>
        </w:tc>
        <w:tc>
          <w:tcPr>
            <w:tcW w:w="1360" w:type="dxa"/>
            <w:vAlign w:val="bottom"/>
            <w:gridSpan w:val="3"/>
          </w:tcPr>
          <w:p>
            <w:pPr>
              <w:jc w:val="right"/>
              <w:spacing w:after="0" w:line="230" w:lineRule="exact"/>
              <w:rPr>
                <w:sz w:val="20"/>
                <w:szCs w:val="20"/>
                <w:color w:val="auto"/>
              </w:rPr>
            </w:pPr>
            <w:r>
              <w:rPr>
                <w:rFonts w:ascii="Arial" w:cs="Arial" w:eastAsia="Arial" w:hAnsi="Arial"/>
                <w:sz w:val="21"/>
                <w:szCs w:val="21"/>
                <w:color w:val="auto"/>
              </w:rPr>
              <w:t>2015</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right"/>
              <w:ind w:right="820"/>
              <w:spacing w:after="0" w:line="230" w:lineRule="exact"/>
              <w:rPr>
                <w:sz w:val="20"/>
                <w:szCs w:val="20"/>
                <w:color w:val="auto"/>
              </w:rPr>
            </w:pPr>
            <w:r>
              <w:rPr>
                <w:rFonts w:ascii="Arial" w:cs="Arial" w:eastAsia="Arial" w:hAnsi="Arial"/>
                <w:sz w:val="21"/>
                <w:szCs w:val="21"/>
                <w:color w:val="auto"/>
              </w:rPr>
              <w:t>2014</w:t>
            </w: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50"/>
        </w:trPr>
        <w:tc>
          <w:tcPr>
            <w:tcW w:w="5000" w:type="dxa"/>
            <w:vAlign w:val="bottom"/>
          </w:tcPr>
          <w:p>
            <w:pPr>
              <w:spacing w:after="0"/>
              <w:rPr>
                <w:sz w:val="20"/>
                <w:szCs w:val="20"/>
                <w:color w:val="auto"/>
              </w:rPr>
            </w:pPr>
            <w:r>
              <w:rPr>
                <w:rFonts w:ascii="Arial" w:cs="Arial" w:eastAsia="Arial" w:hAnsi="Arial"/>
                <w:sz w:val="21"/>
                <w:szCs w:val="21"/>
                <w:color w:val="auto"/>
              </w:rPr>
              <w:t>Net sales</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194,159,337,182</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168,716,257,269</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157,884,662,493</w:t>
            </w:r>
          </w:p>
        </w:tc>
      </w:tr>
      <w:tr>
        <w:trPr>
          <w:trHeight w:val="445"/>
        </w:trPr>
        <w:tc>
          <w:tcPr>
            <w:tcW w:w="5000" w:type="dxa"/>
            <w:vAlign w:val="bottom"/>
          </w:tcPr>
          <w:p>
            <w:pPr>
              <w:spacing w:after="0"/>
              <w:rPr>
                <w:sz w:val="20"/>
                <w:szCs w:val="20"/>
                <w:color w:val="auto"/>
              </w:rPr>
            </w:pPr>
            <w:r>
              <w:rPr>
                <w:rFonts w:ascii="Arial" w:cs="Arial" w:eastAsia="Arial" w:hAnsi="Arial"/>
                <w:sz w:val="21"/>
                <w:szCs w:val="21"/>
                <w:color w:val="auto"/>
              </w:rPr>
              <w:t>Cost of goods sold</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(162,257,106,888)</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(137,347,334,128)</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(129,155,500,543)</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Gross profit</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31,902,230,294</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31,368,923,141</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28,729,161,950</w:t>
            </w:r>
          </w:p>
        </w:tc>
      </w:tr>
      <w:tr>
        <w:trPr>
          <w:trHeight w:val="472"/>
        </w:trPr>
        <w:tc>
          <w:tcPr>
            <w:tcW w:w="5000" w:type="dxa"/>
            <w:vAlign w:val="bottom"/>
          </w:tcPr>
          <w:p>
            <w:pPr>
              <w:spacing w:after="0"/>
              <w:rPr>
                <w:sz w:val="20"/>
                <w:szCs w:val="20"/>
                <w:color w:val="auto"/>
              </w:rPr>
            </w:pPr>
            <w:r>
              <w:rPr>
                <w:rFonts w:ascii="Arial" w:cs="Arial" w:eastAsia="Arial" w:hAnsi="Arial"/>
                <w:sz w:val="21"/>
                <w:szCs w:val="21"/>
                <w:color w:val="auto"/>
              </w:rPr>
              <w:t>Selling, general and administrative expenses</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(7,982,381,467)</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(6,761,117,080)</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(7,122,923,845)</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Operating profit</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23,919,848,827</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24,607,806,061</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21,606,238,105</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Interest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299,307,399</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428,504,304</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755,400,797</w:t>
            </w:r>
          </w:p>
        </w:tc>
      </w:tr>
      <w:tr>
        <w:trPr>
          <w:trHeight w:val="310"/>
        </w:trPr>
        <w:tc>
          <w:tcPr>
            <w:tcW w:w="5000" w:type="dxa"/>
            <w:vAlign w:val="bottom"/>
          </w:tcPr>
          <w:p>
            <w:pPr>
              <w:spacing w:after="0"/>
              <w:rPr>
                <w:sz w:val="20"/>
                <w:szCs w:val="20"/>
                <w:color w:val="auto"/>
              </w:rPr>
            </w:pPr>
            <w:r>
              <w:rPr>
                <w:rFonts w:ascii="Arial" w:cs="Arial" w:eastAsia="Arial" w:hAnsi="Arial"/>
                <w:sz w:val="21"/>
                <w:szCs w:val="21"/>
                <w:color w:val="auto"/>
              </w:rPr>
              <w:t>Other income and expense, net</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1"/>
                <w:szCs w:val="21"/>
                <w:color w:val="auto"/>
              </w:rPr>
              <w:t>(87,870,913)</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1"/>
                <w:szCs w:val="21"/>
                <w:color w:val="auto"/>
              </w:rPr>
              <w:t>(124,957,109)</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1"/>
                <w:szCs w:val="21"/>
                <w:color w:val="auto"/>
              </w:rPr>
              <w:t>14,937,405</w:t>
            </w:r>
          </w:p>
        </w:tc>
      </w:tr>
      <w:tr>
        <w:trPr>
          <w:trHeight w:val="413"/>
        </w:trPr>
        <w:tc>
          <w:tcPr>
            <w:tcW w:w="5000" w:type="dxa"/>
            <w:vAlign w:val="bottom"/>
          </w:tcPr>
          <w:p>
            <w:pPr>
              <w:spacing w:after="0"/>
              <w:rPr>
                <w:sz w:val="20"/>
                <w:szCs w:val="20"/>
                <w:color w:val="auto"/>
              </w:rPr>
            </w:pPr>
            <w:r>
              <w:rPr>
                <w:rFonts w:ascii="Arial" w:cs="Arial" w:eastAsia="Arial" w:hAnsi="Arial"/>
                <w:sz w:val="21"/>
                <w:szCs w:val="21"/>
                <w:color w:val="auto"/>
              </w:rPr>
              <w:t>Income before income taxes and equity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24,131,285,313</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24,911,353,256</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22,376,576,307</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Income tax expense (note 7)</w:t>
            </w:r>
          </w:p>
        </w:tc>
        <w:tc>
          <w:tcPr>
            <w:tcW w:w="2060" w:type="dxa"/>
            <w:vAlign w:val="bottom"/>
            <w:gridSpan w:val="3"/>
          </w:tcPr>
          <w:p>
            <w:pPr>
              <w:jc w:val="right"/>
              <w:ind w:right="60"/>
              <w:spacing w:after="0"/>
              <w:rPr>
                <w:sz w:val="20"/>
                <w:szCs w:val="20"/>
                <w:color w:val="auto"/>
              </w:rPr>
            </w:pPr>
            <w:r>
              <w:rPr>
                <w:rFonts w:ascii="Arial" w:cs="Arial" w:eastAsia="Arial" w:hAnsi="Arial"/>
                <w:sz w:val="21"/>
                <w:szCs w:val="21"/>
                <w:color w:val="auto"/>
              </w:rPr>
              <w:t>(5,684,376,621)</w:t>
            </w:r>
          </w:p>
        </w:tc>
        <w:tc>
          <w:tcPr>
            <w:tcW w:w="2180" w:type="dxa"/>
            <w:vAlign w:val="bottom"/>
            <w:gridSpan w:val="4"/>
          </w:tcPr>
          <w:p>
            <w:pPr>
              <w:jc w:val="right"/>
              <w:ind w:right="40"/>
              <w:spacing w:after="0"/>
              <w:rPr>
                <w:sz w:val="20"/>
                <w:szCs w:val="20"/>
                <w:color w:val="auto"/>
              </w:rPr>
            </w:pPr>
            <w:r>
              <w:rPr>
                <w:rFonts w:ascii="Arial" w:cs="Arial" w:eastAsia="Arial" w:hAnsi="Arial"/>
                <w:sz w:val="21"/>
                <w:szCs w:val="21"/>
                <w:color w:val="auto"/>
              </w:rPr>
              <w:t>(5,881,350,456)</w:t>
            </w:r>
          </w:p>
        </w:tc>
        <w:tc>
          <w:tcPr>
            <w:tcW w:w="100" w:type="dxa"/>
            <w:vAlign w:val="bottom"/>
          </w:tcPr>
          <w:p>
            <w:pPr>
              <w:spacing w:after="0"/>
              <w:rPr>
                <w:sz w:val="24"/>
                <w:szCs w:val="24"/>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21"/>
                <w:szCs w:val="21"/>
                <w:color w:val="auto"/>
              </w:rPr>
              <w:t>(5,136,447,549)</w:t>
            </w:r>
          </w:p>
        </w:tc>
      </w:tr>
      <w:tr>
        <w:trPr>
          <w:trHeight w:val="310"/>
        </w:trPr>
        <w:tc>
          <w:tcPr>
            <w:tcW w:w="5000" w:type="dxa"/>
            <w:vAlign w:val="bottom"/>
          </w:tcPr>
          <w:p>
            <w:pPr>
              <w:spacing w:after="0"/>
              <w:rPr>
                <w:sz w:val="20"/>
                <w:szCs w:val="20"/>
                <w:color w:val="auto"/>
              </w:rPr>
            </w:pPr>
            <w:r>
              <w:rPr>
                <w:rFonts w:ascii="Arial" w:cs="Arial" w:eastAsia="Arial" w:hAnsi="Arial"/>
                <w:sz w:val="21"/>
                <w:szCs w:val="21"/>
                <w:color w:val="auto"/>
              </w:rPr>
              <w:t>Equity income, net of tax</w:t>
            </w: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1"/>
                <w:szCs w:val="21"/>
                <w:color w:val="auto"/>
              </w:rPr>
              <w:t>581,814,216</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1"/>
                <w:szCs w:val="21"/>
                <w:color w:val="auto"/>
              </w:rPr>
              <w:t>451,723,297</w:t>
            </w: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1"/>
                <w:szCs w:val="21"/>
                <w:color w:val="auto"/>
              </w:rPr>
              <w:t>389,419,130</w:t>
            </w:r>
          </w:p>
        </w:tc>
      </w:tr>
      <w:tr>
        <w:trPr>
          <w:trHeight w:val="413"/>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19,028,722,908</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19,481,726,097</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17,629,547,888</w:t>
            </w:r>
          </w:p>
        </w:tc>
      </w:tr>
      <w:tr>
        <w:trPr>
          <w:trHeight w:val="432"/>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0"/>
        </w:trPr>
        <w:tc>
          <w:tcPr>
            <w:tcW w:w="5000" w:type="dxa"/>
            <w:vAlign w:val="bottom"/>
          </w:tcPr>
          <w:p>
            <w:pPr>
              <w:ind w:left="100"/>
              <w:spacing w:after="0"/>
              <w:rPr>
                <w:sz w:val="20"/>
                <w:szCs w:val="20"/>
                <w:color w:val="auto"/>
              </w:rPr>
            </w:pPr>
            <w:r>
              <w:rPr>
                <w:rFonts w:ascii="Arial" w:cs="Arial" w:eastAsia="Arial" w:hAnsi="Arial"/>
                <w:sz w:val="21"/>
                <w:szCs w:val="21"/>
                <w:color w:val="auto"/>
              </w:rPr>
              <w:t>attributable to non-controlling interests</w:t>
            </w:r>
          </w:p>
        </w:tc>
        <w:tc>
          <w:tcPr>
            <w:tcW w:w="2060" w:type="dxa"/>
            <w:vAlign w:val="bottom"/>
            <w:gridSpan w:val="3"/>
          </w:tcPr>
          <w:p>
            <w:pPr>
              <w:jc w:val="right"/>
              <w:ind w:right="60"/>
              <w:spacing w:after="0"/>
              <w:rPr>
                <w:sz w:val="20"/>
                <w:szCs w:val="20"/>
                <w:color w:val="auto"/>
              </w:rPr>
            </w:pPr>
            <w:r>
              <w:rPr>
                <w:rFonts w:ascii="Arial" w:cs="Arial" w:eastAsia="Arial" w:hAnsi="Arial"/>
                <w:sz w:val="21"/>
                <w:szCs w:val="21"/>
                <w:color w:val="auto"/>
              </w:rPr>
              <w:t>(2,571,679,668)</w:t>
            </w:r>
          </w:p>
        </w:tc>
        <w:tc>
          <w:tcPr>
            <w:tcW w:w="2180" w:type="dxa"/>
            <w:vAlign w:val="bottom"/>
            <w:gridSpan w:val="4"/>
          </w:tcPr>
          <w:p>
            <w:pPr>
              <w:jc w:val="right"/>
              <w:ind w:right="40"/>
              <w:spacing w:after="0"/>
              <w:rPr>
                <w:sz w:val="20"/>
                <w:szCs w:val="20"/>
                <w:color w:val="auto"/>
              </w:rPr>
            </w:pPr>
            <w:r>
              <w:rPr>
                <w:rFonts w:ascii="Arial" w:cs="Arial" w:eastAsia="Arial" w:hAnsi="Arial"/>
                <w:sz w:val="21"/>
                <w:szCs w:val="21"/>
                <w:color w:val="auto"/>
              </w:rPr>
              <w:t>(3,061,024,429)</w:t>
            </w:r>
          </w:p>
        </w:tc>
        <w:tc>
          <w:tcPr>
            <w:tcW w:w="100" w:type="dxa"/>
            <w:vAlign w:val="bottom"/>
          </w:tcPr>
          <w:p>
            <w:pPr>
              <w:spacing w:after="0"/>
              <w:rPr>
                <w:sz w:val="24"/>
                <w:szCs w:val="24"/>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21"/>
                <w:szCs w:val="21"/>
                <w:color w:val="auto"/>
              </w:rPr>
              <w:t>(3,019,100,786)</w:t>
            </w:r>
          </w:p>
        </w:tc>
      </w:tr>
      <w:tr>
        <w:trPr>
          <w:trHeight w:val="548"/>
        </w:trPr>
        <w:tc>
          <w:tcPr>
            <w:tcW w:w="5000" w:type="dxa"/>
            <w:vAlign w:val="bottom"/>
          </w:tcPr>
          <w:p>
            <w:pPr>
              <w:spacing w:after="0"/>
              <w:rPr>
                <w:sz w:val="20"/>
                <w:szCs w:val="20"/>
                <w:color w:val="auto"/>
              </w:rPr>
            </w:pPr>
            <w:r>
              <w:rPr>
                <w:rFonts w:ascii="Arial" w:cs="Arial" w:eastAsia="Arial" w:hAnsi="Arial"/>
                <w:sz w:val="21"/>
                <w:szCs w:val="21"/>
                <w:color w:val="auto"/>
              </w:rPr>
              <w:t>Net income and comprehensive income</w:t>
            </w: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313"/>
        </w:trPr>
        <w:tc>
          <w:tcPr>
            <w:tcW w:w="5000" w:type="dxa"/>
            <w:vAlign w:val="bottom"/>
          </w:tcPr>
          <w:p>
            <w:pPr>
              <w:ind w:left="100"/>
              <w:spacing w:after="0"/>
              <w:rPr>
                <w:sz w:val="20"/>
                <w:szCs w:val="20"/>
                <w:color w:val="auto"/>
              </w:rPr>
            </w:pPr>
            <w:r>
              <w:rPr>
                <w:rFonts w:ascii="Arial" w:cs="Arial" w:eastAsia="Arial" w:hAnsi="Arial"/>
                <w:sz w:val="21"/>
                <w:szCs w:val="21"/>
                <w:color w:val="auto"/>
              </w:rPr>
              <w:t>attributable to shareholders</w:t>
            </w:r>
          </w:p>
        </w:tc>
        <w:tc>
          <w:tcPr>
            <w:tcW w:w="2060" w:type="dxa"/>
            <w:vAlign w:val="bottom"/>
            <w:gridSpan w:val="3"/>
          </w:tcPr>
          <w:p>
            <w:pPr>
              <w:jc w:val="right"/>
              <w:ind w:right="120"/>
              <w:spacing w:after="0"/>
              <w:rPr>
                <w:sz w:val="20"/>
                <w:szCs w:val="20"/>
                <w:color w:val="auto"/>
              </w:rPr>
            </w:pPr>
            <w:r>
              <w:rPr>
                <w:rFonts w:ascii="Arial" w:cs="Arial" w:eastAsia="Arial" w:hAnsi="Arial"/>
                <w:sz w:val="21"/>
                <w:szCs w:val="21"/>
                <w:color w:val="auto"/>
              </w:rPr>
              <w:t>16,457,043,240</w:t>
            </w:r>
          </w:p>
        </w:tc>
        <w:tc>
          <w:tcPr>
            <w:tcW w:w="2180" w:type="dxa"/>
            <w:vAlign w:val="bottom"/>
            <w:gridSpan w:val="4"/>
          </w:tcPr>
          <w:p>
            <w:pPr>
              <w:jc w:val="right"/>
              <w:ind w:right="120"/>
              <w:spacing w:after="0"/>
              <w:rPr>
                <w:sz w:val="20"/>
                <w:szCs w:val="20"/>
                <w:color w:val="auto"/>
              </w:rPr>
            </w:pPr>
            <w:r>
              <w:rPr>
                <w:rFonts w:ascii="Arial" w:cs="Arial" w:eastAsia="Arial" w:hAnsi="Arial"/>
                <w:sz w:val="21"/>
                <w:szCs w:val="21"/>
                <w:color w:val="auto"/>
              </w:rPr>
              <w:t>16,420,701,668</w:t>
            </w:r>
          </w:p>
        </w:tc>
        <w:tc>
          <w:tcPr>
            <w:tcW w:w="100" w:type="dxa"/>
            <w:vAlign w:val="bottom"/>
          </w:tcPr>
          <w:p>
            <w:pPr>
              <w:spacing w:after="0"/>
              <w:rPr>
                <w:sz w:val="24"/>
                <w:szCs w:val="24"/>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21"/>
                <w:szCs w:val="21"/>
                <w:color w:val="auto"/>
              </w:rPr>
              <w:t>14,610,447,102</w:t>
            </w:r>
          </w:p>
        </w:tc>
      </w:tr>
      <w:tr>
        <w:trPr>
          <w:trHeight w:val="20"/>
        </w:trPr>
        <w:tc>
          <w:tcPr>
            <w:tcW w:w="5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80" w:top="639" w:right="239" w:bottom="1440" w:gutter="0" w:footer="0" w:header="0"/>
        </w:sectPr>
      </w:pPr>
    </w:p>
    <w:bookmarkStart w:id="127" w:name="page128"/>
    <w:bookmarkEnd w:id="127"/>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Equity (Expressed in Renminbi)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9"/>
              </w:rPr>
              <w:t>Additional</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70"/>
        </w:trPr>
        <w:tc>
          <w:tcPr>
            <w:tcW w:w="4080" w:type="dxa"/>
            <w:vAlign w:val="bottom"/>
          </w:tcPr>
          <w:p>
            <w:pPr>
              <w:spacing w:after="0"/>
              <w:rPr>
                <w:sz w:val="23"/>
                <w:szCs w:val="23"/>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6"/>
                <w:szCs w:val="16"/>
                <w:color w:val="auto"/>
                <w:w w:val="93"/>
              </w:rPr>
              <w:t>Statutory</w:t>
            </w: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paid-in</w:t>
            </w:r>
          </w:p>
        </w:tc>
        <w:tc>
          <w:tcPr>
            <w:tcW w:w="1580" w:type="dxa"/>
            <w:vAlign w:val="bottom"/>
            <w:gridSpan w:val="4"/>
          </w:tcPr>
          <w:p>
            <w:pPr>
              <w:ind w:left="460"/>
              <w:spacing w:after="0"/>
              <w:rPr>
                <w:sz w:val="20"/>
                <w:szCs w:val="20"/>
                <w:color w:val="auto"/>
              </w:rPr>
            </w:pPr>
            <w:r>
              <w:rPr>
                <w:rFonts w:ascii="Arial" w:cs="Arial" w:eastAsia="Arial" w:hAnsi="Arial"/>
                <w:sz w:val="16"/>
                <w:szCs w:val="16"/>
                <w:color w:val="auto"/>
              </w:rPr>
              <w:t>Retained</w:t>
            </w:r>
          </w:p>
        </w:tc>
        <w:tc>
          <w:tcPr>
            <w:tcW w:w="1580" w:type="dxa"/>
            <w:vAlign w:val="bottom"/>
            <w:gridSpan w:val="4"/>
          </w:tcPr>
          <w:p>
            <w:pPr>
              <w:jc w:val="center"/>
              <w:ind w:right="100"/>
              <w:spacing w:after="0"/>
              <w:rPr>
                <w:sz w:val="20"/>
                <w:szCs w:val="20"/>
                <w:color w:val="auto"/>
              </w:rPr>
            </w:pPr>
            <w:r>
              <w:rPr>
                <w:rFonts w:ascii="Arial" w:cs="Arial" w:eastAsia="Arial" w:hAnsi="Arial"/>
                <w:sz w:val="16"/>
                <w:szCs w:val="16"/>
                <w:color w:val="auto"/>
                <w:w w:val="96"/>
              </w:rPr>
              <w:t>Non-controlling</w:t>
            </w:r>
          </w:p>
        </w:tc>
        <w:tc>
          <w:tcPr>
            <w:tcW w:w="540" w:type="dxa"/>
            <w:vAlign w:val="bottom"/>
          </w:tcPr>
          <w:p>
            <w:pPr>
              <w:spacing w:after="0"/>
              <w:rPr>
                <w:sz w:val="23"/>
                <w:szCs w:val="23"/>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6"/>
                <w:szCs w:val="16"/>
                <w:color w:val="auto"/>
                <w:w w:val="95"/>
              </w:rPr>
              <w:t>Total</w:t>
            </w:r>
          </w:p>
        </w:tc>
      </w:tr>
      <w:tr>
        <w:trPr>
          <w:trHeight w:val="236"/>
        </w:trPr>
        <w:tc>
          <w:tcPr>
            <w:tcW w:w="4080" w:type="dxa"/>
            <w:vAlign w:val="bottom"/>
          </w:tcPr>
          <w:p>
            <w:pPr>
              <w:spacing w:after="0"/>
              <w:rPr>
                <w:sz w:val="20"/>
                <w:szCs w:val="20"/>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capital</w:t>
            </w:r>
          </w:p>
        </w:tc>
        <w:tc>
          <w:tcPr>
            <w:tcW w:w="1160" w:type="dxa"/>
            <w:vAlign w:val="bottom"/>
            <w:gridSpan w:val="4"/>
          </w:tcPr>
          <w:p>
            <w:pPr>
              <w:jc w:val="center"/>
              <w:ind w:right="100"/>
              <w:spacing w:after="0"/>
              <w:rPr>
                <w:sz w:val="20"/>
                <w:szCs w:val="20"/>
                <w:color w:val="auto"/>
              </w:rPr>
            </w:pPr>
            <w:r>
              <w:rPr>
                <w:rFonts w:ascii="Arial" w:cs="Arial" w:eastAsia="Arial" w:hAnsi="Arial"/>
                <w:sz w:val="16"/>
                <w:szCs w:val="16"/>
                <w:color w:val="auto"/>
                <w:w w:val="90"/>
              </w:rPr>
              <w:t>capital</w:t>
            </w:r>
          </w:p>
        </w:tc>
        <w:tc>
          <w:tcPr>
            <w:tcW w:w="4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6"/>
                <w:szCs w:val="16"/>
                <w:color w:val="auto"/>
              </w:rPr>
              <w:t>earnings</w:t>
            </w:r>
          </w:p>
        </w:tc>
        <w:tc>
          <w:tcPr>
            <w:tcW w:w="480" w:type="dxa"/>
            <w:vAlign w:val="bottom"/>
          </w:tcPr>
          <w:p>
            <w:pPr>
              <w:spacing w:after="0"/>
              <w:rPr>
                <w:sz w:val="20"/>
                <w:szCs w:val="20"/>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6"/>
                <w:szCs w:val="16"/>
                <w:color w:val="auto"/>
                <w:w w:val="89"/>
              </w:rPr>
              <w:t>interests</w:t>
            </w:r>
          </w:p>
        </w:tc>
        <w:tc>
          <w:tcPr>
            <w:tcW w:w="54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w w:val="88"/>
              </w:rPr>
              <w:t>equity</w:t>
            </w:r>
          </w:p>
        </w:tc>
      </w:tr>
      <w:tr>
        <w:trPr>
          <w:trHeight w:val="420"/>
        </w:trPr>
        <w:tc>
          <w:tcPr>
            <w:tcW w:w="4080" w:type="dxa"/>
            <w:vAlign w:val="bottom"/>
          </w:tcPr>
          <w:p>
            <w:pPr>
              <w:spacing w:after="0"/>
              <w:rPr>
                <w:sz w:val="20"/>
                <w:szCs w:val="20"/>
                <w:color w:val="auto"/>
              </w:rPr>
            </w:pPr>
            <w:r>
              <w:rPr>
                <w:rFonts w:ascii="Arial" w:cs="Arial" w:eastAsia="Arial" w:hAnsi="Arial"/>
                <w:sz w:val="16"/>
                <w:szCs w:val="16"/>
                <w:color w:val="auto"/>
              </w:rPr>
              <w:t>Balance at January 1, 2014</w:t>
            </w:r>
          </w:p>
        </w:tc>
        <w:tc>
          <w:tcPr>
            <w:tcW w:w="4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(Unaudited)</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3"/>
                <w:szCs w:val="23"/>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17,913,428,077</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6,288,646,124</w:t>
            </w:r>
          </w:p>
        </w:tc>
        <w:tc>
          <w:tcPr>
            <w:tcW w:w="10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33,005,254,470</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14,610,447,102</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3,019,100,786</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17,629,547,888</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(11,506,551,711)</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(2,846,197,002)</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(14,352,748,713)</w:t>
            </w:r>
          </w:p>
        </w:tc>
      </w:tr>
      <w:tr>
        <w:trPr>
          <w:trHeight w:val="33"/>
        </w:trPr>
        <w:tc>
          <w:tcPr>
            <w:tcW w:w="4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501"/>
        </w:trPr>
        <w:tc>
          <w:tcPr>
            <w:tcW w:w="4080" w:type="dxa"/>
            <w:vAlign w:val="bottom"/>
          </w:tcPr>
          <w:p>
            <w:pPr>
              <w:spacing w:after="0"/>
              <w:rPr>
                <w:sz w:val="20"/>
                <w:szCs w:val="20"/>
                <w:color w:val="auto"/>
              </w:rPr>
            </w:pPr>
            <w:r>
              <w:rPr>
                <w:rFonts w:ascii="Arial" w:cs="Arial" w:eastAsia="Arial" w:hAnsi="Arial"/>
                <w:sz w:val="16"/>
                <w:szCs w:val="16"/>
                <w:color w:val="auto"/>
              </w:rPr>
              <w:t>Balance at December 31, 2014</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21,017,323,468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6,461,549,908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36,282,053,645</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16,420,701,668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3,061,024,429</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19,481,726,097</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(14,100,004,857)</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(3,818,834,757)</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(17,918,839,614)</w:t>
            </w:r>
          </w:p>
        </w:tc>
      </w:tr>
      <w:tr>
        <w:trPr>
          <w:trHeight w:val="33"/>
        </w:trPr>
        <w:tc>
          <w:tcPr>
            <w:tcW w:w="4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501"/>
        </w:trPr>
        <w:tc>
          <w:tcPr>
            <w:tcW w:w="4080" w:type="dxa"/>
            <w:vAlign w:val="bottom"/>
          </w:tcPr>
          <w:p>
            <w:pPr>
              <w:spacing w:after="0"/>
              <w:rPr>
                <w:sz w:val="20"/>
                <w:szCs w:val="20"/>
                <w:color w:val="auto"/>
              </w:rPr>
            </w:pPr>
            <w:r>
              <w:rPr>
                <w:rFonts w:ascii="Arial" w:cs="Arial" w:eastAsia="Arial" w:hAnsi="Arial"/>
                <w:sz w:val="16"/>
                <w:szCs w:val="16"/>
                <w:color w:val="auto"/>
              </w:rPr>
              <w:t>Balance at December 31, 2015</w:t>
            </w:r>
          </w:p>
        </w:tc>
        <w:tc>
          <w:tcPr>
            <w:tcW w:w="1380" w:type="dxa"/>
            <w:vAlign w:val="bottom"/>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23,338,020,279</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5,703,739,580</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37,844,940,128</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Net Income and comprehensive income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16,457,043,240</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2,571,679,668</w:t>
            </w:r>
          </w:p>
        </w:tc>
        <w:tc>
          <w:tcPr>
            <w:tcW w:w="10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19,028,722,908</w:t>
            </w:r>
          </w:p>
        </w:tc>
      </w:tr>
      <w:tr>
        <w:trPr>
          <w:trHeight w:val="405"/>
        </w:trPr>
        <w:tc>
          <w:tcPr>
            <w:tcW w:w="4080" w:type="dxa"/>
            <w:vAlign w:val="bottom"/>
          </w:tcPr>
          <w:p>
            <w:pPr>
              <w:spacing w:after="0"/>
              <w:rPr>
                <w:sz w:val="20"/>
                <w:szCs w:val="20"/>
                <w:color w:val="auto"/>
              </w:rPr>
            </w:pPr>
            <w:r>
              <w:rPr>
                <w:rFonts w:ascii="Arial" w:cs="Arial" w:eastAsia="Arial" w:hAnsi="Arial"/>
                <w:sz w:val="16"/>
                <w:szCs w:val="16"/>
                <w:color w:val="auto"/>
              </w:rPr>
              <w:t>Dividends Declared</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(16,914,635,869)</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(2,675,683,754)</w:t>
            </w:r>
          </w:p>
        </w:tc>
        <w:tc>
          <w:tcPr>
            <w:tcW w:w="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(19,590,319,623)</w:t>
            </w:r>
          </w:p>
        </w:tc>
      </w:tr>
      <w:tr>
        <w:trPr>
          <w:trHeight w:val="33"/>
        </w:trPr>
        <w:tc>
          <w:tcPr>
            <w:tcW w:w="4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514"/>
        </w:trPr>
        <w:tc>
          <w:tcPr>
            <w:tcW w:w="4080" w:type="dxa"/>
            <w:vAlign w:val="bottom"/>
          </w:tcPr>
          <w:p>
            <w:pPr>
              <w:spacing w:after="0"/>
              <w:rPr>
                <w:sz w:val="20"/>
                <w:szCs w:val="20"/>
                <w:color w:val="auto"/>
              </w:rPr>
            </w:pPr>
            <w:r>
              <w:rPr>
                <w:rFonts w:ascii="Arial" w:cs="Arial" w:eastAsia="Arial" w:hAnsi="Arial"/>
                <w:sz w:val="16"/>
                <w:szCs w:val="16"/>
                <w:color w:val="auto"/>
              </w:rPr>
              <w:t>Balance at December 31, 2016</w:t>
            </w:r>
          </w:p>
        </w:tc>
        <w:tc>
          <w:tcPr>
            <w:tcW w:w="1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8,802,006,138</w:t>
            </w:r>
          </w:p>
        </w:tc>
        <w:tc>
          <w:tcPr>
            <w:tcW w:w="120" w:type="dxa"/>
            <w:vAlign w:val="bottom"/>
          </w:tcPr>
          <w:p>
            <w:pPr>
              <w:spacing w:after="0"/>
              <w:rPr>
                <w:sz w:val="24"/>
                <w:szCs w:val="24"/>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1,174,131</w:t>
            </w:r>
          </w:p>
        </w:tc>
        <w:tc>
          <w:tcPr>
            <w:tcW w:w="1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22,880,427,650</w:t>
            </w:r>
          </w:p>
        </w:tc>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5,599,735,494</w:t>
            </w:r>
          </w:p>
        </w:tc>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37,283,343,413</w:t>
            </w:r>
          </w:p>
        </w:tc>
      </w:tr>
      <w:tr>
        <w:trPr>
          <w:trHeight w:val="20"/>
        </w:trPr>
        <w:tc>
          <w:tcPr>
            <w:tcW w:w="4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80" w:top="639" w:right="239" w:bottom="1440" w:gutter="0" w:footer="0" w:header="0"/>
        </w:sectPr>
      </w:pPr>
    </w:p>
    <w:bookmarkStart w:id="128" w:name="page129"/>
    <w:bookmarkEnd w:id="128"/>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Cash Flows (Expressed in Renminbi)</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22"/>
                <w:szCs w:val="22"/>
                <w:color w:val="auto"/>
                <w:w w:val="92"/>
              </w:rPr>
              <w:t>Year ended December 31</w:t>
            </w: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2016</w:t>
            </w:r>
          </w:p>
        </w:tc>
        <w:tc>
          <w:tcPr>
            <w:tcW w:w="820" w:type="dxa"/>
            <w:vAlign w:val="bottom"/>
          </w:tcPr>
          <w:p>
            <w:pPr>
              <w:spacing w:after="0"/>
              <w:rPr>
                <w:sz w:val="19"/>
                <w:szCs w:val="19"/>
                <w:color w:val="auto"/>
              </w:rPr>
            </w:pPr>
          </w:p>
        </w:tc>
        <w:tc>
          <w:tcPr>
            <w:tcW w:w="2180" w:type="dxa"/>
            <w:vAlign w:val="bottom"/>
            <w:gridSpan w:val="4"/>
          </w:tcPr>
          <w:p>
            <w:pPr>
              <w:jc w:val="right"/>
              <w:ind w:right="760"/>
              <w:spacing w:after="0" w:line="229" w:lineRule="exact"/>
              <w:rPr>
                <w:sz w:val="20"/>
                <w:szCs w:val="20"/>
                <w:color w:val="auto"/>
              </w:rPr>
            </w:pPr>
            <w:r>
              <w:rPr>
                <w:rFonts w:ascii="Arial" w:cs="Arial" w:eastAsia="Arial" w:hAnsi="Arial"/>
                <w:sz w:val="22"/>
                <w:szCs w:val="22"/>
                <w:color w:val="auto"/>
              </w:rPr>
              <w:t>2015</w:t>
            </w:r>
          </w:p>
        </w:tc>
        <w:tc>
          <w:tcPr>
            <w:tcW w:w="200" w:type="dxa"/>
            <w:vAlign w:val="bottom"/>
          </w:tcPr>
          <w:p>
            <w:pPr>
              <w:spacing w:after="0"/>
              <w:rPr>
                <w:sz w:val="19"/>
                <w:szCs w:val="19"/>
                <w:color w:val="auto"/>
              </w:rPr>
            </w:pPr>
          </w:p>
        </w:tc>
        <w:tc>
          <w:tcPr>
            <w:tcW w:w="120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2014</w:t>
            </w:r>
          </w:p>
        </w:tc>
        <w:tc>
          <w:tcPr>
            <w:tcW w:w="740" w:type="dxa"/>
            <w:vAlign w:val="bottom"/>
          </w:tcPr>
          <w:p>
            <w:pPr>
              <w:spacing w:after="0"/>
              <w:rPr>
                <w:sz w:val="19"/>
                <w:szCs w:val="19"/>
                <w:color w:val="auto"/>
              </w:rPr>
            </w:pPr>
          </w:p>
        </w:tc>
      </w:tr>
      <w:tr>
        <w:trPr>
          <w:trHeight w:val="625"/>
        </w:trPr>
        <w:tc>
          <w:tcPr>
            <w:tcW w:w="500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8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spacing w:after="0"/>
              <w:rPr>
                <w:sz w:val="20"/>
                <w:szCs w:val="20"/>
                <w:color w:val="auto"/>
              </w:rPr>
            </w:pPr>
            <w:r>
              <w:rPr>
                <w:rFonts w:ascii="Arial" w:cs="Arial" w:eastAsia="Arial" w:hAnsi="Arial"/>
                <w:sz w:val="22"/>
                <w:szCs w:val="22"/>
                <w:color w:val="auto"/>
              </w:rPr>
              <w:t>Net income</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19,028,722,908</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19,481,726,097</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17,629,547,888</w:t>
            </w:r>
          </w:p>
        </w:tc>
      </w:tr>
      <w:tr>
        <w:trPr>
          <w:trHeight w:val="297"/>
        </w:trPr>
        <w:tc>
          <w:tcPr>
            <w:tcW w:w="5000" w:type="dxa"/>
            <w:vAlign w:val="bottom"/>
          </w:tcPr>
          <w:p>
            <w:pPr>
              <w:ind w:left="100"/>
              <w:spacing w:after="0"/>
              <w:rPr>
                <w:sz w:val="20"/>
                <w:szCs w:val="20"/>
                <w:color w:val="auto"/>
              </w:rPr>
            </w:pPr>
            <w:r>
              <w:rPr>
                <w:rFonts w:ascii="Arial" w:cs="Arial" w:eastAsia="Arial" w:hAnsi="Arial"/>
                <w:sz w:val="22"/>
                <w:szCs w:val="22"/>
                <w:color w:val="auto"/>
              </w:rPr>
              <w:t>Adjustments to reconcile net income to</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220"/>
              <w:spacing w:after="0"/>
              <w:rPr>
                <w:sz w:val="20"/>
                <w:szCs w:val="20"/>
                <w:color w:val="auto"/>
              </w:rPr>
            </w:pPr>
            <w:r>
              <w:rPr>
                <w:rFonts w:ascii="Arial" w:cs="Arial" w:eastAsia="Arial" w:hAnsi="Arial"/>
                <w:sz w:val="22"/>
                <w:szCs w:val="22"/>
                <w:color w:val="auto"/>
              </w:rPr>
              <w:t>net cash provided by operating activities: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Depreciation</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7,119,981,911</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5,549,988,627</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3,889,243,783</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Amortization</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643,036,694</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153,542,616</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213,867,004</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Benefit for deferred taxes</w:t>
            </w:r>
          </w:p>
        </w:tc>
        <w:tc>
          <w:tcPr>
            <w:tcW w:w="2060" w:type="dxa"/>
            <w:vAlign w:val="bottom"/>
            <w:gridSpan w:val="3"/>
          </w:tcPr>
          <w:p>
            <w:pPr>
              <w:jc w:val="right"/>
              <w:ind w:right="60"/>
              <w:spacing w:after="0"/>
              <w:rPr>
                <w:sz w:val="20"/>
                <w:szCs w:val="20"/>
                <w:color w:val="auto"/>
              </w:rPr>
            </w:pPr>
            <w:r>
              <w:rPr>
                <w:rFonts w:ascii="Arial" w:cs="Arial" w:eastAsia="Arial" w:hAnsi="Arial"/>
                <w:sz w:val="22"/>
                <w:szCs w:val="22"/>
                <w:color w:val="auto"/>
              </w:rPr>
              <w:t>(1,295,050,228)</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(261,643,536)</w:t>
            </w:r>
          </w:p>
        </w:tc>
        <w:tc>
          <w:tcPr>
            <w:tcW w:w="200" w:type="dxa"/>
            <w:vAlign w:val="bottom"/>
          </w:tcPr>
          <w:p>
            <w:pPr>
              <w:spacing w:after="0"/>
              <w:rPr>
                <w:sz w:val="24"/>
                <w:szCs w:val="2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22"/>
                <w:szCs w:val="22"/>
                <w:color w:val="auto"/>
              </w:rPr>
              <w:t>(530,482,621)</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Decrease (increase) in</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460"/>
              <w:spacing w:after="0"/>
              <w:rPr>
                <w:sz w:val="20"/>
                <w:szCs w:val="20"/>
                <w:color w:val="auto"/>
              </w:rPr>
            </w:pPr>
            <w:r>
              <w:rPr>
                <w:rFonts w:ascii="Arial" w:cs="Arial" w:eastAsia="Arial" w:hAnsi="Arial"/>
                <w:sz w:val="22"/>
                <w:szCs w:val="22"/>
                <w:color w:val="auto"/>
              </w:rPr>
              <w:t>trade and other receivables</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6,296,615,008</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(11,205,018,641)</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259,484,582</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Increase in inventories</w:t>
            </w:r>
          </w:p>
        </w:tc>
        <w:tc>
          <w:tcPr>
            <w:tcW w:w="2060" w:type="dxa"/>
            <w:vAlign w:val="bottom"/>
            <w:gridSpan w:val="3"/>
          </w:tcPr>
          <w:p>
            <w:pPr>
              <w:jc w:val="right"/>
              <w:ind w:right="60"/>
              <w:spacing w:after="0"/>
              <w:rPr>
                <w:sz w:val="20"/>
                <w:szCs w:val="20"/>
                <w:color w:val="auto"/>
              </w:rPr>
            </w:pPr>
            <w:r>
              <w:rPr>
                <w:rFonts w:ascii="Arial" w:cs="Arial" w:eastAsia="Arial" w:hAnsi="Arial"/>
                <w:sz w:val="22"/>
                <w:szCs w:val="22"/>
                <w:color w:val="auto"/>
              </w:rPr>
              <w:t>(723,264,499)</w:t>
            </w:r>
          </w:p>
        </w:tc>
        <w:tc>
          <w:tcPr>
            <w:tcW w:w="2180" w:type="dxa"/>
            <w:vAlign w:val="bottom"/>
            <w:gridSpan w:val="4"/>
          </w:tcPr>
          <w:p>
            <w:pPr>
              <w:jc w:val="right"/>
              <w:ind w:right="40"/>
              <w:spacing w:after="0"/>
              <w:rPr>
                <w:sz w:val="20"/>
                <w:szCs w:val="20"/>
                <w:color w:val="auto"/>
              </w:rPr>
            </w:pPr>
            <w:r>
              <w:rPr>
                <w:rFonts w:ascii="Arial" w:cs="Arial" w:eastAsia="Arial" w:hAnsi="Arial"/>
                <w:sz w:val="22"/>
                <w:szCs w:val="22"/>
                <w:color w:val="auto"/>
              </w:rPr>
              <w:t>(62,310,471)</w:t>
            </w:r>
          </w:p>
        </w:tc>
        <w:tc>
          <w:tcPr>
            <w:tcW w:w="200" w:type="dxa"/>
            <w:vAlign w:val="bottom"/>
          </w:tcPr>
          <w:p>
            <w:pPr>
              <w:spacing w:after="0"/>
              <w:rPr>
                <w:sz w:val="24"/>
                <w:szCs w:val="2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22"/>
                <w:szCs w:val="22"/>
                <w:color w:val="auto"/>
              </w:rPr>
              <w:t>(1,838,408,783)</w:t>
            </w:r>
          </w:p>
        </w:tc>
      </w:tr>
      <w:tr>
        <w:trPr>
          <w:trHeight w:val="297"/>
        </w:trPr>
        <w:tc>
          <w:tcPr>
            <w:tcW w:w="5000" w:type="dxa"/>
            <w:vAlign w:val="bottom"/>
          </w:tcPr>
          <w:p>
            <w:pPr>
              <w:ind w:left="240"/>
              <w:spacing w:after="0"/>
              <w:rPr>
                <w:sz w:val="20"/>
                <w:szCs w:val="20"/>
                <w:color w:val="auto"/>
              </w:rPr>
            </w:pPr>
            <w:r>
              <w:rPr>
                <w:rFonts w:ascii="Arial" w:cs="Arial" w:eastAsia="Arial" w:hAnsi="Arial"/>
                <w:sz w:val="22"/>
                <w:szCs w:val="22"/>
                <w:color w:val="auto"/>
              </w:rPr>
              <w:t>Increase (decrease)</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5000" w:type="dxa"/>
            <w:vAlign w:val="bottom"/>
          </w:tcPr>
          <w:p>
            <w:pPr>
              <w:ind w:left="460"/>
              <w:spacing w:after="0"/>
              <w:rPr>
                <w:sz w:val="20"/>
                <w:szCs w:val="20"/>
                <w:color w:val="auto"/>
              </w:rPr>
            </w:pPr>
            <w:r>
              <w:rPr>
                <w:rFonts w:ascii="Arial" w:cs="Arial" w:eastAsia="Arial" w:hAnsi="Arial"/>
                <w:sz w:val="22"/>
                <w:szCs w:val="22"/>
                <w:color w:val="auto"/>
              </w:rPr>
              <w:t>in trade and other payables</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9,846,458,044</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8,233,386,388</w:t>
            </w:r>
          </w:p>
        </w:tc>
        <w:tc>
          <w:tcPr>
            <w:tcW w:w="200" w:type="dxa"/>
            <w:vAlign w:val="bottom"/>
          </w:tcPr>
          <w:p>
            <w:pPr>
              <w:spacing w:after="0"/>
              <w:rPr>
                <w:sz w:val="24"/>
                <w:szCs w:val="24"/>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22"/>
                <w:szCs w:val="22"/>
                <w:color w:val="auto"/>
              </w:rPr>
              <w:t>(599,753,710)</w:t>
            </w:r>
          </w:p>
        </w:tc>
      </w:tr>
      <w:tr>
        <w:trPr>
          <w:trHeight w:val="308"/>
        </w:trPr>
        <w:tc>
          <w:tcPr>
            <w:tcW w:w="5000" w:type="dxa"/>
            <w:vAlign w:val="bottom"/>
          </w:tcPr>
          <w:p>
            <w:pPr>
              <w:ind w:left="240"/>
              <w:spacing w:after="0"/>
              <w:rPr>
                <w:sz w:val="20"/>
                <w:szCs w:val="20"/>
                <w:color w:val="auto"/>
              </w:rPr>
            </w:pPr>
            <w:r>
              <w:rPr>
                <w:rFonts w:ascii="Arial" w:cs="Arial" w:eastAsia="Arial" w:hAnsi="Arial"/>
                <w:sz w:val="22"/>
                <w:szCs w:val="22"/>
                <w:color w:val="auto"/>
              </w:rPr>
              <w:t>Other operating activities</w:t>
            </w:r>
          </w:p>
        </w:tc>
        <w:tc>
          <w:tcPr>
            <w:tcW w:w="2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22"/>
                <w:szCs w:val="22"/>
                <w:color w:val="auto"/>
              </w:rPr>
              <w:t>(69,683,241)</w:t>
            </w:r>
          </w:p>
        </w:tc>
        <w:tc>
          <w:tcPr>
            <w:tcW w:w="220" w:type="dxa"/>
            <w:vAlign w:val="bottom"/>
          </w:tcPr>
          <w:p>
            <w:pPr>
              <w:spacing w:after="0"/>
              <w:rPr>
                <w:sz w:val="24"/>
                <w:szCs w:val="24"/>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(355,053,347)</w:t>
            </w:r>
          </w:p>
        </w:tc>
        <w:tc>
          <w:tcPr>
            <w:tcW w:w="200" w:type="dxa"/>
            <w:vAlign w:val="bottom"/>
          </w:tcPr>
          <w:p>
            <w:pPr>
              <w:spacing w:after="0"/>
              <w:rPr>
                <w:sz w:val="24"/>
                <w:szCs w:val="24"/>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(363,436,849)</w:t>
            </w:r>
          </w:p>
        </w:tc>
      </w:tr>
      <w:tr>
        <w:trPr>
          <w:trHeight w:val="457"/>
        </w:trPr>
        <w:tc>
          <w:tcPr>
            <w:tcW w:w="500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2060" w:type="dxa"/>
            <w:vAlign w:val="bottom"/>
            <w:gridSpan w:val="3"/>
          </w:tcPr>
          <w:p>
            <w:pPr>
              <w:jc w:val="right"/>
              <w:ind w:right="120"/>
              <w:spacing w:after="0"/>
              <w:rPr>
                <w:sz w:val="20"/>
                <w:szCs w:val="20"/>
                <w:color w:val="auto"/>
              </w:rPr>
            </w:pPr>
            <w:r>
              <w:rPr>
                <w:rFonts w:ascii="Arial" w:cs="Arial" w:eastAsia="Arial" w:hAnsi="Arial"/>
                <w:sz w:val="22"/>
                <w:szCs w:val="22"/>
                <w:color w:val="auto"/>
              </w:rPr>
              <w:t>40,846,816,597</w:t>
            </w:r>
          </w:p>
        </w:tc>
        <w:tc>
          <w:tcPr>
            <w:tcW w:w="2180" w:type="dxa"/>
            <w:vAlign w:val="bottom"/>
            <w:gridSpan w:val="4"/>
          </w:tcPr>
          <w:p>
            <w:pPr>
              <w:jc w:val="right"/>
              <w:ind w:right="120"/>
              <w:spacing w:after="0"/>
              <w:rPr>
                <w:sz w:val="20"/>
                <w:szCs w:val="20"/>
                <w:color w:val="auto"/>
              </w:rPr>
            </w:pPr>
            <w:r>
              <w:rPr>
                <w:rFonts w:ascii="Arial" w:cs="Arial" w:eastAsia="Arial" w:hAnsi="Arial"/>
                <w:sz w:val="22"/>
                <w:szCs w:val="22"/>
                <w:color w:val="auto"/>
              </w:rPr>
              <w:t>21,534,617,733</w:t>
            </w:r>
          </w:p>
        </w:tc>
        <w:tc>
          <w:tcPr>
            <w:tcW w:w="200" w:type="dxa"/>
            <w:vAlign w:val="bottom"/>
          </w:tcPr>
          <w:p>
            <w:pPr>
              <w:spacing w:after="0"/>
              <w:rPr>
                <w:sz w:val="24"/>
                <w:szCs w:val="24"/>
                <w:color w:val="auto"/>
              </w:rPr>
            </w:pPr>
          </w:p>
        </w:tc>
        <w:tc>
          <w:tcPr>
            <w:tcW w:w="1940" w:type="dxa"/>
            <w:vAlign w:val="bottom"/>
            <w:gridSpan w:val="3"/>
          </w:tcPr>
          <w:p>
            <w:pPr>
              <w:jc w:val="right"/>
              <w:ind w:right="100"/>
              <w:spacing w:after="0"/>
              <w:rPr>
                <w:sz w:val="20"/>
                <w:szCs w:val="20"/>
                <w:color w:val="auto"/>
              </w:rPr>
            </w:pPr>
            <w:r>
              <w:rPr>
                <w:rFonts w:ascii="Arial" w:cs="Arial" w:eastAsia="Arial" w:hAnsi="Arial"/>
                <w:sz w:val="22"/>
                <w:szCs w:val="22"/>
                <w:color w:val="auto"/>
              </w:rPr>
              <w:t>18,660,061,294</w:t>
            </w:r>
          </w:p>
        </w:tc>
      </w:tr>
      <w:tr>
        <w:trPr>
          <w:trHeight w:val="20"/>
        </w:trPr>
        <w:tc>
          <w:tcPr>
            <w:tcW w:w="5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80" w:top="639" w:right="239" w:bottom="1440" w:gutter="0" w:footer="0" w:header="0"/>
        </w:sectPr>
      </w:pPr>
    </w:p>
    <w:bookmarkStart w:id="129" w:name="page130"/>
    <w:bookmarkEnd w:id="129"/>
    <w:p>
      <w:pPr>
        <w:jc w:val="center"/>
        <w:ind w:right="40"/>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Consolidated Statements of Cash Flows (Expressed in Renminbi)</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00" w:type="dxa"/>
            <w:vAlign w:val="bottom"/>
            <w:gridSpan w:val="5"/>
          </w:tcPr>
          <w:p>
            <w:pPr>
              <w:ind w:left="160"/>
              <w:spacing w:after="0"/>
              <w:rPr>
                <w:sz w:val="20"/>
                <w:szCs w:val="20"/>
                <w:color w:val="auto"/>
              </w:rPr>
            </w:pPr>
            <w:r>
              <w:rPr>
                <w:rFonts w:ascii="Arial" w:cs="Arial" w:eastAsia="Arial" w:hAnsi="Arial"/>
                <w:sz w:val="20"/>
                <w:szCs w:val="20"/>
                <w:color w:val="auto"/>
                <w:w w:val="92"/>
              </w:rPr>
              <w:t>Year ended December 31</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1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2016</w:t>
            </w:r>
          </w:p>
        </w:tc>
        <w:tc>
          <w:tcPr>
            <w:tcW w:w="720" w:type="dxa"/>
            <w:vAlign w:val="bottom"/>
          </w:tcPr>
          <w:p>
            <w:pPr>
              <w:spacing w:after="0"/>
              <w:rPr>
                <w:sz w:val="18"/>
                <w:szCs w:val="18"/>
                <w:color w:val="auto"/>
              </w:rPr>
            </w:pPr>
          </w:p>
        </w:tc>
        <w:tc>
          <w:tcPr>
            <w:tcW w:w="2080" w:type="dxa"/>
            <w:vAlign w:val="bottom"/>
            <w:gridSpan w:val="4"/>
          </w:tcPr>
          <w:p>
            <w:pPr>
              <w:jc w:val="right"/>
              <w:ind w:right="621"/>
              <w:spacing w:after="0" w:line="209"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8"/>
                <w:szCs w:val="18"/>
                <w:color w:val="auto"/>
              </w:rPr>
            </w:pPr>
          </w:p>
        </w:tc>
        <w:tc>
          <w:tcPr>
            <w:tcW w:w="11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2014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5460" w:type="dxa"/>
            <w:vAlign w:val="bottom"/>
          </w:tcPr>
          <w:p>
            <w:pPr>
              <w:spacing w:after="0"/>
              <w:rPr>
                <w:sz w:val="20"/>
                <w:szCs w:val="20"/>
                <w:color w:val="auto"/>
              </w:rPr>
            </w:pPr>
            <w:r>
              <w:rPr>
                <w:rFonts w:ascii="Arial" w:cs="Arial" w:eastAsia="Arial" w:hAnsi="Arial"/>
                <w:sz w:val="20"/>
                <w:szCs w:val="20"/>
                <w:color w:val="auto"/>
              </w:rPr>
              <w:t>Investing activities:</w:t>
            </w:r>
          </w:p>
        </w:tc>
        <w:tc>
          <w:tcPr>
            <w:tcW w:w="7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Proceeds from sale of property</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27,206,685</w:t>
            </w:r>
          </w:p>
        </w:tc>
        <w:tc>
          <w:tcPr>
            <w:tcW w:w="2080" w:type="dxa"/>
            <w:vAlign w:val="bottom"/>
            <w:gridSpan w:val="4"/>
          </w:tcPr>
          <w:p>
            <w:pPr>
              <w:jc w:val="right"/>
              <w:ind w:right="21"/>
              <w:spacing w:after="0"/>
              <w:rPr>
                <w:sz w:val="20"/>
                <w:szCs w:val="20"/>
                <w:color w:val="auto"/>
              </w:rPr>
            </w:pPr>
            <w:r>
              <w:rPr>
                <w:rFonts w:ascii="Arial" w:cs="Arial" w:eastAsia="Arial" w:hAnsi="Arial"/>
                <w:sz w:val="20"/>
                <w:szCs w:val="20"/>
                <w:color w:val="auto"/>
              </w:rPr>
              <w:t>11,660,085</w:t>
            </w:r>
          </w:p>
        </w:tc>
        <w:tc>
          <w:tcPr>
            <w:tcW w:w="220" w:type="dxa"/>
            <w:vAlign w:val="bottom"/>
          </w:tcPr>
          <w:p>
            <w:pPr>
              <w:spacing w:after="0"/>
              <w:rPr>
                <w:sz w:val="24"/>
                <w:szCs w:val="24"/>
                <w:color w:val="auto"/>
              </w:rPr>
            </w:pPr>
          </w:p>
        </w:tc>
        <w:tc>
          <w:tcPr>
            <w:tcW w:w="1800" w:type="dxa"/>
            <w:vAlign w:val="bottom"/>
            <w:gridSpan w:val="3"/>
          </w:tcPr>
          <w:p>
            <w:pPr>
              <w:jc w:val="right"/>
              <w:ind w:right="1"/>
              <w:spacing w:after="0"/>
              <w:rPr>
                <w:sz w:val="20"/>
                <w:szCs w:val="20"/>
                <w:color w:val="auto"/>
              </w:rPr>
            </w:pPr>
            <w:r>
              <w:rPr>
                <w:rFonts w:ascii="Arial" w:cs="Arial" w:eastAsia="Arial" w:hAnsi="Arial"/>
                <w:sz w:val="20"/>
                <w:szCs w:val="20"/>
                <w:color w:val="auto"/>
              </w:rPr>
              <w:t>14,556,229</w:t>
            </w: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Purchase of assets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(11,722,472,518)</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(10,821,306,185)</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(10,703,711,804)</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Net cash used in investing activities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(11,695,265,833)</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(10,809,646,100)</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(10,689,155,575)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Financing activities: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Short-term loans</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150,000,000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Dividends paid</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(19,759,327,487)</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(17,065,591,430)</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(13,906,333,328)</w:t>
            </w:r>
          </w:p>
        </w:tc>
        <w:tc>
          <w:tcPr>
            <w:tcW w:w="0" w:type="dxa"/>
            <w:vAlign w:val="bottom"/>
          </w:tcPr>
          <w:p>
            <w:pPr>
              <w:spacing w:after="0"/>
              <w:rPr>
                <w:sz w:val="1"/>
                <w:szCs w:val="1"/>
                <w:color w:val="auto"/>
              </w:rPr>
            </w:pPr>
          </w:p>
        </w:tc>
      </w:tr>
      <w:tr>
        <w:trPr>
          <w:trHeight w:val="284"/>
        </w:trPr>
        <w:tc>
          <w:tcPr>
            <w:tcW w:w="5460" w:type="dxa"/>
            <w:vAlign w:val="bottom"/>
          </w:tcPr>
          <w:p>
            <w:pPr>
              <w:spacing w:after="0"/>
              <w:rPr>
                <w:sz w:val="20"/>
                <w:szCs w:val="20"/>
                <w:color w:val="auto"/>
              </w:rPr>
            </w:pPr>
            <w:r>
              <w:rPr>
                <w:rFonts w:ascii="Arial" w:cs="Arial" w:eastAsia="Arial" w:hAnsi="Arial"/>
                <w:sz w:val="20"/>
                <w:szCs w:val="20"/>
                <w:color w:val="auto"/>
              </w:rPr>
              <w:t>Repayment of short-term loans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(150,000,000)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Payments on capital leases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(5,974,150)</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(4,595,500)</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(5,055,100)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1820" w:type="dxa"/>
            <w:vAlign w:val="bottom"/>
            <w:gridSpan w:val="3"/>
          </w:tcPr>
          <w:p>
            <w:pPr>
              <w:jc w:val="right"/>
              <w:ind w:right="40"/>
              <w:spacing w:after="0"/>
              <w:rPr>
                <w:sz w:val="20"/>
                <w:szCs w:val="20"/>
                <w:color w:val="auto"/>
              </w:rPr>
            </w:pPr>
            <w:r>
              <w:rPr>
                <w:rFonts w:ascii="Arial" w:cs="Arial" w:eastAsia="Arial" w:hAnsi="Arial"/>
                <w:sz w:val="20"/>
                <w:szCs w:val="20"/>
                <w:color w:val="auto"/>
              </w:rPr>
              <w:t>(19,765,301,637)</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(17,070,186,930)</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(13,911,388,428)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Net (decrease) / increase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00"/>
              <w:spacing w:after="0"/>
              <w:rPr>
                <w:sz w:val="20"/>
                <w:szCs w:val="20"/>
                <w:color w:val="auto"/>
              </w:rPr>
            </w:pPr>
            <w:r>
              <w:rPr>
                <w:rFonts w:ascii="Arial" w:cs="Arial" w:eastAsia="Arial" w:hAnsi="Arial"/>
                <w:sz w:val="20"/>
                <w:szCs w:val="20"/>
                <w:color w:val="auto"/>
              </w:rPr>
              <w:t>in cash and cash equivalents</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9,386,249,127</w:t>
            </w:r>
          </w:p>
        </w:tc>
        <w:tc>
          <w:tcPr>
            <w:tcW w:w="2080" w:type="dxa"/>
            <w:vAlign w:val="bottom"/>
            <w:gridSpan w:val="4"/>
          </w:tcPr>
          <w:p>
            <w:pPr>
              <w:jc w:val="right"/>
              <w:spacing w:after="0"/>
              <w:rPr>
                <w:sz w:val="20"/>
                <w:szCs w:val="20"/>
                <w:color w:val="auto"/>
              </w:rPr>
            </w:pPr>
            <w:r>
              <w:rPr>
                <w:rFonts w:ascii="Arial" w:cs="Arial" w:eastAsia="Arial" w:hAnsi="Arial"/>
                <w:sz w:val="20"/>
                <w:szCs w:val="20"/>
                <w:color w:val="auto"/>
              </w:rPr>
              <w:t>(6,345,215,297)</w:t>
            </w:r>
          </w:p>
        </w:tc>
        <w:tc>
          <w:tcPr>
            <w:tcW w:w="2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(5,940,482,709)</w:t>
            </w:r>
          </w:p>
        </w:tc>
        <w:tc>
          <w:tcPr>
            <w:tcW w:w="0" w:type="dxa"/>
            <w:vAlign w:val="bottom"/>
          </w:tcPr>
          <w:p>
            <w:pPr>
              <w:spacing w:after="0"/>
              <w:rPr>
                <w:sz w:val="1"/>
                <w:szCs w:val="1"/>
                <w:color w:val="auto"/>
              </w:rPr>
            </w:pPr>
          </w:p>
        </w:tc>
      </w:tr>
      <w:tr>
        <w:trPr>
          <w:trHeight w:val="419"/>
        </w:trPr>
        <w:tc>
          <w:tcPr>
            <w:tcW w:w="5460" w:type="dxa"/>
            <w:vAlign w:val="bottom"/>
          </w:tcPr>
          <w:p>
            <w:pPr>
              <w:spacing w:after="0"/>
              <w:rPr>
                <w:sz w:val="20"/>
                <w:szCs w:val="20"/>
                <w:color w:val="auto"/>
              </w:rPr>
            </w:pPr>
            <w:r>
              <w:rPr>
                <w:rFonts w:ascii="Arial" w:cs="Arial" w:eastAsia="Arial" w:hAnsi="Arial"/>
                <w:sz w:val="20"/>
                <w:szCs w:val="20"/>
                <w:color w:val="auto"/>
              </w:rPr>
              <w:t>Cash and cash equivalents at the beginning</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of the year</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23,583,750,107</w:t>
            </w:r>
          </w:p>
        </w:tc>
        <w:tc>
          <w:tcPr>
            <w:tcW w:w="2080" w:type="dxa"/>
            <w:vAlign w:val="bottom"/>
            <w:gridSpan w:val="4"/>
          </w:tcPr>
          <w:p>
            <w:pPr>
              <w:jc w:val="right"/>
              <w:ind w:right="21"/>
              <w:spacing w:after="0"/>
              <w:rPr>
                <w:sz w:val="20"/>
                <w:szCs w:val="20"/>
                <w:color w:val="auto"/>
              </w:rPr>
            </w:pPr>
            <w:r>
              <w:rPr>
                <w:rFonts w:ascii="Arial" w:cs="Arial" w:eastAsia="Arial" w:hAnsi="Arial"/>
                <w:sz w:val="20"/>
                <w:szCs w:val="20"/>
                <w:color w:val="auto"/>
              </w:rPr>
              <w:t>29,928,965,404</w:t>
            </w:r>
          </w:p>
        </w:tc>
        <w:tc>
          <w:tcPr>
            <w:tcW w:w="220" w:type="dxa"/>
            <w:vAlign w:val="bottom"/>
          </w:tcPr>
          <w:p>
            <w:pPr>
              <w:spacing w:after="0"/>
              <w:rPr>
                <w:sz w:val="24"/>
                <w:szCs w:val="24"/>
                <w:color w:val="auto"/>
              </w:rPr>
            </w:pPr>
          </w:p>
        </w:tc>
        <w:tc>
          <w:tcPr>
            <w:tcW w:w="1800" w:type="dxa"/>
            <w:vAlign w:val="bottom"/>
            <w:gridSpan w:val="3"/>
          </w:tcPr>
          <w:p>
            <w:pPr>
              <w:jc w:val="right"/>
              <w:ind w:right="1"/>
              <w:spacing w:after="0"/>
              <w:rPr>
                <w:sz w:val="20"/>
                <w:szCs w:val="20"/>
                <w:color w:val="auto"/>
              </w:rPr>
            </w:pPr>
            <w:r>
              <w:rPr>
                <w:rFonts w:ascii="Arial" w:cs="Arial" w:eastAsia="Arial" w:hAnsi="Arial"/>
                <w:sz w:val="20"/>
                <w:szCs w:val="20"/>
                <w:color w:val="auto"/>
              </w:rPr>
              <w:t>35,869,448,113</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460" w:type="dxa"/>
            <w:vAlign w:val="bottom"/>
          </w:tcPr>
          <w:p>
            <w:pPr>
              <w:spacing w:after="0"/>
              <w:rPr>
                <w:sz w:val="20"/>
                <w:szCs w:val="20"/>
                <w:color w:val="auto"/>
              </w:rPr>
            </w:pPr>
            <w:r>
              <w:rPr>
                <w:rFonts w:ascii="Arial" w:cs="Arial" w:eastAsia="Arial" w:hAnsi="Arial"/>
                <w:sz w:val="20"/>
                <w:szCs w:val="20"/>
                <w:color w:val="auto"/>
              </w:rPr>
              <w:t>Cash and cash equivalents at the end of the year</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32,969,999,234</w:t>
            </w:r>
          </w:p>
        </w:tc>
        <w:tc>
          <w:tcPr>
            <w:tcW w:w="2080" w:type="dxa"/>
            <w:vAlign w:val="bottom"/>
            <w:gridSpan w:val="4"/>
          </w:tcPr>
          <w:p>
            <w:pPr>
              <w:jc w:val="right"/>
              <w:ind w:right="21"/>
              <w:spacing w:after="0"/>
              <w:rPr>
                <w:sz w:val="20"/>
                <w:szCs w:val="20"/>
                <w:color w:val="auto"/>
              </w:rPr>
            </w:pPr>
            <w:r>
              <w:rPr>
                <w:rFonts w:ascii="Arial" w:cs="Arial" w:eastAsia="Arial" w:hAnsi="Arial"/>
                <w:sz w:val="20"/>
                <w:szCs w:val="20"/>
                <w:color w:val="auto"/>
              </w:rPr>
              <w:t>23,583,750,107</w:t>
            </w:r>
          </w:p>
        </w:tc>
        <w:tc>
          <w:tcPr>
            <w:tcW w:w="220" w:type="dxa"/>
            <w:vAlign w:val="bottom"/>
          </w:tcPr>
          <w:p>
            <w:pPr>
              <w:spacing w:after="0"/>
              <w:rPr>
                <w:sz w:val="24"/>
                <w:szCs w:val="24"/>
                <w:color w:val="auto"/>
              </w:rPr>
            </w:pPr>
          </w:p>
        </w:tc>
        <w:tc>
          <w:tcPr>
            <w:tcW w:w="1800" w:type="dxa"/>
            <w:vAlign w:val="bottom"/>
            <w:gridSpan w:val="3"/>
          </w:tcPr>
          <w:p>
            <w:pPr>
              <w:jc w:val="right"/>
              <w:ind w:right="1"/>
              <w:spacing w:after="0"/>
              <w:rPr>
                <w:sz w:val="20"/>
                <w:szCs w:val="20"/>
                <w:color w:val="auto"/>
              </w:rPr>
            </w:pPr>
            <w:r>
              <w:rPr>
                <w:rFonts w:ascii="Arial" w:cs="Arial" w:eastAsia="Arial" w:hAnsi="Arial"/>
                <w:sz w:val="20"/>
                <w:szCs w:val="20"/>
                <w:color w:val="auto"/>
              </w:rPr>
              <w:t>29,928,965,404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Supplemental information: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60" w:type="dxa"/>
            <w:vAlign w:val="bottom"/>
          </w:tcPr>
          <w:p>
            <w:pPr>
              <w:ind w:left="100"/>
              <w:spacing w:after="0"/>
              <w:rPr>
                <w:sz w:val="20"/>
                <w:szCs w:val="20"/>
                <w:color w:val="auto"/>
              </w:rPr>
            </w:pPr>
            <w:r>
              <w:rPr>
                <w:rFonts w:ascii="Arial" w:cs="Arial" w:eastAsia="Arial" w:hAnsi="Arial"/>
                <w:sz w:val="20"/>
                <w:szCs w:val="20"/>
                <w:color w:val="auto"/>
              </w:rPr>
              <w:t>Income taxes paid</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8,296,669,539</w:t>
            </w:r>
          </w:p>
        </w:tc>
        <w:tc>
          <w:tcPr>
            <w:tcW w:w="2080" w:type="dxa"/>
            <w:vAlign w:val="bottom"/>
            <w:gridSpan w:val="4"/>
          </w:tcPr>
          <w:p>
            <w:pPr>
              <w:jc w:val="right"/>
              <w:ind w:right="21"/>
              <w:spacing w:after="0"/>
              <w:rPr>
                <w:sz w:val="20"/>
                <w:szCs w:val="20"/>
                <w:color w:val="auto"/>
              </w:rPr>
            </w:pPr>
            <w:r>
              <w:rPr>
                <w:rFonts w:ascii="Arial" w:cs="Arial" w:eastAsia="Arial" w:hAnsi="Arial"/>
                <w:sz w:val="20"/>
                <w:szCs w:val="20"/>
                <w:color w:val="auto"/>
              </w:rPr>
              <w:t>4,133,524,058</w:t>
            </w:r>
          </w:p>
        </w:tc>
        <w:tc>
          <w:tcPr>
            <w:tcW w:w="220" w:type="dxa"/>
            <w:vAlign w:val="bottom"/>
          </w:tcPr>
          <w:p>
            <w:pPr>
              <w:spacing w:after="0"/>
              <w:rPr>
                <w:sz w:val="24"/>
                <w:szCs w:val="24"/>
                <w:color w:val="auto"/>
              </w:rPr>
            </w:pPr>
          </w:p>
        </w:tc>
        <w:tc>
          <w:tcPr>
            <w:tcW w:w="1800" w:type="dxa"/>
            <w:vAlign w:val="bottom"/>
            <w:gridSpan w:val="3"/>
          </w:tcPr>
          <w:p>
            <w:pPr>
              <w:jc w:val="right"/>
              <w:ind w:right="1"/>
              <w:spacing w:after="0"/>
              <w:rPr>
                <w:sz w:val="20"/>
                <w:szCs w:val="20"/>
                <w:color w:val="auto"/>
              </w:rPr>
            </w:pPr>
            <w:r>
              <w:rPr>
                <w:rFonts w:ascii="Arial" w:cs="Arial" w:eastAsia="Arial" w:hAnsi="Arial"/>
                <w:sz w:val="20"/>
                <w:szCs w:val="20"/>
                <w:color w:val="auto"/>
              </w:rPr>
              <w:t>4,742,570,852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Non-cash investing activities: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100"/>
              <w:spacing w:after="0"/>
              <w:rPr>
                <w:sz w:val="20"/>
                <w:szCs w:val="20"/>
                <w:color w:val="auto"/>
              </w:rPr>
            </w:pPr>
            <w:r>
              <w:rPr>
                <w:rFonts w:ascii="Arial" w:cs="Arial" w:eastAsia="Arial" w:hAnsi="Arial"/>
                <w:sz w:val="20"/>
                <w:szCs w:val="20"/>
                <w:color w:val="auto"/>
              </w:rPr>
              <w:t>Increase in payables relating to</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460" w:type="dxa"/>
            <w:vAlign w:val="bottom"/>
          </w:tcPr>
          <w:p>
            <w:pPr>
              <w:ind w:left="200"/>
              <w:spacing w:after="0"/>
              <w:rPr>
                <w:sz w:val="20"/>
                <w:szCs w:val="20"/>
                <w:color w:val="auto"/>
              </w:rPr>
            </w:pPr>
            <w:r>
              <w:rPr>
                <w:rFonts w:ascii="Arial" w:cs="Arial" w:eastAsia="Arial" w:hAnsi="Arial"/>
                <w:sz w:val="20"/>
                <w:szCs w:val="20"/>
                <w:color w:val="auto"/>
              </w:rPr>
              <w:t>purchase of assets</w:t>
            </w:r>
          </w:p>
        </w:tc>
        <w:tc>
          <w:tcPr>
            <w:tcW w:w="1820" w:type="dxa"/>
            <w:vAlign w:val="bottom"/>
            <w:gridSpan w:val="3"/>
          </w:tcPr>
          <w:p>
            <w:pPr>
              <w:jc w:val="right"/>
              <w:ind w:right="120"/>
              <w:spacing w:after="0"/>
              <w:rPr>
                <w:sz w:val="20"/>
                <w:szCs w:val="20"/>
                <w:color w:val="auto"/>
              </w:rPr>
            </w:pPr>
            <w:r>
              <w:rPr>
                <w:rFonts w:ascii="Arial" w:cs="Arial" w:eastAsia="Arial" w:hAnsi="Arial"/>
                <w:sz w:val="20"/>
                <w:szCs w:val="20"/>
                <w:color w:val="auto"/>
              </w:rPr>
              <w:t>2,363,953,070</w:t>
            </w:r>
          </w:p>
        </w:tc>
        <w:tc>
          <w:tcPr>
            <w:tcW w:w="2080" w:type="dxa"/>
            <w:vAlign w:val="bottom"/>
            <w:gridSpan w:val="4"/>
          </w:tcPr>
          <w:p>
            <w:pPr>
              <w:jc w:val="right"/>
              <w:ind w:right="21"/>
              <w:spacing w:after="0"/>
              <w:rPr>
                <w:sz w:val="20"/>
                <w:szCs w:val="20"/>
                <w:color w:val="auto"/>
              </w:rPr>
            </w:pPr>
            <w:r>
              <w:rPr>
                <w:rFonts w:ascii="Arial" w:cs="Arial" w:eastAsia="Arial" w:hAnsi="Arial"/>
                <w:sz w:val="20"/>
                <w:szCs w:val="20"/>
                <w:color w:val="auto"/>
              </w:rPr>
              <w:t>542,110,845</w:t>
            </w:r>
          </w:p>
        </w:tc>
        <w:tc>
          <w:tcPr>
            <w:tcW w:w="220" w:type="dxa"/>
            <w:vAlign w:val="bottom"/>
          </w:tcPr>
          <w:p>
            <w:pPr>
              <w:spacing w:after="0"/>
              <w:rPr>
                <w:sz w:val="24"/>
                <w:szCs w:val="24"/>
                <w:color w:val="auto"/>
              </w:rPr>
            </w:pPr>
          </w:p>
        </w:tc>
        <w:tc>
          <w:tcPr>
            <w:tcW w:w="1800" w:type="dxa"/>
            <w:vAlign w:val="bottom"/>
            <w:gridSpan w:val="3"/>
          </w:tcPr>
          <w:p>
            <w:pPr>
              <w:jc w:val="right"/>
              <w:ind w:right="1"/>
              <w:spacing w:after="0"/>
              <w:rPr>
                <w:sz w:val="20"/>
                <w:szCs w:val="20"/>
                <w:color w:val="auto"/>
              </w:rPr>
            </w:pPr>
            <w:r>
              <w:rPr>
                <w:rFonts w:ascii="Arial" w:cs="Arial" w:eastAsia="Arial" w:hAnsi="Arial"/>
                <w:sz w:val="20"/>
                <w:szCs w:val="20"/>
                <w:color w:val="auto"/>
              </w:rPr>
              <w:t>3,576,790,216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823595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80" w:top="639" w:right="239" w:bottom="1440" w:gutter="0" w:footer="0" w:header="0"/>
        </w:sectPr>
      </w:pPr>
    </w:p>
    <w:bookmarkStart w:id="130" w:name="page131"/>
    <w:bookmarkEnd w:id="130"/>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w:t>
      </w:r>
    </w:p>
    <w:p>
      <w:pPr>
        <w:spacing w:after="0" w:line="219" w:lineRule="exact"/>
        <w:rPr>
          <w:rFonts w:ascii="Arial" w:cs="Arial" w:eastAsia="Arial" w:hAnsi="Arial"/>
          <w:sz w:val="22"/>
          <w:szCs w:val="22"/>
          <w:color w:val="auto"/>
        </w:rPr>
      </w:pPr>
    </w:p>
    <w:p>
      <w:pPr>
        <w:ind w:left="1200" w:hanging="571"/>
        <w:spacing w:after="0"/>
        <w:tabs>
          <w:tab w:leader="none" w:pos="1200" w:val="left"/>
        </w:tabs>
        <w:numPr>
          <w:ilvl w:val="1"/>
          <w:numId w:val="3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Description of Business</w:t>
      </w:r>
    </w:p>
    <w:p>
      <w:pPr>
        <w:spacing w:after="0" w:line="220" w:lineRule="exact"/>
        <w:rPr>
          <w:sz w:val="20"/>
          <w:szCs w:val="20"/>
          <w:color w:val="auto"/>
        </w:rPr>
      </w:pPr>
    </w:p>
    <w:p>
      <w:pPr>
        <w:jc w:val="both"/>
        <w:ind w:left="1160"/>
        <w:spacing w:after="0" w:line="297" w:lineRule="auto"/>
        <w:rPr>
          <w:sz w:val="20"/>
          <w:szCs w:val="20"/>
          <w:color w:val="auto"/>
        </w:rPr>
      </w:pPr>
      <w:r>
        <w:rPr>
          <w:rFonts w:ascii="Arial" w:cs="Arial" w:eastAsia="Arial" w:hAnsi="Arial"/>
          <w:sz w:val="19"/>
          <w:szCs w:val="19"/>
          <w:color w:val="auto"/>
        </w:rPr>
        <w:t>SAIC General Motors Corp., Ltd. (the "Company") was established in Shanghai, People's Republic of China ("PRC") by SAIC Motor Corporation Limited ("SAIC") with General Motors China LLC (f.k.a General Motors China, Inc.) and General Motors (China) Investment Corp., Ltd. as a Sino-foreign equity joint venture. The Company was established on May 16, 1997 with an operating period of 30 years. The Company and subsidiaries are mainly engaged in the manufacturing and selling of vehicles, engines, transmissions, and their components and parts.</w:t>
      </w:r>
    </w:p>
    <w:p>
      <w:pPr>
        <w:spacing w:after="0" w:line="147" w:lineRule="exact"/>
        <w:rPr>
          <w:sz w:val="20"/>
          <w:szCs w:val="20"/>
          <w:color w:val="auto"/>
        </w:rPr>
      </w:pPr>
    </w:p>
    <w:p>
      <w:pPr>
        <w:jc w:val="both"/>
        <w:ind w:left="1160"/>
        <w:spacing w:after="0" w:line="343" w:lineRule="auto"/>
        <w:rPr>
          <w:sz w:val="20"/>
          <w:szCs w:val="20"/>
          <w:color w:val="auto"/>
        </w:rPr>
      </w:pPr>
      <w:r>
        <w:rPr>
          <w:rFonts w:ascii="Arial" w:cs="Arial" w:eastAsia="Arial" w:hAnsi="Arial"/>
          <w:sz w:val="19"/>
          <w:szCs w:val="19"/>
          <w:color w:val="auto"/>
        </w:rPr>
        <w:t>As of December 31, 2016, the Company's subsidiaries include SAIC GM Dong Yue Motors Co., Ltd. ("DY"), SAIC GM Dong Yue Powertrain Co., Ltd. ("PT") and SAIC GM (Shenyang) Norsom Motors Co., Ltd. ("Norsom").</w:t>
      </w:r>
    </w:p>
    <w:p>
      <w:pPr>
        <w:spacing w:after="0" w:line="105" w:lineRule="exact"/>
        <w:rPr>
          <w:sz w:val="20"/>
          <w:szCs w:val="20"/>
          <w:color w:val="auto"/>
        </w:rPr>
      </w:pPr>
    </w:p>
    <w:p>
      <w:pPr>
        <w:ind w:left="1200" w:hanging="571"/>
        <w:spacing w:after="0"/>
        <w:tabs>
          <w:tab w:leader="none" w:pos="1200" w:val="left"/>
        </w:tabs>
        <w:numPr>
          <w:ilvl w:val="0"/>
          <w:numId w:val="3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Basis of Presentation</w:t>
      </w:r>
    </w:p>
    <w:p>
      <w:pPr>
        <w:spacing w:after="0" w:line="220" w:lineRule="exact"/>
        <w:rPr>
          <w:sz w:val="20"/>
          <w:szCs w:val="20"/>
          <w:color w:val="auto"/>
        </w:rPr>
      </w:pPr>
    </w:p>
    <w:p>
      <w:pPr>
        <w:ind w:left="1160"/>
        <w:spacing w:after="0" w:line="263" w:lineRule="auto"/>
        <w:rPr>
          <w:sz w:val="20"/>
          <w:szCs w:val="20"/>
          <w:color w:val="auto"/>
        </w:rPr>
      </w:pPr>
      <w:r>
        <w:rPr>
          <w:rFonts w:ascii="Arial" w:cs="Arial" w:eastAsia="Arial" w:hAnsi="Arial"/>
          <w:sz w:val="22"/>
          <w:szCs w:val="22"/>
          <w:color w:val="auto"/>
        </w:rPr>
        <w:t>The consolidated financial statements have been prepared in accordance with accounting principles generally accepted in the United States of America ("US GAAP").</w:t>
      </w:r>
    </w:p>
    <w:p>
      <w:pPr>
        <w:spacing w:after="0" w:line="175" w:lineRule="exact"/>
        <w:rPr>
          <w:sz w:val="20"/>
          <w:szCs w:val="20"/>
          <w:color w:val="auto"/>
        </w:rPr>
      </w:pPr>
    </w:p>
    <w:p>
      <w:pPr>
        <w:ind w:left="1200" w:hanging="571"/>
        <w:spacing w:after="0"/>
        <w:tabs>
          <w:tab w:leader="none" w:pos="1200" w:val="left"/>
        </w:tabs>
        <w:numPr>
          <w:ilvl w:val="0"/>
          <w:numId w:val="3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Basis of consolidation</w:t>
      </w:r>
    </w:p>
    <w:p>
      <w:pPr>
        <w:spacing w:after="0" w:line="220" w:lineRule="exact"/>
        <w:rPr>
          <w:sz w:val="20"/>
          <w:szCs w:val="20"/>
          <w:color w:val="auto"/>
        </w:rPr>
      </w:pPr>
    </w:p>
    <w:p>
      <w:pPr>
        <w:jc w:val="both"/>
        <w:ind w:left="1160"/>
        <w:spacing w:after="0" w:line="263" w:lineRule="auto"/>
        <w:rPr>
          <w:sz w:val="20"/>
          <w:szCs w:val="20"/>
          <w:color w:val="auto"/>
        </w:rPr>
      </w:pPr>
      <w:r>
        <w:rPr>
          <w:rFonts w:ascii="Arial" w:cs="Arial" w:eastAsia="Arial" w:hAnsi="Arial"/>
          <w:sz w:val="21"/>
          <w:szCs w:val="21"/>
          <w:color w:val="auto"/>
        </w:rPr>
        <w:t>The consolidated financial statements include the accounts of the Company and its controlled subsidiaries. The Company has no involvement with variable interest entities. The Company's share of earnings or losses of nonconsolidated affiliates is included in the consolidated operating results using the equity method of accounting when the Company is able to exercise significant influence over the operating and financial decisions of the affiliates. All intercompany balances and transactions have been eliminated in consolidation.</w:t>
      </w:r>
    </w:p>
    <w:p>
      <w:pPr>
        <w:spacing w:after="0" w:line="176" w:lineRule="exact"/>
        <w:rPr>
          <w:sz w:val="20"/>
          <w:szCs w:val="20"/>
          <w:color w:val="auto"/>
        </w:rPr>
      </w:pPr>
    </w:p>
    <w:p>
      <w:pPr>
        <w:ind w:left="1160" w:right="100"/>
        <w:spacing w:after="0" w:line="263" w:lineRule="auto"/>
        <w:rPr>
          <w:sz w:val="20"/>
          <w:szCs w:val="20"/>
          <w:color w:val="auto"/>
        </w:rPr>
      </w:pPr>
      <w:r>
        <w:rPr>
          <w:rFonts w:ascii="Arial" w:cs="Arial" w:eastAsia="Arial" w:hAnsi="Arial"/>
          <w:sz w:val="22"/>
          <w:szCs w:val="22"/>
          <w:color w:val="auto"/>
        </w:rPr>
        <w:t>Details of the subsidiaries who are controlled by the Company and whose financial statements are consolidated are as follows:</w:t>
      </w:r>
    </w:p>
    <w:p>
      <w:pPr>
        <w:spacing w:after="0" w:line="88"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9"/>
              </w:rPr>
              <w:t>Name of the entity</w:t>
            </w:r>
          </w:p>
        </w:tc>
        <w:tc>
          <w:tcPr>
            <w:tcW w:w="3100" w:type="dxa"/>
            <w:vAlign w:val="bottom"/>
            <w:gridSpan w:val="2"/>
          </w:tcPr>
          <w:p>
            <w:pPr>
              <w:jc w:val="center"/>
              <w:ind w:right="1320"/>
              <w:spacing w:after="0"/>
              <w:rPr>
                <w:sz w:val="20"/>
                <w:szCs w:val="20"/>
                <w:color w:val="auto"/>
              </w:rPr>
            </w:pPr>
            <w:r>
              <w:rPr>
                <w:rFonts w:ascii="Arial" w:cs="Arial" w:eastAsia="Arial" w:hAnsi="Arial"/>
                <w:sz w:val="20"/>
                <w:szCs w:val="20"/>
                <w:color w:val="auto"/>
                <w:w w:val="88"/>
              </w:rPr>
              <w:t>Ownership percentage</w:t>
            </w:r>
          </w:p>
        </w:tc>
        <w:tc>
          <w:tcPr>
            <w:tcW w:w="1520" w:type="dxa"/>
            <w:vAlign w:val="bottom"/>
          </w:tcPr>
          <w:p>
            <w:pPr>
              <w:jc w:val="center"/>
              <w:spacing w:after="0"/>
              <w:rPr>
                <w:sz w:val="20"/>
                <w:szCs w:val="20"/>
                <w:color w:val="auto"/>
              </w:rPr>
            </w:pPr>
            <w:r>
              <w:rPr>
                <w:rFonts w:ascii="Arial" w:cs="Arial" w:eastAsia="Arial" w:hAnsi="Arial"/>
                <w:sz w:val="20"/>
                <w:szCs w:val="20"/>
                <w:color w:val="auto"/>
                <w:w w:val="92"/>
              </w:rPr>
              <w:t>Date of acquisition</w:t>
            </w:r>
          </w:p>
        </w:tc>
      </w:tr>
      <w:tr>
        <w:trPr>
          <w:trHeight w:val="308"/>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DY</w:t>
            </w:r>
          </w:p>
        </w:tc>
        <w:tc>
          <w:tcPr>
            <w:tcW w:w="1400" w:type="dxa"/>
            <w:vAlign w:val="bottom"/>
          </w:tcPr>
          <w:p>
            <w:pPr>
              <w:spacing w:after="0"/>
              <w:rPr>
                <w:sz w:val="24"/>
                <w:szCs w:val="24"/>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February 10, 2003</w:t>
            </w:r>
          </w:p>
        </w:tc>
      </w:tr>
      <w:tr>
        <w:trPr>
          <w:trHeight w:val="284"/>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5"/>
              </w:rPr>
              <w:t>PT</w:t>
            </w:r>
          </w:p>
        </w:tc>
        <w:tc>
          <w:tcPr>
            <w:tcW w:w="17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90"/>
              </w:rPr>
              <w:t>March 7, 2004</w:t>
            </w:r>
          </w:p>
        </w:tc>
      </w:tr>
      <w:tr>
        <w:trPr>
          <w:trHeight w:val="284"/>
        </w:trPr>
        <w:tc>
          <w:tcPr>
            <w:tcW w:w="2860" w:type="dxa"/>
            <w:vAlign w:val="bottom"/>
            <w:gridSpan w:val="2"/>
          </w:tcPr>
          <w:p>
            <w:pPr>
              <w:jc w:val="center"/>
              <w:ind w:right="1400"/>
              <w:spacing w:after="0"/>
              <w:rPr>
                <w:sz w:val="20"/>
                <w:szCs w:val="20"/>
                <w:color w:val="auto"/>
              </w:rPr>
            </w:pPr>
            <w:r>
              <w:rPr>
                <w:rFonts w:ascii="Arial" w:cs="Arial" w:eastAsia="Arial" w:hAnsi="Arial"/>
                <w:sz w:val="20"/>
                <w:szCs w:val="20"/>
                <w:color w:val="auto"/>
                <w:w w:val="88"/>
              </w:rPr>
              <w:t>Norsom</w:t>
            </w:r>
          </w:p>
        </w:tc>
        <w:tc>
          <w:tcPr>
            <w:tcW w:w="178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13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90"/>
              </w:rPr>
              <w:t>July 19, 2004</w:t>
            </w:r>
          </w:p>
        </w:tc>
      </w:tr>
    </w:tbl>
    <w:p>
      <w:pPr>
        <w:spacing w:after="0" w:line="231" w:lineRule="exact"/>
        <w:rPr>
          <w:sz w:val="20"/>
          <w:szCs w:val="20"/>
          <w:color w:val="auto"/>
        </w:rPr>
      </w:pPr>
    </w:p>
    <w:p>
      <w:pPr>
        <w:ind w:left="1200" w:hanging="571"/>
        <w:spacing w:after="0"/>
        <w:tabs>
          <w:tab w:leader="none" w:pos="1200" w:val="left"/>
        </w:tabs>
        <w:numPr>
          <w:ilvl w:val="0"/>
          <w:numId w:val="3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Use of estimates</w:t>
      </w:r>
    </w:p>
    <w:p>
      <w:pPr>
        <w:spacing w:after="0" w:line="220" w:lineRule="exact"/>
        <w:rPr>
          <w:sz w:val="20"/>
          <w:szCs w:val="20"/>
          <w:color w:val="auto"/>
        </w:rPr>
      </w:pPr>
    </w:p>
    <w:p>
      <w:pPr>
        <w:jc w:val="both"/>
        <w:ind w:left="1160"/>
        <w:spacing w:after="0" w:line="294" w:lineRule="auto"/>
        <w:rPr>
          <w:sz w:val="20"/>
          <w:szCs w:val="20"/>
          <w:color w:val="auto"/>
        </w:rPr>
      </w:pPr>
      <w:r>
        <w:rPr>
          <w:rFonts w:ascii="Arial" w:cs="Arial" w:eastAsia="Arial" w:hAnsi="Arial"/>
          <w:sz w:val="19"/>
          <w:szCs w:val="19"/>
          <w:color w:val="auto"/>
        </w:rPr>
        <w:t>The consolidated financial statements are prepared in conformity with US GAAP, which require the use of estimates, judgments, and assumptions that affect the reported amounts of assets and liabilities and disclosure of contingent assets and liabilities at the date of the financial statements and the reported amounts of revenue and expenses in the periods presented. The Company believes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125" w:right="239" w:bottom="1440" w:gutter="0" w:footer="0" w:header="0"/>
        </w:sectPr>
      </w:pPr>
    </w:p>
    <w:bookmarkStart w:id="131" w:name="page132"/>
    <w:bookmarkEnd w:id="131"/>
    <w:p>
      <w:pPr>
        <w:jc w:val="center"/>
        <w:ind w:right="8"/>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372" w:hanging="372"/>
        <w:spacing w:after="0"/>
        <w:tabs>
          <w:tab w:leader="none" w:pos="372" w:val="left"/>
        </w:tabs>
        <w:numPr>
          <w:ilvl w:val="0"/>
          <w:numId w:val="34"/>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19" w:lineRule="exact"/>
        <w:rPr>
          <w:rFonts w:ascii="Arial" w:cs="Arial" w:eastAsia="Arial" w:hAnsi="Arial"/>
          <w:sz w:val="22"/>
          <w:szCs w:val="22"/>
          <w:color w:val="auto"/>
        </w:rPr>
      </w:pPr>
    </w:p>
    <w:p>
      <w:pPr>
        <w:ind w:left="1192" w:hanging="571"/>
        <w:spacing w:after="0"/>
        <w:tabs>
          <w:tab w:leader="none" w:pos="1192" w:val="left"/>
        </w:tabs>
        <w:numPr>
          <w:ilvl w:val="1"/>
          <w:numId w:val="3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Cash and cash equivalents</w:t>
      </w:r>
    </w:p>
    <w:p>
      <w:pPr>
        <w:spacing w:after="0" w:line="220" w:lineRule="exact"/>
        <w:rPr>
          <w:sz w:val="20"/>
          <w:szCs w:val="20"/>
          <w:color w:val="auto"/>
        </w:rPr>
      </w:pPr>
    </w:p>
    <w:p>
      <w:pPr>
        <w:jc w:val="both"/>
        <w:ind w:left="1152"/>
        <w:spacing w:after="0" w:line="294" w:lineRule="auto"/>
        <w:rPr>
          <w:sz w:val="20"/>
          <w:szCs w:val="20"/>
          <w:color w:val="auto"/>
        </w:rPr>
      </w:pPr>
      <w:r>
        <w:rPr>
          <w:rFonts w:ascii="Arial" w:cs="Arial" w:eastAsia="Arial" w:hAnsi="Arial"/>
          <w:sz w:val="19"/>
          <w:szCs w:val="19"/>
          <w:color w:val="auto"/>
        </w:rPr>
        <w:t>Cash and cash equivalents consist of cash on hand and in banks, and time deposits with financial institutions that are short-term in nature and available at any time, and money market funds which are short-term and highly-liquid investments with original maturities of 90 days or less. The Company considers all highly liquid debt instruments with original maturities of three months or less to be cash equivalents. The Company deposits most of its cash in PRC state-owned banks, Shanghai Automotive Industrial Group Finance Co., Ltd ("SAIC-Finance"), a SAIC related party and SAIC-GMAC Automotive Finance Co., Ltd. ("SAIC-GMAC"), an equity investment of the Company.</w:t>
      </w:r>
    </w:p>
    <w:p>
      <w:pPr>
        <w:spacing w:after="0" w:line="150" w:lineRule="exact"/>
        <w:rPr>
          <w:sz w:val="20"/>
          <w:szCs w:val="20"/>
          <w:color w:val="auto"/>
        </w:rPr>
      </w:pPr>
    </w:p>
    <w:p>
      <w:pPr>
        <w:ind w:left="1192" w:hanging="571"/>
        <w:spacing w:after="0"/>
        <w:tabs>
          <w:tab w:leader="none" w:pos="1192"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Inventories</w:t>
      </w:r>
    </w:p>
    <w:p>
      <w:pPr>
        <w:spacing w:after="0" w:line="219" w:lineRule="exact"/>
        <w:rPr>
          <w:rFonts w:ascii="Arial" w:cs="Arial" w:eastAsia="Arial" w:hAnsi="Arial"/>
          <w:sz w:val="22"/>
          <w:szCs w:val="22"/>
          <w:b w:val="1"/>
          <w:bCs w:val="1"/>
          <w:i w:val="1"/>
          <w:iCs w:val="1"/>
          <w:color w:val="auto"/>
        </w:rPr>
      </w:pPr>
    </w:p>
    <w:p>
      <w:pPr>
        <w:jc w:val="both"/>
        <w:ind w:left="1192"/>
        <w:spacing w:after="0" w:line="302" w:lineRule="auto"/>
        <w:rPr>
          <w:rFonts w:ascii="Arial" w:cs="Arial" w:eastAsia="Arial" w:hAnsi="Arial"/>
          <w:sz w:val="22"/>
          <w:szCs w:val="22"/>
          <w:b w:val="1"/>
          <w:bCs w:val="1"/>
          <w:i w:val="1"/>
          <w:iCs w:val="1"/>
          <w:color w:val="auto"/>
        </w:rPr>
      </w:pPr>
      <w:r>
        <w:rPr>
          <w:rFonts w:ascii="Arial" w:cs="Arial" w:eastAsia="Arial" w:hAnsi="Arial"/>
          <w:sz w:val="19"/>
          <w:szCs w:val="19"/>
          <w:color w:val="auto"/>
        </w:rPr>
        <w:t>Inventories are stated at lower of cost or market. Market, which represents selling price less cost to sell, considers general market and economic conditions, periodic reviews of current profitability of vehicles and the effect of current incentive offers at the balance sheet date. Productive material, work-in-process, supplies and service parts are reviewed to determine if inventory quantities are in excess of forecasted usage, or if they have become obsolete.</w:t>
      </w:r>
    </w:p>
    <w:p>
      <w:pPr>
        <w:spacing w:after="0" w:line="142" w:lineRule="exact"/>
        <w:rPr>
          <w:rFonts w:ascii="Arial" w:cs="Arial" w:eastAsia="Arial" w:hAnsi="Arial"/>
          <w:sz w:val="22"/>
          <w:szCs w:val="22"/>
          <w:b w:val="1"/>
          <w:bCs w:val="1"/>
          <w:i w:val="1"/>
          <w:iCs w:val="1"/>
          <w:color w:val="auto"/>
        </w:rPr>
      </w:pPr>
    </w:p>
    <w:p>
      <w:pPr>
        <w:ind w:left="1192" w:hanging="571"/>
        <w:spacing w:after="0"/>
        <w:tabs>
          <w:tab w:leader="none" w:pos="1192" w:val="left"/>
        </w:tabs>
        <w:numPr>
          <w:ilvl w:val="0"/>
          <w:numId w:val="3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Fair Value Measurements</w:t>
      </w:r>
    </w:p>
    <w:p>
      <w:pPr>
        <w:spacing w:after="0" w:line="220" w:lineRule="exact"/>
        <w:rPr>
          <w:sz w:val="20"/>
          <w:szCs w:val="20"/>
          <w:color w:val="auto"/>
        </w:rPr>
      </w:pPr>
    </w:p>
    <w:p>
      <w:pPr>
        <w:jc w:val="both"/>
        <w:ind w:left="1152"/>
        <w:spacing w:after="0" w:line="250" w:lineRule="auto"/>
        <w:rPr>
          <w:sz w:val="20"/>
          <w:szCs w:val="20"/>
          <w:color w:val="auto"/>
        </w:rPr>
      </w:pPr>
      <w:r>
        <w:rPr>
          <w:rFonts w:ascii="Arial" w:cs="Arial" w:eastAsia="Arial" w:hAnsi="Arial"/>
          <w:sz w:val="22"/>
          <w:szCs w:val="22"/>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two types of inputs create the following fair value hierarchy:</w:t>
      </w:r>
    </w:p>
    <w:p>
      <w:pPr>
        <w:spacing w:after="0" w:line="188" w:lineRule="exact"/>
        <w:rPr>
          <w:sz w:val="20"/>
          <w:szCs w:val="20"/>
          <w:color w:val="auto"/>
        </w:rPr>
      </w:pPr>
    </w:p>
    <w:p>
      <w:pPr>
        <w:ind w:left="1812" w:hanging="326"/>
        <w:spacing w:after="0"/>
        <w:tabs>
          <w:tab w:leader="none" w:pos="1812" w:val="left"/>
        </w:tabs>
        <w:numPr>
          <w:ilvl w:val="0"/>
          <w:numId w:val="36"/>
        </w:numPr>
        <w:rPr>
          <w:rFonts w:ascii="Arial" w:cs="Arial" w:eastAsia="Arial" w:hAnsi="Arial"/>
          <w:sz w:val="18"/>
          <w:szCs w:val="18"/>
          <w:color w:val="auto"/>
        </w:rPr>
      </w:pPr>
      <w:r>
        <w:rPr>
          <w:rFonts w:ascii="Arial" w:cs="Arial" w:eastAsia="Arial" w:hAnsi="Arial"/>
          <w:sz w:val="22"/>
          <w:szCs w:val="22"/>
          <w:color w:val="auto"/>
        </w:rPr>
        <w:t>Level 1 - Quoted prices for identical instruments in active markets;</w:t>
      </w:r>
    </w:p>
    <w:p>
      <w:pPr>
        <w:spacing w:after="0" w:line="21" w:lineRule="exact"/>
        <w:rPr>
          <w:rFonts w:ascii="Arial" w:cs="Arial" w:eastAsia="Arial" w:hAnsi="Arial"/>
          <w:sz w:val="18"/>
          <w:szCs w:val="18"/>
          <w:color w:val="auto"/>
        </w:rPr>
      </w:pPr>
    </w:p>
    <w:p>
      <w:pPr>
        <w:jc w:val="both"/>
        <w:ind w:left="1812" w:hanging="326"/>
        <w:spacing w:after="0" w:line="243" w:lineRule="auto"/>
        <w:tabs>
          <w:tab w:leader="none" w:pos="1812" w:val="left"/>
        </w:tabs>
        <w:numPr>
          <w:ilvl w:val="0"/>
          <w:numId w:val="36"/>
        </w:numPr>
        <w:rPr>
          <w:rFonts w:ascii="Arial" w:cs="Arial" w:eastAsia="Arial" w:hAnsi="Arial"/>
          <w:sz w:val="18"/>
          <w:szCs w:val="18"/>
          <w:color w:val="auto"/>
        </w:rPr>
      </w:pPr>
      <w:r>
        <w:rPr>
          <w:rFonts w:ascii="Arial" w:cs="Arial" w:eastAsia="Arial" w:hAnsi="Arial"/>
          <w:sz w:val="22"/>
          <w:szCs w:val="22"/>
          <w:color w:val="auto"/>
        </w:rPr>
        <w:t>Level 2 - Quoted prices for similar instruments in active markets; quoted prices for identical or similar instruments in markets that are not active; and model-derived valuations whose significant inputs are observable; and</w:t>
      </w:r>
    </w:p>
    <w:p>
      <w:pPr>
        <w:spacing w:after="0" w:line="1" w:lineRule="exact"/>
        <w:rPr>
          <w:rFonts w:ascii="Arial" w:cs="Arial" w:eastAsia="Arial" w:hAnsi="Arial"/>
          <w:sz w:val="18"/>
          <w:szCs w:val="18"/>
          <w:color w:val="auto"/>
        </w:rPr>
      </w:pPr>
    </w:p>
    <w:p>
      <w:pPr>
        <w:ind w:left="1812" w:hanging="326"/>
        <w:spacing w:after="0"/>
        <w:tabs>
          <w:tab w:leader="none" w:pos="1812" w:val="left"/>
        </w:tabs>
        <w:numPr>
          <w:ilvl w:val="0"/>
          <w:numId w:val="36"/>
        </w:numPr>
        <w:rPr>
          <w:rFonts w:ascii="Arial" w:cs="Arial" w:eastAsia="Arial" w:hAnsi="Arial"/>
          <w:sz w:val="18"/>
          <w:szCs w:val="18"/>
          <w:color w:val="auto"/>
        </w:rPr>
      </w:pPr>
      <w:r>
        <w:rPr>
          <w:rFonts w:ascii="Arial" w:cs="Arial" w:eastAsia="Arial" w:hAnsi="Arial"/>
          <w:sz w:val="22"/>
          <w:szCs w:val="22"/>
          <w:color w:val="auto"/>
        </w:rPr>
        <w:t>Level 3 - Instruments whose significant inputs are unobservable.</w:t>
      </w:r>
    </w:p>
    <w:p>
      <w:pPr>
        <w:spacing w:after="0" w:line="202" w:lineRule="exact"/>
        <w:rPr>
          <w:sz w:val="20"/>
          <w:szCs w:val="20"/>
          <w:color w:val="auto"/>
        </w:rPr>
      </w:pPr>
    </w:p>
    <w:p>
      <w:pPr>
        <w:ind w:left="1152"/>
        <w:spacing w:after="0" w:line="263" w:lineRule="auto"/>
        <w:rPr>
          <w:sz w:val="20"/>
          <w:szCs w:val="20"/>
          <w:color w:val="auto"/>
        </w:rPr>
      </w:pPr>
      <w:r>
        <w:rPr>
          <w:rFonts w:ascii="Arial" w:cs="Arial" w:eastAsia="Arial" w:hAnsi="Arial"/>
          <w:sz w:val="22"/>
          <w:szCs w:val="22"/>
          <w:color w:val="auto"/>
        </w:rPr>
        <w:t>Financial instruments are transferred in and/or out of Level 1, 2 or 3 at the beginning of the accounting period in which there is a change in the valuation inputs.</w:t>
      </w:r>
    </w:p>
    <w:p>
      <w:pPr>
        <w:spacing w:after="0" w:line="175" w:lineRule="exact"/>
        <w:rPr>
          <w:sz w:val="20"/>
          <w:szCs w:val="20"/>
          <w:color w:val="auto"/>
        </w:rPr>
      </w:pPr>
    </w:p>
    <w:p>
      <w:pPr>
        <w:ind w:left="1132" w:right="60"/>
        <w:spacing w:after="0" w:line="253" w:lineRule="auto"/>
        <w:rPr>
          <w:sz w:val="20"/>
          <w:szCs w:val="20"/>
          <w:color w:val="auto"/>
        </w:rPr>
      </w:pPr>
      <w:r>
        <w:rPr>
          <w:rFonts w:ascii="Arial" w:cs="Arial" w:eastAsia="Arial" w:hAnsi="Arial"/>
          <w:sz w:val="22"/>
          <w:szCs w:val="22"/>
          <w:color w:val="auto"/>
        </w:rPr>
        <w:t>The Company believes the fair value of its financial instruments, principally cash and cash equivalents, trade accounts receivable and trade accounts payable, approximate their recorded values due to the short-term nature of the instruments or interest rates, which are comparable with current rates.</w:t>
      </w:r>
    </w:p>
    <w:p>
      <w:pPr>
        <w:spacing w:after="0" w:line="226" w:lineRule="exact"/>
        <w:rPr>
          <w:sz w:val="20"/>
          <w:szCs w:val="20"/>
          <w:color w:val="auto"/>
        </w:rPr>
      </w:pPr>
    </w:p>
    <w:p>
      <w:pPr>
        <w:ind w:left="1192" w:hanging="571"/>
        <w:spacing w:after="0"/>
        <w:tabs>
          <w:tab w:leader="none" w:pos="1192" w:val="left"/>
        </w:tabs>
        <w:numPr>
          <w:ilvl w:val="0"/>
          <w:numId w:val="3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Equity in net assets of nonconsolidated affiliates</w:t>
      </w:r>
    </w:p>
    <w:p>
      <w:pPr>
        <w:spacing w:after="0" w:line="220" w:lineRule="exact"/>
        <w:rPr>
          <w:sz w:val="20"/>
          <w:szCs w:val="20"/>
          <w:color w:val="auto"/>
        </w:rPr>
      </w:pPr>
    </w:p>
    <w:p>
      <w:pPr>
        <w:jc w:val="both"/>
        <w:ind w:left="1152"/>
        <w:spacing w:after="0" w:line="343" w:lineRule="auto"/>
        <w:rPr>
          <w:sz w:val="20"/>
          <w:szCs w:val="20"/>
          <w:color w:val="auto"/>
        </w:rPr>
      </w:pPr>
      <w:r>
        <w:rPr>
          <w:rFonts w:ascii="Arial" w:cs="Arial" w:eastAsia="Arial" w:hAnsi="Arial"/>
          <w:sz w:val="19"/>
          <w:szCs w:val="19"/>
          <w:color w:val="auto"/>
        </w:rPr>
        <w:t>Nonconsolidated affiliates are entities in which an equity ownership interest is maintained and for which the equity method of accounting is used, due to the ability to exert significant influence over their operating and financial affairs.</w:t>
      </w:r>
    </w:p>
    <w:p>
      <w:pPr>
        <w:spacing w:after="0" w:line="382" w:lineRule="exact"/>
        <w:rPr>
          <w:sz w:val="20"/>
          <w:szCs w:val="20"/>
          <w:color w:val="auto"/>
        </w:rPr>
      </w:pPr>
    </w:p>
    <w:p>
      <w:pPr>
        <w:ind w:left="11032"/>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412"/>
          </w:cols>
          <w:pgMar w:left="248" w:top="126" w:right="239" w:bottom="1440" w:gutter="0" w:footer="0" w:header="0"/>
        </w:sectPr>
      </w:pPr>
    </w:p>
    <w:bookmarkStart w:id="132" w:name="page133"/>
    <w:bookmarkEnd w:id="132"/>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3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Valuation of equity method investments</w:t>
      </w:r>
    </w:p>
    <w:p>
      <w:pPr>
        <w:spacing w:after="0" w:line="260" w:lineRule="exact"/>
        <w:rPr>
          <w:sz w:val="20"/>
          <w:szCs w:val="20"/>
          <w:color w:val="auto"/>
        </w:rPr>
      </w:pPr>
    </w:p>
    <w:p>
      <w:pPr>
        <w:jc w:val="both"/>
        <w:ind w:left="1160"/>
        <w:spacing w:after="0" w:line="294" w:lineRule="auto"/>
        <w:rPr>
          <w:sz w:val="20"/>
          <w:szCs w:val="20"/>
          <w:color w:val="auto"/>
        </w:rPr>
      </w:pPr>
      <w:r>
        <w:rPr>
          <w:rFonts w:ascii="Arial" w:cs="Arial" w:eastAsia="Arial" w:hAnsi="Arial"/>
          <w:sz w:val="19"/>
          <w:szCs w:val="19"/>
          <w:color w:val="auto"/>
        </w:rPr>
        <w:t>When events and circumstances warrant, investments accounted for under the cost or equity method of accounting are evaluated for impairment. An impairment charge is recorded whenever a decline in value of an investment below its carrying amount is determined to be other than temporary. In determining if a decline is other than temporary, factors such as the length of time and extent to which the fair value of the investment has been less than the carrying amount of the investment, the near-term and long-term operating and financial prospects of the affiliate and the intent and ability to hold the investment for a period of time sufficient to allow for any anticipated recovery are considered.</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No impairments were recognized for the years ended December 31, 2016, 2015 and 2014.</w:t>
      </w:r>
    </w:p>
    <w:p>
      <w:pPr>
        <w:spacing w:after="0" w:line="260" w:lineRule="exact"/>
        <w:rPr>
          <w:sz w:val="20"/>
          <w:szCs w:val="20"/>
          <w:color w:val="auto"/>
        </w:rPr>
      </w:pPr>
    </w:p>
    <w:p>
      <w:pPr>
        <w:ind w:left="1200" w:hanging="571"/>
        <w:spacing w:after="0"/>
        <w:tabs>
          <w:tab w:leader="none" w:pos="1200" w:val="left"/>
        </w:tabs>
        <w:numPr>
          <w:ilvl w:val="0"/>
          <w:numId w:val="3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Property, net</w:t>
      </w:r>
    </w:p>
    <w:p>
      <w:pPr>
        <w:spacing w:after="0" w:line="260" w:lineRule="exact"/>
        <w:rPr>
          <w:sz w:val="20"/>
          <w:szCs w:val="20"/>
          <w:color w:val="auto"/>
        </w:rPr>
      </w:pPr>
    </w:p>
    <w:p>
      <w:pPr>
        <w:jc w:val="both"/>
        <w:ind w:left="1160"/>
        <w:spacing w:after="0" w:line="263" w:lineRule="auto"/>
        <w:rPr>
          <w:sz w:val="20"/>
          <w:szCs w:val="20"/>
          <w:color w:val="auto"/>
        </w:rPr>
      </w:pPr>
      <w:r>
        <w:rPr>
          <w:rFonts w:ascii="Arial" w:cs="Arial" w:eastAsia="Arial" w:hAnsi="Arial"/>
          <w:sz w:val="22"/>
          <w:szCs w:val="22"/>
          <w:color w:val="auto"/>
        </w:rPr>
        <w:t>Property, plant and equipment is recorded at cost. Major improvements that extend the useful life of property are capitalized. Expenditures for repairs and maintenance are charged to expense as incurred.</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The Company's depreciation method is summarized in the following table:</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w w:val="87"/>
              </w:rPr>
              <w:t>Category</w:t>
            </w:r>
          </w:p>
        </w:tc>
        <w:tc>
          <w:tcPr>
            <w:tcW w:w="276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Arial" w:cs="Arial" w:eastAsia="Arial" w:hAnsi="Arial"/>
                <w:sz w:val="22"/>
                <w:szCs w:val="22"/>
                <w:color w:val="auto"/>
              </w:rPr>
              <w:t>Depreciation method</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w w:val="88"/>
              </w:rPr>
              <w:t>Estimated useful lives</w:t>
            </w:r>
          </w:p>
        </w:tc>
      </w:tr>
      <w:tr>
        <w:trPr>
          <w:trHeight w:val="20"/>
        </w:trPr>
        <w:tc>
          <w:tcPr>
            <w:tcW w:w="8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652"/>
        </w:trPr>
        <w:tc>
          <w:tcPr>
            <w:tcW w:w="3560" w:type="dxa"/>
            <w:vAlign w:val="bottom"/>
            <w:gridSpan w:val="2"/>
          </w:tcPr>
          <w:p>
            <w:pPr>
              <w:spacing w:after="0"/>
              <w:rPr>
                <w:sz w:val="20"/>
                <w:szCs w:val="20"/>
                <w:color w:val="auto"/>
              </w:rPr>
            </w:pPr>
            <w:r>
              <w:rPr>
                <w:rFonts w:ascii="Arial" w:cs="Arial" w:eastAsia="Arial" w:hAnsi="Arial"/>
                <w:sz w:val="22"/>
                <w:szCs w:val="22"/>
                <w:color w:val="auto"/>
              </w:rPr>
              <w:t>Buildings</w:t>
            </w:r>
          </w:p>
        </w:tc>
        <w:tc>
          <w:tcPr>
            <w:tcW w:w="2400" w:type="dxa"/>
            <w:vAlign w:val="bottom"/>
            <w:gridSpan w:val="2"/>
          </w:tcPr>
          <w:p>
            <w:pPr>
              <w:spacing w:after="0"/>
              <w:rPr>
                <w:sz w:val="20"/>
                <w:szCs w:val="20"/>
                <w:color w:val="auto"/>
              </w:rPr>
            </w:pPr>
            <w:r>
              <w:rPr>
                <w:rFonts w:ascii="Arial" w:cs="Arial" w:eastAsia="Arial" w:hAnsi="Arial"/>
                <w:sz w:val="22"/>
                <w:szCs w:val="22"/>
                <w:color w:val="auto"/>
              </w:rPr>
              <w:t>Straight-line</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rPr>
              <w:t>25 years</w:t>
            </w:r>
          </w:p>
        </w:tc>
      </w:tr>
      <w:tr>
        <w:trPr>
          <w:trHeight w:val="297"/>
        </w:trPr>
        <w:tc>
          <w:tcPr>
            <w:tcW w:w="3560" w:type="dxa"/>
            <w:vAlign w:val="bottom"/>
            <w:gridSpan w:val="2"/>
          </w:tcPr>
          <w:p>
            <w:pPr>
              <w:spacing w:after="0"/>
              <w:rPr>
                <w:sz w:val="20"/>
                <w:szCs w:val="20"/>
                <w:color w:val="auto"/>
              </w:rPr>
            </w:pPr>
            <w:r>
              <w:rPr>
                <w:rFonts w:ascii="Arial" w:cs="Arial" w:eastAsia="Arial" w:hAnsi="Arial"/>
                <w:sz w:val="22"/>
                <w:szCs w:val="22"/>
                <w:color w:val="auto"/>
              </w:rPr>
              <w:t>Furniture, fixtures and equipment</w:t>
            </w:r>
          </w:p>
        </w:tc>
        <w:tc>
          <w:tcPr>
            <w:tcW w:w="2400" w:type="dxa"/>
            <w:vAlign w:val="bottom"/>
            <w:gridSpan w:val="2"/>
          </w:tcPr>
          <w:p>
            <w:pPr>
              <w:spacing w:after="0"/>
              <w:rPr>
                <w:sz w:val="20"/>
                <w:szCs w:val="20"/>
                <w:color w:val="auto"/>
              </w:rPr>
            </w:pPr>
            <w:r>
              <w:rPr>
                <w:rFonts w:ascii="Arial" w:cs="Arial" w:eastAsia="Arial" w:hAnsi="Arial"/>
                <w:sz w:val="22"/>
                <w:szCs w:val="22"/>
                <w:color w:val="auto"/>
              </w:rPr>
              <w:t>Straight-line</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rPr>
              <w:t>3 to 5 years</w:t>
            </w:r>
          </w:p>
        </w:tc>
      </w:tr>
      <w:tr>
        <w:trPr>
          <w:trHeight w:val="297"/>
        </w:trPr>
        <w:tc>
          <w:tcPr>
            <w:tcW w:w="3560" w:type="dxa"/>
            <w:vAlign w:val="bottom"/>
            <w:gridSpan w:val="2"/>
          </w:tcPr>
          <w:p>
            <w:pPr>
              <w:spacing w:after="0"/>
              <w:rPr>
                <w:sz w:val="20"/>
                <w:szCs w:val="20"/>
                <w:color w:val="auto"/>
              </w:rPr>
            </w:pPr>
            <w:r>
              <w:rPr>
                <w:rFonts w:ascii="Arial" w:cs="Arial" w:eastAsia="Arial" w:hAnsi="Arial"/>
                <w:sz w:val="22"/>
                <w:szCs w:val="22"/>
                <w:color w:val="auto"/>
              </w:rPr>
              <w:t>Machinery</w:t>
            </w:r>
          </w:p>
        </w:tc>
        <w:tc>
          <w:tcPr>
            <w:tcW w:w="2400" w:type="dxa"/>
            <w:vAlign w:val="bottom"/>
            <w:gridSpan w:val="2"/>
          </w:tcPr>
          <w:p>
            <w:pPr>
              <w:spacing w:after="0"/>
              <w:rPr>
                <w:sz w:val="20"/>
                <w:szCs w:val="20"/>
                <w:color w:val="auto"/>
              </w:rPr>
            </w:pPr>
            <w:r>
              <w:rPr>
                <w:rFonts w:ascii="Arial" w:cs="Arial" w:eastAsia="Arial" w:hAnsi="Arial"/>
                <w:sz w:val="22"/>
                <w:szCs w:val="22"/>
                <w:color w:val="auto"/>
              </w:rPr>
              <w:t>Straight-line</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rPr>
              <w:t>5 to 20 years</w:t>
            </w:r>
          </w:p>
        </w:tc>
      </w:tr>
      <w:tr>
        <w:trPr>
          <w:trHeight w:val="297"/>
        </w:trPr>
        <w:tc>
          <w:tcPr>
            <w:tcW w:w="3560" w:type="dxa"/>
            <w:vAlign w:val="bottom"/>
            <w:gridSpan w:val="2"/>
          </w:tcPr>
          <w:p>
            <w:pPr>
              <w:spacing w:after="0"/>
              <w:rPr>
                <w:sz w:val="20"/>
                <w:szCs w:val="20"/>
                <w:color w:val="auto"/>
              </w:rPr>
            </w:pPr>
            <w:r>
              <w:rPr>
                <w:rFonts w:ascii="Arial" w:cs="Arial" w:eastAsia="Arial" w:hAnsi="Arial"/>
                <w:sz w:val="22"/>
                <w:szCs w:val="22"/>
                <w:color w:val="auto"/>
              </w:rPr>
              <w:t>Toolings other than</w:t>
            </w: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97"/>
        </w:trPr>
        <w:tc>
          <w:tcPr>
            <w:tcW w:w="3560" w:type="dxa"/>
            <w:vAlign w:val="bottom"/>
            <w:gridSpan w:val="2"/>
          </w:tcPr>
          <w:p>
            <w:pPr>
              <w:ind w:left="100"/>
              <w:spacing w:after="0"/>
              <w:rPr>
                <w:sz w:val="20"/>
                <w:szCs w:val="20"/>
                <w:color w:val="auto"/>
              </w:rPr>
            </w:pPr>
            <w:r>
              <w:rPr>
                <w:rFonts w:ascii="Arial" w:cs="Arial" w:eastAsia="Arial" w:hAnsi="Arial"/>
                <w:sz w:val="22"/>
                <w:szCs w:val="22"/>
                <w:color w:val="auto"/>
              </w:rPr>
              <w:t>non-powertrain tools</w:t>
            </w:r>
          </w:p>
        </w:tc>
        <w:tc>
          <w:tcPr>
            <w:tcW w:w="2400" w:type="dxa"/>
            <w:vAlign w:val="bottom"/>
            <w:gridSpan w:val="2"/>
          </w:tcPr>
          <w:p>
            <w:pPr>
              <w:spacing w:after="0"/>
              <w:rPr>
                <w:sz w:val="20"/>
                <w:szCs w:val="20"/>
                <w:color w:val="auto"/>
              </w:rPr>
            </w:pPr>
            <w:r>
              <w:rPr>
                <w:rFonts w:ascii="Arial" w:cs="Arial" w:eastAsia="Arial" w:hAnsi="Arial"/>
                <w:sz w:val="22"/>
                <w:szCs w:val="22"/>
                <w:color w:val="auto"/>
              </w:rPr>
              <w:t>Straight-line</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rPr>
              <w:t>5 years</w:t>
            </w:r>
          </w:p>
        </w:tc>
      </w:tr>
      <w:tr>
        <w:trPr>
          <w:trHeight w:val="297"/>
        </w:trPr>
        <w:tc>
          <w:tcPr>
            <w:tcW w:w="3560" w:type="dxa"/>
            <w:vAlign w:val="bottom"/>
            <w:gridSpan w:val="2"/>
          </w:tcPr>
          <w:p>
            <w:pPr>
              <w:spacing w:after="0"/>
              <w:rPr>
                <w:sz w:val="20"/>
                <w:szCs w:val="20"/>
                <w:color w:val="auto"/>
              </w:rPr>
            </w:pPr>
            <w:r>
              <w:rPr>
                <w:rFonts w:ascii="Arial" w:cs="Arial" w:eastAsia="Arial" w:hAnsi="Arial"/>
                <w:sz w:val="22"/>
                <w:szCs w:val="22"/>
                <w:color w:val="auto"/>
              </w:rPr>
              <w:t>Non-powertrain special tools</w:t>
            </w:r>
          </w:p>
        </w:tc>
        <w:tc>
          <w:tcPr>
            <w:tcW w:w="2400" w:type="dxa"/>
            <w:vAlign w:val="bottom"/>
            <w:gridSpan w:val="2"/>
          </w:tcPr>
          <w:p>
            <w:pPr>
              <w:spacing w:after="0"/>
              <w:rPr>
                <w:sz w:val="20"/>
                <w:szCs w:val="20"/>
                <w:color w:val="auto"/>
              </w:rPr>
            </w:pPr>
            <w:r>
              <w:rPr>
                <w:rFonts w:ascii="Arial" w:cs="Arial" w:eastAsia="Arial" w:hAnsi="Arial"/>
                <w:sz w:val="22"/>
                <w:szCs w:val="22"/>
                <w:color w:val="auto"/>
                <w:w w:val="98"/>
              </w:rPr>
              <w:t>Accelerated depreciation</w:t>
            </w:r>
          </w:p>
        </w:tc>
        <w:tc>
          <w:tcPr>
            <w:tcW w:w="2160" w:type="dxa"/>
            <w:vAlign w:val="bottom"/>
            <w:gridSpan w:val="2"/>
          </w:tcPr>
          <w:p>
            <w:pPr>
              <w:ind w:left="260"/>
              <w:spacing w:after="0"/>
              <w:rPr>
                <w:sz w:val="20"/>
                <w:szCs w:val="20"/>
                <w:color w:val="auto"/>
              </w:rPr>
            </w:pPr>
            <w:r>
              <w:rPr>
                <w:rFonts w:ascii="Arial" w:cs="Arial" w:eastAsia="Arial" w:hAnsi="Arial"/>
                <w:sz w:val="22"/>
                <w:szCs w:val="22"/>
                <w:color w:val="auto"/>
              </w:rPr>
              <w:t>5 years</w:t>
            </w:r>
          </w:p>
        </w:tc>
      </w:tr>
    </w:tbl>
    <w:p>
      <w:pPr>
        <w:spacing w:after="0" w:line="26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The Company assumes no salvage value on its computation of depreciation.</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The Company's policy is to review the estimated useful lives of property on an annual basis. Upon retirement or disposal of property, plant and equipment, the cost and related accumulated depreciation are removed from the accounts and any resulting gain or loss is recognized in cost of sales.</w:t>
      </w:r>
    </w:p>
    <w:p>
      <w:pPr>
        <w:spacing w:after="0" w:line="226" w:lineRule="exact"/>
        <w:rPr>
          <w:sz w:val="20"/>
          <w:szCs w:val="20"/>
          <w:color w:val="auto"/>
        </w:rPr>
      </w:pPr>
    </w:p>
    <w:p>
      <w:pPr>
        <w:ind w:left="1200" w:hanging="571"/>
        <w:spacing w:after="0"/>
        <w:tabs>
          <w:tab w:leader="none" w:pos="1200" w:val="left"/>
        </w:tabs>
        <w:numPr>
          <w:ilvl w:val="0"/>
          <w:numId w:val="4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Intangible assets</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Intangible assets include technology licenses and are amortized on a straight-line basis over the shorter of the life of license or the planned life-cycle of the vehicles or products associated with the license, ranging from 45 months to 98 months.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5" w:right="239" w:bottom="1440" w:gutter="0" w:footer="0" w:header="0"/>
        </w:sectPr>
      </w:pPr>
    </w:p>
    <w:bookmarkStart w:id="133" w:name="page134"/>
    <w:bookmarkEnd w:id="133"/>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4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Impairment of long-lived assets</w:t>
      </w:r>
    </w:p>
    <w:p>
      <w:pPr>
        <w:spacing w:after="0" w:line="260" w:lineRule="exact"/>
        <w:rPr>
          <w:sz w:val="20"/>
          <w:szCs w:val="20"/>
          <w:color w:val="auto"/>
        </w:rPr>
      </w:pPr>
    </w:p>
    <w:p>
      <w:pPr>
        <w:jc w:val="both"/>
        <w:ind w:left="1160"/>
        <w:spacing w:after="0" w:line="292" w:lineRule="auto"/>
        <w:rPr>
          <w:sz w:val="20"/>
          <w:szCs w:val="20"/>
          <w:color w:val="auto"/>
        </w:rPr>
      </w:pPr>
      <w:r>
        <w:rPr>
          <w:rFonts w:ascii="Arial" w:cs="Arial" w:eastAsia="Arial" w:hAnsi="Arial"/>
          <w:sz w:val="19"/>
          <w:szCs w:val="19"/>
          <w:color w:val="auto"/>
        </w:rPr>
        <w:t>Long-lived assets and intangible assets subject to amortization are reviewed for impairment whenever events or changes in circumstances indicate that the carrying amount of an asset may not be recoverable. When events and circumstances warrant, the Company evaluates the carrying value of long-lived assets to be held and used in the business, other than goodwill. If the carrying value of a long-lived asset group is considered impaired, a loss is recognized based on the amount by which the carrying value exceeds the fair value for assets to be held and used. Fair value is determined primarily using the anticipated cash flows discounted at a rate commensurate with the risk involved. Long-lived assets to be disposed of other than by sale are considered held for use until disposition.</w:t>
      </w:r>
    </w:p>
    <w:p>
      <w:pPr>
        <w:spacing w:after="0" w:line="192" w:lineRule="exact"/>
        <w:rPr>
          <w:sz w:val="20"/>
          <w:szCs w:val="20"/>
          <w:color w:val="auto"/>
        </w:rPr>
      </w:pPr>
    </w:p>
    <w:p>
      <w:pPr>
        <w:ind w:left="1200" w:hanging="571"/>
        <w:spacing w:after="0"/>
        <w:tabs>
          <w:tab w:leader="none" w:pos="1200" w:val="left"/>
        </w:tabs>
        <w:numPr>
          <w:ilvl w:val="0"/>
          <w:numId w:val="4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Goodwill</w:t>
      </w:r>
    </w:p>
    <w:p>
      <w:pPr>
        <w:spacing w:after="0" w:line="260" w:lineRule="exact"/>
        <w:rPr>
          <w:sz w:val="20"/>
          <w:szCs w:val="20"/>
          <w:color w:val="auto"/>
        </w:rPr>
      </w:pPr>
    </w:p>
    <w:p>
      <w:pPr>
        <w:jc w:val="both"/>
        <w:ind w:left="1160"/>
        <w:spacing w:after="0" w:line="257" w:lineRule="auto"/>
        <w:rPr>
          <w:sz w:val="20"/>
          <w:szCs w:val="20"/>
          <w:color w:val="auto"/>
        </w:rPr>
      </w:pPr>
      <w:r>
        <w:rPr>
          <w:rFonts w:ascii="Arial" w:cs="Arial" w:eastAsia="Arial" w:hAnsi="Arial"/>
          <w:sz w:val="21"/>
          <w:szCs w:val="21"/>
          <w:color w:val="auto"/>
        </w:rPr>
        <w:t>Goodwill represents the excess of the cost of an acquisition over the fair value of net assets acquired. Goodwill and intangible assets acquired in a business combination that are determined to have an indefinite useful life are not amortized, but instead tested for impairment at least annually. The Company completes a two-step goodwill impairment test, on an annual basis as of December 31, or more frequently when events occur or circumstances change such that it is reasonably possible that impairment may exist. The first step of the impairment test requires the identification of our reporting units and comparison of the fair value of each of these reporting units to their respective carrying value. The fair values of the reporting units are determined based on valuation techniques using the best information that is available, such as discounted cash flow projections. If the carrying value is less than the fair value, no impairment exists and the second step is not performed. If the carrying value is higher than the fair value, there is an indication that impairment may exist and the second step must be performed to compute the amount of the impairment. In the second step, the impairment is computed by estimating the fair values of all recognized and unrecognized assets and liabilities of the reporting unit and comparing the implied fair value of the reporting unit's goodwill with the carrying amount of that unit's goodwill. The annual impairment tests are performed in the fourth quarter of each year.</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No impairments were recognized in the years ended December 31, 2016, 2015 and 2014.</w:t>
      </w:r>
    </w:p>
    <w:p>
      <w:pPr>
        <w:spacing w:after="0" w:line="260" w:lineRule="exact"/>
        <w:rPr>
          <w:sz w:val="20"/>
          <w:szCs w:val="20"/>
          <w:color w:val="auto"/>
        </w:rPr>
      </w:pPr>
    </w:p>
    <w:p>
      <w:pPr>
        <w:ind w:left="1200" w:hanging="571"/>
        <w:spacing w:after="0"/>
        <w:tabs>
          <w:tab w:leader="none" w:pos="1200" w:val="left"/>
        </w:tabs>
        <w:numPr>
          <w:ilvl w:val="0"/>
          <w:numId w:val="4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Prepaid land use rights</w:t>
      </w:r>
    </w:p>
    <w:p>
      <w:pPr>
        <w:spacing w:after="0" w:line="260" w:lineRule="exact"/>
        <w:rPr>
          <w:sz w:val="20"/>
          <w:szCs w:val="20"/>
          <w:color w:val="auto"/>
        </w:rPr>
      </w:pPr>
    </w:p>
    <w:p>
      <w:pPr>
        <w:jc w:val="both"/>
        <w:ind w:left="1160"/>
        <w:spacing w:after="0" w:line="253" w:lineRule="auto"/>
        <w:rPr>
          <w:sz w:val="20"/>
          <w:szCs w:val="20"/>
          <w:color w:val="auto"/>
        </w:rPr>
      </w:pPr>
      <w:r>
        <w:rPr>
          <w:rFonts w:ascii="Arial" w:cs="Arial" w:eastAsia="Arial" w:hAnsi="Arial"/>
          <w:sz w:val="22"/>
          <w:szCs w:val="22"/>
          <w:color w:val="auto"/>
        </w:rPr>
        <w:t>All land in China is owned by the government, who, according to the laws, may sell the right to use the land for a specified period of time. Prepaid land use rights are amortized on a straight-line method over the effective period of land use rights.</w:t>
      </w:r>
    </w:p>
    <w:p>
      <w:pPr>
        <w:spacing w:after="0" w:line="226" w:lineRule="exact"/>
        <w:rPr>
          <w:sz w:val="20"/>
          <w:szCs w:val="20"/>
          <w:color w:val="auto"/>
        </w:rPr>
      </w:pPr>
    </w:p>
    <w:p>
      <w:pPr>
        <w:ind w:left="1200" w:hanging="571"/>
        <w:spacing w:after="0"/>
        <w:tabs>
          <w:tab w:leader="none" w:pos="1200" w:val="left"/>
        </w:tabs>
        <w:numPr>
          <w:ilvl w:val="0"/>
          <w:numId w:val="4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Revenue recognition</w:t>
      </w:r>
    </w:p>
    <w:p>
      <w:pPr>
        <w:spacing w:after="0" w:line="260" w:lineRule="exact"/>
        <w:rPr>
          <w:sz w:val="20"/>
          <w:szCs w:val="20"/>
          <w:color w:val="auto"/>
        </w:rPr>
      </w:pPr>
    </w:p>
    <w:p>
      <w:pPr>
        <w:ind w:left="1160" w:right="20"/>
        <w:spacing w:after="0" w:line="263" w:lineRule="auto"/>
        <w:rPr>
          <w:sz w:val="20"/>
          <w:szCs w:val="20"/>
          <w:color w:val="auto"/>
        </w:rPr>
      </w:pPr>
      <w:r>
        <w:rPr>
          <w:rFonts w:ascii="Arial" w:cs="Arial" w:eastAsia="Arial" w:hAnsi="Arial"/>
          <w:sz w:val="22"/>
          <w:szCs w:val="22"/>
          <w:color w:val="auto"/>
        </w:rPr>
        <w:t>Automotive sales consist primarily of revenue generated from the sale of vehicles. Vehicle sales are recorded when title and risks and rewards of ownership have passed to our customers.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25" w:right="239" w:bottom="1440" w:gutter="0" w:footer="0" w:header="0"/>
        </w:sectPr>
      </w:pPr>
    </w:p>
    <w:bookmarkStart w:id="134" w:name="page135"/>
    <w:bookmarkEnd w:id="134"/>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4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Sales and Sales-Related Taxes</w:t>
      </w:r>
    </w:p>
    <w:p>
      <w:pPr>
        <w:spacing w:after="0" w:line="260" w:lineRule="exact"/>
        <w:rPr>
          <w:sz w:val="20"/>
          <w:szCs w:val="20"/>
          <w:color w:val="auto"/>
        </w:rPr>
      </w:pPr>
    </w:p>
    <w:p>
      <w:pPr>
        <w:jc w:val="both"/>
        <w:ind w:left="1160"/>
        <w:spacing w:after="0" w:line="265" w:lineRule="auto"/>
        <w:rPr>
          <w:sz w:val="20"/>
          <w:szCs w:val="20"/>
          <w:color w:val="auto"/>
        </w:rPr>
      </w:pPr>
      <w:r>
        <w:rPr>
          <w:rFonts w:ascii="Arial" w:cs="Arial" w:eastAsia="Arial" w:hAnsi="Arial"/>
          <w:sz w:val="21"/>
          <w:szCs w:val="21"/>
          <w:color w:val="auto"/>
        </w:rPr>
        <w:t>The Company collects and remits taxes assessed by different governmental authorities that are both imposed on and concurrent with a revenue-producing transaction between the Company and its customers. These taxes mainly include the consumption taxes of RMB 8,799,445,126, RMB 8,986,941,822 and RMB 9,450,509,601 for the years ended December 31, 2016, 2015 and 2014, respectively.</w:t>
      </w:r>
    </w:p>
    <w:p>
      <w:pPr>
        <w:spacing w:after="0" w:line="216" w:lineRule="exact"/>
        <w:rPr>
          <w:sz w:val="20"/>
          <w:szCs w:val="20"/>
          <w:color w:val="auto"/>
        </w:rPr>
      </w:pPr>
    </w:p>
    <w:p>
      <w:pPr>
        <w:ind w:left="1200" w:hanging="571"/>
        <w:spacing w:after="0"/>
        <w:tabs>
          <w:tab w:leader="none" w:pos="1200" w:val="left"/>
        </w:tabs>
        <w:numPr>
          <w:ilvl w:val="0"/>
          <w:numId w:val="4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Research and development costs</w:t>
      </w:r>
    </w:p>
    <w:p>
      <w:pPr>
        <w:spacing w:after="0" w:line="260" w:lineRule="exact"/>
        <w:rPr>
          <w:sz w:val="20"/>
          <w:szCs w:val="20"/>
          <w:color w:val="auto"/>
        </w:rPr>
      </w:pPr>
    </w:p>
    <w:p>
      <w:pPr>
        <w:jc w:val="both"/>
        <w:ind w:left="1160"/>
        <w:spacing w:after="0" w:line="250" w:lineRule="auto"/>
        <w:rPr>
          <w:sz w:val="20"/>
          <w:szCs w:val="20"/>
          <w:color w:val="auto"/>
        </w:rPr>
      </w:pPr>
      <w:r>
        <w:rPr>
          <w:rFonts w:ascii="Arial" w:cs="Arial" w:eastAsia="Arial" w:hAnsi="Arial"/>
          <w:sz w:val="22"/>
          <w:szCs w:val="22"/>
          <w:color w:val="auto"/>
        </w:rPr>
        <w:t>Research and development costs are expensed when incurred. Expenditures for research activities relating to product development and improvement are charged to expense as incurred. Such expenditures amounted to RMB 5,152,768,659, RMB 3,771,754,277 and RMB 3,442,856,072 for the years ended December 31, 2016, 2015 and 2014, respectively.</w:t>
      </w:r>
    </w:p>
    <w:p>
      <w:pPr>
        <w:spacing w:after="0" w:line="229" w:lineRule="exact"/>
        <w:rPr>
          <w:sz w:val="20"/>
          <w:szCs w:val="20"/>
          <w:color w:val="auto"/>
        </w:rPr>
      </w:pPr>
    </w:p>
    <w:p>
      <w:pPr>
        <w:ind w:left="1200" w:hanging="571"/>
        <w:spacing w:after="0"/>
        <w:tabs>
          <w:tab w:leader="none" w:pos="1200" w:val="left"/>
        </w:tabs>
        <w:numPr>
          <w:ilvl w:val="0"/>
          <w:numId w:val="4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Government grants</w:t>
      </w:r>
    </w:p>
    <w:p>
      <w:pPr>
        <w:spacing w:after="0" w:line="260" w:lineRule="exact"/>
        <w:rPr>
          <w:sz w:val="20"/>
          <w:szCs w:val="20"/>
          <w:color w:val="auto"/>
        </w:rPr>
      </w:pPr>
    </w:p>
    <w:p>
      <w:pPr>
        <w:jc w:val="both"/>
        <w:ind w:left="1160"/>
        <w:spacing w:after="0" w:line="247" w:lineRule="auto"/>
        <w:rPr>
          <w:sz w:val="20"/>
          <w:szCs w:val="20"/>
          <w:color w:val="auto"/>
        </w:rPr>
      </w:pPr>
      <w:r>
        <w:rPr>
          <w:rFonts w:ascii="Arial" w:cs="Arial" w:eastAsia="Arial" w:hAnsi="Arial"/>
          <w:sz w:val="22"/>
          <w:szCs w:val="22"/>
          <w:color w:val="auto"/>
        </w:rPr>
        <w:t>The Company receives grants from the government mainly to support infrastructure construction and capital expenditures. Such grants are deferred and are generally refundable to the extent the Company does not utilize the funds for qualifying expenditures. Once earned, the Company records the grants as a contra amount to the assets and amortizes such amount over the useful lives of the related assets as a reduction to depreciation expense. For grants received not relating to infrastructure construction and capital expenditures, they are recorded as a reduction of expenses according to the nature.</w:t>
      </w:r>
    </w:p>
    <w:p>
      <w:pPr>
        <w:spacing w:after="0" w:line="234" w:lineRule="exact"/>
        <w:rPr>
          <w:sz w:val="20"/>
          <w:szCs w:val="20"/>
          <w:color w:val="auto"/>
        </w:rPr>
      </w:pPr>
    </w:p>
    <w:p>
      <w:pPr>
        <w:ind w:left="1200" w:hanging="571"/>
        <w:spacing w:after="0"/>
        <w:tabs>
          <w:tab w:leader="none" w:pos="1200" w:val="left"/>
        </w:tabs>
        <w:numPr>
          <w:ilvl w:val="0"/>
          <w:numId w:val="4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Income taxes</w:t>
      </w:r>
    </w:p>
    <w:p>
      <w:pPr>
        <w:spacing w:after="0" w:line="260" w:lineRule="exact"/>
        <w:rPr>
          <w:sz w:val="20"/>
          <w:szCs w:val="20"/>
          <w:color w:val="auto"/>
        </w:rPr>
      </w:pPr>
    </w:p>
    <w:p>
      <w:pPr>
        <w:ind w:left="1220" w:right="40"/>
        <w:spacing w:after="0" w:line="294" w:lineRule="auto"/>
        <w:rPr>
          <w:sz w:val="20"/>
          <w:szCs w:val="20"/>
          <w:color w:val="auto"/>
        </w:rPr>
      </w:pPr>
      <w:r>
        <w:rPr>
          <w:rFonts w:ascii="Arial" w:cs="Arial" w:eastAsia="Arial" w:hAnsi="Arial"/>
          <w:sz w:val="19"/>
          <w:szCs w:val="19"/>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A valuation allowance is recorded to reduce the carrying amounts of deferred tax assets unless it is more likely than not that such asset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126" w:right="239" w:bottom="1440" w:gutter="0" w:footer="0" w:header="0"/>
        </w:sectPr>
      </w:pPr>
    </w:p>
    <w:bookmarkStart w:id="135" w:name="page136"/>
    <w:bookmarkEnd w:id="135"/>
    <w:p>
      <w:pPr>
        <w:jc w:val="center"/>
        <w:ind w:right="8"/>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sz w:val="20"/>
          <w:szCs w:val="20"/>
          <w:color w:val="auto"/>
        </w:rPr>
      </w:pPr>
    </w:p>
    <w:p>
      <w:pPr>
        <w:ind w:left="1192" w:hanging="571"/>
        <w:spacing w:after="0"/>
        <w:tabs>
          <w:tab w:leader="none" w:pos="1192" w:val="left"/>
        </w:tabs>
        <w:numPr>
          <w:ilvl w:val="0"/>
          <w:numId w:val="5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Restricted reserves</w:t>
      </w:r>
    </w:p>
    <w:p>
      <w:pPr>
        <w:spacing w:after="0" w:line="260" w:lineRule="exact"/>
        <w:rPr>
          <w:sz w:val="20"/>
          <w:szCs w:val="20"/>
          <w:color w:val="auto"/>
        </w:rPr>
      </w:pPr>
    </w:p>
    <w:p>
      <w:pPr>
        <w:jc w:val="both"/>
        <w:ind w:left="1152"/>
        <w:spacing w:after="0" w:line="287" w:lineRule="auto"/>
        <w:rPr>
          <w:sz w:val="20"/>
          <w:szCs w:val="20"/>
          <w:color w:val="auto"/>
        </w:rPr>
      </w:pPr>
      <w:r>
        <w:rPr>
          <w:rFonts w:ascii="Arial" w:cs="Arial" w:eastAsia="Arial" w:hAnsi="Arial"/>
          <w:sz w:val="19"/>
          <w:szCs w:val="19"/>
          <w:color w:val="auto"/>
        </w:rPr>
        <w:t>Pursuant to laws applicable to entities incorporated in the PRC, the Company and its subsidiaries must make appropriations from after-tax profit to a surplus reserve fund, enterprise expansion fund and staff welfare fund. The amount allocated to each of these funds is at the discretion of the Company's board of directors. For the year ended December 31, 2016 and 2015, appropriation of 0.5%, 0.5% and 1% of after-tax profit has been made to surplus reserve fund, enterprise expansion fund and staff welfare fund, respectively (2014: 1% for each fund). The surplus reserve fund can only be used to increase the registered capital and eliminate future losses of the respective companies under PRC regulations. The enterprise expansion fund was RMB 1,578,174,536 and RMB 1,479,953,772 as of December 31, 2016 and 2015 respectively, and the surplus reserve fund was RMB 1,587,500,609 and RMB 1,489,279,845 as of December 31, 2016 and 2015 respectively. During the years ended December 31, 2016, 2015 and 2014, the Company contributed RMB 222,528,467, RMB 234,557,894 and RMB 206,506,851 to the staff welfare fund, all of which was recorded in general and administrative expenses. In addition, due to the restrictions on the distribution of statutory capital from the Company, statutory capital of RMB 8,802,006,138 at December 31, 2016 and 2015 is considered restricted.</w:t>
      </w:r>
    </w:p>
    <w:p>
      <w:pPr>
        <w:spacing w:after="0" w:line="200" w:lineRule="exact"/>
        <w:rPr>
          <w:sz w:val="20"/>
          <w:szCs w:val="20"/>
          <w:color w:val="auto"/>
        </w:rPr>
      </w:pPr>
    </w:p>
    <w:p>
      <w:pPr>
        <w:spacing w:after="0" w:line="257" w:lineRule="exact"/>
        <w:rPr>
          <w:sz w:val="20"/>
          <w:szCs w:val="20"/>
          <w:color w:val="auto"/>
        </w:rPr>
      </w:pPr>
    </w:p>
    <w:p>
      <w:pPr>
        <w:ind w:left="1192" w:hanging="571"/>
        <w:spacing w:after="0"/>
        <w:tabs>
          <w:tab w:leader="none" w:pos="1192" w:val="left"/>
        </w:tabs>
        <w:numPr>
          <w:ilvl w:val="0"/>
          <w:numId w:val="5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Concentration of credit risk</w:t>
      </w:r>
    </w:p>
    <w:p>
      <w:pPr>
        <w:spacing w:after="0" w:line="260" w:lineRule="exact"/>
        <w:rPr>
          <w:sz w:val="20"/>
          <w:szCs w:val="20"/>
          <w:color w:val="auto"/>
        </w:rPr>
      </w:pPr>
    </w:p>
    <w:p>
      <w:pPr>
        <w:ind w:left="1152" w:right="20"/>
        <w:spacing w:after="0" w:line="263" w:lineRule="auto"/>
        <w:rPr>
          <w:sz w:val="20"/>
          <w:szCs w:val="20"/>
          <w:color w:val="auto"/>
        </w:rPr>
      </w:pPr>
      <w:r>
        <w:rPr>
          <w:rFonts w:ascii="Arial" w:cs="Arial" w:eastAsia="Arial" w:hAnsi="Arial"/>
          <w:sz w:val="22"/>
          <w:szCs w:val="22"/>
          <w:color w:val="auto"/>
        </w:rPr>
        <w:t>Financial instruments that potentially expose the Company to concentrations of credit risk consist primarily of cash and cash equivalents and accounts receivable.</w:t>
      </w:r>
    </w:p>
    <w:p>
      <w:pPr>
        <w:spacing w:after="0" w:line="175" w:lineRule="exact"/>
        <w:rPr>
          <w:sz w:val="20"/>
          <w:szCs w:val="20"/>
          <w:color w:val="auto"/>
        </w:rPr>
      </w:pPr>
    </w:p>
    <w:p>
      <w:pPr>
        <w:ind w:left="1152"/>
        <w:spacing w:after="0"/>
        <w:rPr>
          <w:sz w:val="20"/>
          <w:szCs w:val="20"/>
          <w:color w:val="auto"/>
        </w:rPr>
      </w:pPr>
      <w:r>
        <w:rPr>
          <w:rFonts w:ascii="Arial" w:cs="Arial" w:eastAsia="Arial" w:hAnsi="Arial"/>
          <w:sz w:val="21"/>
          <w:szCs w:val="21"/>
          <w:color w:val="auto"/>
        </w:rPr>
        <w:t>The Company places cash and cash equivalents with financial institutions with high credit ratings and quality.</w:t>
      </w:r>
    </w:p>
    <w:p>
      <w:pPr>
        <w:spacing w:after="0" w:line="231" w:lineRule="exact"/>
        <w:rPr>
          <w:sz w:val="20"/>
          <w:szCs w:val="20"/>
          <w:color w:val="auto"/>
        </w:rPr>
      </w:pPr>
    </w:p>
    <w:p>
      <w:pPr>
        <w:ind w:left="1152"/>
        <w:spacing w:after="0" w:line="287" w:lineRule="auto"/>
        <w:rPr>
          <w:sz w:val="20"/>
          <w:szCs w:val="20"/>
          <w:color w:val="auto"/>
        </w:rPr>
      </w:pPr>
      <w:r>
        <w:rPr>
          <w:rFonts w:ascii="Arial" w:cs="Arial" w:eastAsia="Arial" w:hAnsi="Arial"/>
          <w:sz w:val="21"/>
          <w:szCs w:val="21"/>
          <w:color w:val="auto"/>
        </w:rPr>
        <w:t>The Company conducts credit evaluations of customers and generally does not require collateral or other security from the customers. The Company has no significant credit risk associated with accounts receivable.</w:t>
      </w:r>
    </w:p>
    <w:p>
      <w:pPr>
        <w:spacing w:after="0" w:line="192" w:lineRule="exact"/>
        <w:rPr>
          <w:sz w:val="20"/>
          <w:szCs w:val="20"/>
          <w:color w:val="auto"/>
        </w:rPr>
      </w:pPr>
    </w:p>
    <w:p>
      <w:pPr>
        <w:ind w:left="1192" w:hanging="571"/>
        <w:spacing w:after="0"/>
        <w:tabs>
          <w:tab w:leader="none" w:pos="1192" w:val="left"/>
        </w:tabs>
        <w:numPr>
          <w:ilvl w:val="0"/>
          <w:numId w:val="5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Recently issued accounting standards</w:t>
      </w:r>
    </w:p>
    <w:p>
      <w:pPr>
        <w:spacing w:after="0" w:line="260" w:lineRule="exact"/>
        <w:rPr>
          <w:sz w:val="20"/>
          <w:szCs w:val="20"/>
          <w:color w:val="auto"/>
        </w:rPr>
      </w:pPr>
    </w:p>
    <w:p>
      <w:pPr>
        <w:jc w:val="both"/>
        <w:ind w:left="1152"/>
        <w:spacing w:after="0" w:line="248" w:lineRule="auto"/>
        <w:rPr>
          <w:sz w:val="20"/>
          <w:szCs w:val="20"/>
          <w:color w:val="auto"/>
        </w:rPr>
      </w:pPr>
      <w:r>
        <w:rPr>
          <w:rFonts w:ascii="Arial" w:cs="Arial" w:eastAsia="Arial" w:hAnsi="Arial"/>
          <w:sz w:val="22"/>
          <w:szCs w:val="22"/>
          <w:color w:val="auto"/>
        </w:rPr>
        <w:t>In 2016 we adopted ASU 2015-17, "Balance Sheet Classification of Deferred Taxes", which is effective for annual reporting periods beginning on or after December 15, 2016, with early adoption permitted. ASU 2015-17 requires all deferred tax assets and liabilities to be classified as non-current. Deferred tax assets amounted to RMB 1,004,934,862 as of December 31, 2015 were reclassified from current assets to non-current assets to conform to our current year presentation.</w:t>
      </w:r>
    </w:p>
    <w:p>
      <w:pPr>
        <w:spacing w:after="0" w:line="192" w:lineRule="exact"/>
        <w:rPr>
          <w:sz w:val="20"/>
          <w:szCs w:val="20"/>
          <w:color w:val="auto"/>
        </w:rPr>
      </w:pPr>
    </w:p>
    <w:p>
      <w:pPr>
        <w:jc w:val="both"/>
        <w:ind w:left="1152"/>
        <w:spacing w:after="0" w:line="250" w:lineRule="auto"/>
        <w:rPr>
          <w:sz w:val="20"/>
          <w:szCs w:val="20"/>
          <w:color w:val="auto"/>
        </w:rPr>
      </w:pPr>
      <w:r>
        <w:rPr>
          <w:rFonts w:ascii="Arial" w:cs="Arial" w:eastAsia="Arial" w:hAnsi="Arial"/>
          <w:sz w:val="22"/>
          <w:szCs w:val="22"/>
          <w:color w:val="auto"/>
        </w:rPr>
        <w:t>In 2015 we adopted ASU 2015-02, "Amendments to the Consolidation Analysis", which is effective for annual reporting periods beginning on or after December 15, 2015, with early adoption permitted. ASU 2015-02 requires us to reassess whether certain entities should be consolidated. The adoption of ASU 2015-02 did not have a material impact on our consolidated financial statements.</w:t>
      </w:r>
    </w:p>
    <w:p>
      <w:pPr>
        <w:spacing w:after="0" w:line="200" w:lineRule="exact"/>
        <w:rPr>
          <w:sz w:val="20"/>
          <w:szCs w:val="20"/>
          <w:color w:val="auto"/>
        </w:rPr>
      </w:pPr>
    </w:p>
    <w:p>
      <w:pPr>
        <w:spacing w:after="0" w:line="266" w:lineRule="exact"/>
        <w:rPr>
          <w:sz w:val="20"/>
          <w:szCs w:val="20"/>
          <w:color w:val="auto"/>
        </w:rPr>
      </w:pPr>
    </w:p>
    <w:p>
      <w:pPr>
        <w:ind w:left="11032"/>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412"/>
          </w:cols>
          <w:pgMar w:left="248" w:top="126" w:right="239" w:bottom="1440" w:gutter="0" w:footer="0" w:header="0"/>
        </w:sectPr>
      </w:pPr>
    </w:p>
    <w:bookmarkStart w:id="136" w:name="page137"/>
    <w:bookmarkEnd w:id="136"/>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SUMMARY OF SIGNIFICANT ACCOUNTING POLICIES AND PRACTICES - continued</w:t>
      </w:r>
    </w:p>
    <w:p>
      <w:pPr>
        <w:spacing w:after="0" w:line="260" w:lineRule="exact"/>
        <w:rPr>
          <w:rFonts w:ascii="Arial" w:cs="Arial" w:eastAsia="Arial" w:hAnsi="Arial"/>
          <w:sz w:val="22"/>
          <w:szCs w:val="22"/>
          <w:color w:val="auto"/>
        </w:rPr>
      </w:pPr>
    </w:p>
    <w:p>
      <w:pPr>
        <w:ind w:left="1200" w:hanging="571"/>
        <w:spacing w:after="0"/>
        <w:tabs>
          <w:tab w:leader="none" w:pos="1200" w:val="left"/>
        </w:tabs>
        <w:numPr>
          <w:ilvl w:val="1"/>
          <w:numId w:val="5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Accounting Standards Not Yet Adopted</w:t>
      </w:r>
    </w:p>
    <w:p>
      <w:pPr>
        <w:spacing w:after="0" w:line="260" w:lineRule="exact"/>
        <w:rPr>
          <w:sz w:val="20"/>
          <w:szCs w:val="20"/>
          <w:color w:val="auto"/>
        </w:rPr>
      </w:pPr>
    </w:p>
    <w:p>
      <w:pPr>
        <w:jc w:val="both"/>
        <w:ind w:left="1160"/>
        <w:spacing w:after="0" w:line="288" w:lineRule="auto"/>
        <w:rPr>
          <w:sz w:val="20"/>
          <w:szCs w:val="20"/>
          <w:color w:val="auto"/>
        </w:rPr>
      </w:pPr>
      <w:r>
        <w:rPr>
          <w:rFonts w:ascii="Arial" w:cs="Arial" w:eastAsia="Arial" w:hAnsi="Arial"/>
          <w:sz w:val="19"/>
          <w:szCs w:val="19"/>
          <w:color w:val="auto"/>
        </w:rPr>
        <w:t>In May 2014 the Financial Accounting Standards Board (FASB) issued ASU 2014-09, "Revenue from Contracts with Customers" (ASU 2014-09), which requires us to recognize revenue when a customer obtains control rather than when we have transferred substantially all risks and rewards of a good or service and requires expanded disclosures. ASU 2014-09, as amended, is effective for us beginning January 1, 2018. ASU 2014-09 will affect the amount and timing of certain revenue related transactions primarily resulting from the earlier recognition of certain sales incentives. Upon adoption of ASU 2014-09 sales incentives will be recorded at the time of sale rather than at the later of sale or announcement. We continue to assess the overall impact the adoption of ASU 2014-09 will have on our consolidated financial statements. We do not expect the adoption of ASU 2014-09 to be material to our consolidated financial statements. We have not yet determined whether we will adopt the provisions of ASU 2014-09 on a retrospective basis or through a cumulative adjustments to equity.</w:t>
      </w:r>
    </w:p>
    <w:p>
      <w:pPr>
        <w:spacing w:after="0" w:line="160" w:lineRule="exact"/>
        <w:rPr>
          <w:sz w:val="20"/>
          <w:szCs w:val="20"/>
          <w:color w:val="auto"/>
        </w:rPr>
      </w:pPr>
    </w:p>
    <w:p>
      <w:pPr>
        <w:jc w:val="both"/>
        <w:ind w:left="1160"/>
        <w:spacing w:after="0" w:line="259" w:lineRule="auto"/>
        <w:rPr>
          <w:sz w:val="20"/>
          <w:szCs w:val="20"/>
          <w:color w:val="auto"/>
        </w:rPr>
      </w:pPr>
      <w:r>
        <w:rPr>
          <w:rFonts w:ascii="Arial" w:cs="Arial" w:eastAsia="Arial" w:hAnsi="Arial"/>
          <w:sz w:val="21"/>
          <w:szCs w:val="21"/>
          <w:color w:val="auto"/>
        </w:rPr>
        <w:t>In February 2016 the FASB issued ASU 2016-02, "Leases", which requires the lessee to recognize most leases on the balance sheet thereby resulting in the recognition of lease assets and liabilities for those leases currently classified as operating leases. ASU 2016-02 is effective beginning after January 1, 2019 with early adoption permitted. While we are currently assessing the impact the adoption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00" w:type="dxa"/>
            <w:vAlign w:val="bottom"/>
          </w:tcPr>
          <w:p>
            <w:pPr>
              <w:spacing w:after="0"/>
              <w:rPr>
                <w:sz w:val="20"/>
                <w:szCs w:val="20"/>
                <w:color w:val="auto"/>
              </w:rPr>
            </w:pPr>
            <w:r>
              <w:rPr>
                <w:rFonts w:ascii="Arial" w:cs="Arial" w:eastAsia="Arial" w:hAnsi="Arial"/>
                <w:sz w:val="22"/>
                <w:szCs w:val="22"/>
                <w:color w:val="auto"/>
              </w:rPr>
              <w:t>2.  INVENTORIES</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513"/>
        </w:trPr>
        <w:tc>
          <w:tcPr>
            <w:tcW w:w="7200" w:type="dxa"/>
            <w:vAlign w:val="bottom"/>
          </w:tcPr>
          <w:p>
            <w:pPr>
              <w:ind w:left="620"/>
              <w:spacing w:after="0"/>
              <w:rPr>
                <w:sz w:val="20"/>
                <w:szCs w:val="20"/>
                <w:color w:val="auto"/>
              </w:rPr>
            </w:pPr>
            <w:r>
              <w:rPr>
                <w:rFonts w:ascii="Arial" w:cs="Arial" w:eastAsia="Arial" w:hAnsi="Arial"/>
                <w:sz w:val="22"/>
                <w:szCs w:val="22"/>
                <w:color w:val="auto"/>
                <w:w w:val="95"/>
              </w:rPr>
              <w:t>The following table summarizes the components of inventory (in RMB).</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6"/>
        </w:trPr>
        <w:tc>
          <w:tcPr>
            <w:tcW w:w="7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22"/>
                <w:szCs w:val="22"/>
                <w:color w:val="auto"/>
                <w:w w:val="93"/>
              </w:rPr>
              <w:t>Balance at December 31</w:t>
            </w:r>
          </w:p>
        </w:tc>
      </w:tr>
      <w:tr>
        <w:trPr>
          <w:trHeight w:val="230"/>
        </w:trPr>
        <w:tc>
          <w:tcPr>
            <w:tcW w:w="7200" w:type="dxa"/>
            <w:vAlign w:val="bottom"/>
          </w:tcPr>
          <w:p>
            <w:pPr>
              <w:spacing w:after="0"/>
              <w:rPr>
                <w:sz w:val="19"/>
                <w:szCs w:val="19"/>
                <w:color w:val="auto"/>
              </w:rPr>
            </w:pPr>
          </w:p>
        </w:tc>
        <w:tc>
          <w:tcPr>
            <w:tcW w:w="11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2016</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right"/>
              <w:ind w:right="680"/>
              <w:spacing w:after="0" w:line="229" w:lineRule="exact"/>
              <w:rPr>
                <w:sz w:val="20"/>
                <w:szCs w:val="20"/>
                <w:color w:val="auto"/>
              </w:rPr>
            </w:pPr>
            <w:r>
              <w:rPr>
                <w:rFonts w:ascii="Arial" w:cs="Arial" w:eastAsia="Arial" w:hAnsi="Arial"/>
                <w:sz w:val="22"/>
                <w:szCs w:val="22"/>
                <w:color w:val="auto"/>
              </w:rPr>
              <w:t>2015</w:t>
            </w:r>
          </w:p>
        </w:tc>
      </w:tr>
      <w:tr>
        <w:trPr>
          <w:trHeight w:val="20"/>
        </w:trPr>
        <w:tc>
          <w:tcPr>
            <w:tcW w:w="7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52"/>
        </w:trPr>
        <w:tc>
          <w:tcPr>
            <w:tcW w:w="7200" w:type="dxa"/>
            <w:vAlign w:val="bottom"/>
          </w:tcPr>
          <w:p>
            <w:pPr>
              <w:ind w:left="440"/>
              <w:spacing w:after="0"/>
              <w:rPr>
                <w:sz w:val="20"/>
                <w:szCs w:val="20"/>
                <w:color w:val="auto"/>
              </w:rPr>
            </w:pPr>
            <w:r>
              <w:rPr>
                <w:rFonts w:ascii="Arial" w:cs="Arial" w:eastAsia="Arial" w:hAnsi="Arial"/>
                <w:sz w:val="22"/>
                <w:szCs w:val="22"/>
                <w:color w:val="auto"/>
              </w:rPr>
              <w:t>Productive material and supplies</w:t>
            </w: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5,973,532,657</w:t>
            </w:r>
          </w:p>
        </w:tc>
        <w:tc>
          <w:tcPr>
            <w:tcW w:w="22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22"/>
                <w:szCs w:val="22"/>
                <w:color w:val="auto"/>
              </w:rPr>
              <w:t>5,102,815,152</w:t>
            </w:r>
          </w:p>
        </w:tc>
      </w:tr>
      <w:tr>
        <w:trPr>
          <w:trHeight w:val="297"/>
        </w:trPr>
        <w:tc>
          <w:tcPr>
            <w:tcW w:w="7200" w:type="dxa"/>
            <w:vAlign w:val="bottom"/>
          </w:tcPr>
          <w:p>
            <w:pPr>
              <w:ind w:left="440"/>
              <w:spacing w:after="0"/>
              <w:rPr>
                <w:sz w:val="20"/>
                <w:szCs w:val="20"/>
                <w:color w:val="auto"/>
              </w:rPr>
            </w:pPr>
            <w:r>
              <w:rPr>
                <w:rFonts w:ascii="Arial" w:cs="Arial" w:eastAsia="Arial" w:hAnsi="Arial"/>
                <w:sz w:val="22"/>
                <w:szCs w:val="22"/>
                <w:color w:val="auto"/>
              </w:rPr>
              <w:t>Work in process and semi-products</w:t>
            </w:r>
          </w:p>
        </w:tc>
        <w:tc>
          <w:tcPr>
            <w:tcW w:w="1820" w:type="dxa"/>
            <w:vAlign w:val="bottom"/>
            <w:gridSpan w:val="3"/>
          </w:tcPr>
          <w:p>
            <w:pPr>
              <w:jc w:val="right"/>
              <w:ind w:right="120"/>
              <w:spacing w:after="0"/>
              <w:rPr>
                <w:sz w:val="20"/>
                <w:szCs w:val="20"/>
                <w:color w:val="auto"/>
              </w:rPr>
            </w:pPr>
            <w:r>
              <w:rPr>
                <w:rFonts w:ascii="Arial" w:cs="Arial" w:eastAsia="Arial" w:hAnsi="Arial"/>
                <w:sz w:val="22"/>
                <w:szCs w:val="22"/>
                <w:color w:val="auto"/>
              </w:rPr>
              <w:t>387,939,161</w:t>
            </w:r>
          </w:p>
        </w:tc>
        <w:tc>
          <w:tcPr>
            <w:tcW w:w="22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22"/>
                <w:szCs w:val="22"/>
                <w:color w:val="auto"/>
              </w:rPr>
              <w:t>543,062,743</w:t>
            </w:r>
          </w:p>
        </w:tc>
      </w:tr>
      <w:tr>
        <w:trPr>
          <w:trHeight w:val="308"/>
        </w:trPr>
        <w:tc>
          <w:tcPr>
            <w:tcW w:w="7200" w:type="dxa"/>
            <w:vAlign w:val="bottom"/>
          </w:tcPr>
          <w:p>
            <w:pPr>
              <w:ind w:left="440"/>
              <w:spacing w:after="0"/>
              <w:rPr>
                <w:sz w:val="20"/>
                <w:szCs w:val="20"/>
                <w:color w:val="auto"/>
              </w:rPr>
            </w:pPr>
            <w:r>
              <w:rPr>
                <w:rFonts w:ascii="Arial" w:cs="Arial" w:eastAsia="Arial" w:hAnsi="Arial"/>
                <w:sz w:val="22"/>
                <w:szCs w:val="22"/>
                <w:color w:val="auto"/>
              </w:rPr>
              <w:t>Finished product, including service parts</w:t>
            </w: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129,696,309</w:t>
            </w:r>
          </w:p>
        </w:tc>
        <w:tc>
          <w:tcPr>
            <w:tcW w:w="22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122,025,733</w:t>
            </w:r>
          </w:p>
        </w:tc>
      </w:tr>
      <w:tr>
        <w:trPr>
          <w:trHeight w:val="619"/>
        </w:trPr>
        <w:tc>
          <w:tcPr>
            <w:tcW w:w="7200" w:type="dxa"/>
            <w:vAlign w:val="bottom"/>
          </w:tcPr>
          <w:p>
            <w:pPr>
              <w:ind w:left="440"/>
              <w:spacing w:after="0"/>
              <w:rPr>
                <w:sz w:val="20"/>
                <w:szCs w:val="20"/>
                <w:color w:val="auto"/>
              </w:rPr>
            </w:pPr>
            <w:r>
              <w:rPr>
                <w:rFonts w:ascii="Arial" w:cs="Arial" w:eastAsia="Arial" w:hAnsi="Arial"/>
                <w:sz w:val="22"/>
                <w:szCs w:val="22"/>
                <w:color w:val="auto"/>
              </w:rPr>
              <w:t>Total inventories</w:t>
            </w: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6,491,168,127</w:t>
            </w:r>
          </w:p>
        </w:tc>
        <w:tc>
          <w:tcPr>
            <w:tcW w:w="22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5,767,903,628</w:t>
            </w:r>
          </w:p>
        </w:tc>
      </w:tr>
      <w:tr>
        <w:trPr>
          <w:trHeight w:val="20"/>
        </w:trPr>
        <w:tc>
          <w:tcPr>
            <w:tcW w:w="7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EQUITY IN NET ASSETS OF NONCONSOLIDATED AFFLIATES</w:t>
      </w:r>
    </w:p>
    <w:p>
      <w:pPr>
        <w:spacing w:after="0" w:line="220" w:lineRule="exact"/>
        <w:rPr>
          <w:sz w:val="20"/>
          <w:szCs w:val="20"/>
          <w:color w:val="auto"/>
        </w:rPr>
      </w:pPr>
    </w:p>
    <w:p>
      <w:pPr>
        <w:jc w:val="both"/>
        <w:ind w:left="620"/>
        <w:spacing w:after="0" w:line="253" w:lineRule="auto"/>
        <w:rPr>
          <w:sz w:val="20"/>
          <w:szCs w:val="20"/>
          <w:color w:val="auto"/>
        </w:rPr>
      </w:pPr>
      <w:r>
        <w:rPr>
          <w:rFonts w:ascii="Arial" w:cs="Arial" w:eastAsia="Arial" w:hAnsi="Arial"/>
          <w:sz w:val="22"/>
          <w:szCs w:val="22"/>
          <w:color w:val="auto"/>
        </w:rPr>
        <w:t>The Company has direct ownership interests in SAIC-GMAC, Shanghai OnStar Telematics Company Limited ("Shanghai OnStar") and Shanghai Chengxin Used Car Operation and Management Company Limited ("Chengxin") of 20%, 20% and 33%, respectively, as of December 31, 2016 and 2015.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6" w:right="239" w:bottom="1440" w:gutter="0" w:footer="0" w:header="0"/>
        </w:sectPr>
      </w:pPr>
    </w:p>
    <w:bookmarkStart w:id="137" w:name="page138"/>
    <w:bookmarkEnd w:id="137"/>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PROPERTY, NET</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Property, plant and equipment</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The following table summarizes the components of property, plant and equipment (in RMB).</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285"/>
        </w:trPr>
        <w:tc>
          <w:tcPr>
            <w:tcW w:w="6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22"/>
                <w:szCs w:val="22"/>
                <w:color w:val="auto"/>
                <w:w w:val="98"/>
              </w:rPr>
              <w:t>Balance at December 31</w:t>
            </w:r>
          </w:p>
        </w:tc>
      </w:tr>
      <w:tr>
        <w:trPr>
          <w:trHeight w:val="230"/>
        </w:trPr>
        <w:tc>
          <w:tcPr>
            <w:tcW w:w="6340" w:type="dxa"/>
            <w:vAlign w:val="bottom"/>
          </w:tcPr>
          <w:p>
            <w:pPr>
              <w:spacing w:after="0"/>
              <w:rPr>
                <w:sz w:val="19"/>
                <w:szCs w:val="19"/>
                <w:color w:val="auto"/>
              </w:rPr>
            </w:pPr>
          </w:p>
        </w:tc>
        <w:tc>
          <w:tcPr>
            <w:tcW w:w="122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800"/>
              <w:spacing w:after="0" w:line="229" w:lineRule="exact"/>
              <w:rPr>
                <w:sz w:val="20"/>
                <w:szCs w:val="20"/>
                <w:color w:val="auto"/>
              </w:rPr>
            </w:pPr>
            <w:r>
              <w:rPr>
                <w:rFonts w:ascii="Arial" w:cs="Arial" w:eastAsia="Arial" w:hAnsi="Arial"/>
                <w:sz w:val="22"/>
                <w:szCs w:val="22"/>
                <w:color w:val="auto"/>
              </w:rPr>
              <w:t>2015</w:t>
            </w:r>
          </w:p>
        </w:tc>
      </w:tr>
      <w:tr>
        <w:trPr>
          <w:trHeight w:val="20"/>
        </w:trPr>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52"/>
        </w:trPr>
        <w:tc>
          <w:tcPr>
            <w:tcW w:w="6340" w:type="dxa"/>
            <w:vAlign w:val="bottom"/>
          </w:tcPr>
          <w:p>
            <w:pPr>
              <w:spacing w:after="0"/>
              <w:rPr>
                <w:sz w:val="20"/>
                <w:szCs w:val="20"/>
                <w:color w:val="auto"/>
              </w:rPr>
            </w:pPr>
            <w:r>
              <w:rPr>
                <w:rFonts w:ascii="Arial" w:cs="Arial" w:eastAsia="Arial" w:hAnsi="Arial"/>
                <w:sz w:val="22"/>
                <w:szCs w:val="22"/>
                <w:color w:val="auto"/>
              </w:rPr>
              <w:t>Buildings</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9,650,673,664</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9,387,462,782</w:t>
            </w:r>
          </w:p>
        </w:tc>
      </w:tr>
      <w:tr>
        <w:trPr>
          <w:trHeight w:val="297"/>
        </w:trPr>
        <w:tc>
          <w:tcPr>
            <w:tcW w:w="6340" w:type="dxa"/>
            <w:vAlign w:val="bottom"/>
          </w:tcPr>
          <w:p>
            <w:pPr>
              <w:spacing w:after="0"/>
              <w:rPr>
                <w:sz w:val="20"/>
                <w:szCs w:val="20"/>
                <w:color w:val="auto"/>
              </w:rPr>
            </w:pPr>
            <w:r>
              <w:rPr>
                <w:rFonts w:ascii="Arial" w:cs="Arial" w:eastAsia="Arial" w:hAnsi="Arial"/>
                <w:sz w:val="22"/>
                <w:szCs w:val="22"/>
                <w:color w:val="auto"/>
              </w:rPr>
              <w:t>Machinery</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38,219,094,896</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31,164,652,691</w:t>
            </w:r>
          </w:p>
        </w:tc>
      </w:tr>
      <w:tr>
        <w:trPr>
          <w:trHeight w:val="297"/>
        </w:trPr>
        <w:tc>
          <w:tcPr>
            <w:tcW w:w="6340" w:type="dxa"/>
            <w:vAlign w:val="bottom"/>
          </w:tcPr>
          <w:p>
            <w:pPr>
              <w:spacing w:after="0"/>
              <w:rPr>
                <w:sz w:val="20"/>
                <w:szCs w:val="20"/>
                <w:color w:val="auto"/>
              </w:rPr>
            </w:pPr>
            <w:r>
              <w:rPr>
                <w:rFonts w:ascii="Arial" w:cs="Arial" w:eastAsia="Arial" w:hAnsi="Arial"/>
                <w:sz w:val="22"/>
                <w:szCs w:val="22"/>
                <w:color w:val="auto"/>
              </w:rPr>
              <w:t>Furniture, fixtures and equipment</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1,563,361,481</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1,393,592,627</w:t>
            </w:r>
          </w:p>
        </w:tc>
      </w:tr>
      <w:tr>
        <w:trPr>
          <w:trHeight w:val="308"/>
        </w:trPr>
        <w:tc>
          <w:tcPr>
            <w:tcW w:w="6340" w:type="dxa"/>
            <w:vAlign w:val="bottom"/>
          </w:tcPr>
          <w:p>
            <w:pPr>
              <w:spacing w:after="0"/>
              <w:rPr>
                <w:sz w:val="20"/>
                <w:szCs w:val="20"/>
                <w:color w:val="auto"/>
              </w:rPr>
            </w:pPr>
            <w:r>
              <w:rPr>
                <w:rFonts w:ascii="Arial" w:cs="Arial" w:eastAsia="Arial" w:hAnsi="Arial"/>
                <w:sz w:val="22"/>
                <w:szCs w:val="22"/>
                <w:color w:val="auto"/>
              </w:rPr>
              <w:t>Tooling</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23,986,204,266</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21,381,291,972</w:t>
            </w:r>
          </w:p>
        </w:tc>
      </w:tr>
      <w:tr>
        <w:trPr>
          <w:trHeight w:val="280"/>
        </w:trPr>
        <w:tc>
          <w:tcPr>
            <w:tcW w:w="6340" w:type="dxa"/>
            <w:vAlign w:val="bottom"/>
          </w:tcPr>
          <w:p>
            <w:pPr>
              <w:spacing w:after="0"/>
              <w:rPr>
                <w:sz w:val="20"/>
                <w:szCs w:val="20"/>
                <w:color w:val="auto"/>
              </w:rPr>
            </w:pPr>
            <w:r>
              <w:rPr>
                <w:rFonts w:ascii="Arial" w:cs="Arial" w:eastAsia="Arial" w:hAnsi="Arial"/>
                <w:sz w:val="22"/>
                <w:szCs w:val="22"/>
                <w:color w:val="auto"/>
              </w:rPr>
              <w:t>Total</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73,419,334,307</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63,327,000,072</w:t>
            </w:r>
          </w:p>
        </w:tc>
      </w:tr>
      <w:tr>
        <w:trPr>
          <w:trHeight w:val="483"/>
        </w:trPr>
        <w:tc>
          <w:tcPr>
            <w:tcW w:w="6340" w:type="dxa"/>
            <w:vAlign w:val="bottom"/>
          </w:tcPr>
          <w:p>
            <w:pPr>
              <w:spacing w:after="0"/>
              <w:rPr>
                <w:sz w:val="20"/>
                <w:szCs w:val="20"/>
                <w:color w:val="auto"/>
              </w:rPr>
            </w:pPr>
            <w:r>
              <w:rPr>
                <w:rFonts w:ascii="Arial" w:cs="Arial" w:eastAsia="Arial" w:hAnsi="Arial"/>
                <w:sz w:val="22"/>
                <w:szCs w:val="22"/>
                <w:color w:val="auto"/>
              </w:rPr>
              <w:t>Accumulated depreciation</w:t>
            </w: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(37,397,585,652)</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(32,495,296,047)</w:t>
            </w:r>
          </w:p>
        </w:tc>
      </w:tr>
      <w:tr>
        <w:trPr>
          <w:trHeight w:val="469"/>
        </w:trPr>
        <w:tc>
          <w:tcPr>
            <w:tcW w:w="6340" w:type="dxa"/>
            <w:vAlign w:val="bottom"/>
          </w:tcPr>
          <w:p>
            <w:pPr>
              <w:spacing w:after="0"/>
              <w:rPr>
                <w:sz w:val="20"/>
                <w:szCs w:val="20"/>
                <w:color w:val="auto"/>
              </w:rPr>
            </w:pPr>
            <w:r>
              <w:rPr>
                <w:rFonts w:ascii="Arial" w:cs="Arial" w:eastAsia="Arial" w:hAnsi="Arial"/>
                <w:sz w:val="22"/>
                <w:szCs w:val="22"/>
                <w:color w:val="auto"/>
              </w:rPr>
              <w:t>Subtotal</w:t>
            </w:r>
          </w:p>
        </w:tc>
        <w:tc>
          <w:tcPr>
            <w:tcW w:w="2020" w:type="dxa"/>
            <w:vAlign w:val="bottom"/>
            <w:gridSpan w:val="3"/>
          </w:tcPr>
          <w:p>
            <w:pPr>
              <w:jc w:val="right"/>
              <w:ind w:right="100"/>
              <w:spacing w:after="0"/>
              <w:rPr>
                <w:sz w:val="20"/>
                <w:szCs w:val="20"/>
                <w:color w:val="auto"/>
              </w:rPr>
            </w:pPr>
            <w:r>
              <w:rPr>
                <w:rFonts w:ascii="Arial" w:cs="Arial" w:eastAsia="Arial" w:hAnsi="Arial"/>
                <w:sz w:val="22"/>
                <w:szCs w:val="22"/>
                <w:color w:val="auto"/>
              </w:rPr>
              <w:t>36,021,748,655</w:t>
            </w:r>
          </w:p>
        </w:tc>
        <w:tc>
          <w:tcPr>
            <w:tcW w:w="200" w:type="dxa"/>
            <w:vAlign w:val="bottom"/>
          </w:tcPr>
          <w:p>
            <w:pPr>
              <w:spacing w:after="0"/>
              <w:rPr>
                <w:sz w:val="24"/>
                <w:szCs w:val="24"/>
                <w:color w:val="auto"/>
              </w:rPr>
            </w:pPr>
          </w:p>
        </w:tc>
        <w:tc>
          <w:tcPr>
            <w:tcW w:w="2020" w:type="dxa"/>
            <w:vAlign w:val="bottom"/>
            <w:gridSpan w:val="3"/>
          </w:tcPr>
          <w:p>
            <w:pPr>
              <w:jc w:val="right"/>
              <w:ind w:right="120"/>
              <w:spacing w:after="0"/>
              <w:rPr>
                <w:sz w:val="20"/>
                <w:szCs w:val="20"/>
                <w:color w:val="auto"/>
              </w:rPr>
            </w:pPr>
            <w:r>
              <w:rPr>
                <w:rFonts w:ascii="Arial" w:cs="Arial" w:eastAsia="Arial" w:hAnsi="Arial"/>
                <w:sz w:val="22"/>
                <w:szCs w:val="22"/>
                <w:color w:val="auto"/>
              </w:rPr>
              <w:t>30,831,704,025</w:t>
            </w:r>
          </w:p>
        </w:tc>
      </w:tr>
      <w:tr>
        <w:trPr>
          <w:trHeight w:val="308"/>
        </w:trPr>
        <w:tc>
          <w:tcPr>
            <w:tcW w:w="6340" w:type="dxa"/>
            <w:vAlign w:val="bottom"/>
          </w:tcPr>
          <w:p>
            <w:pPr>
              <w:spacing w:after="0"/>
              <w:rPr>
                <w:sz w:val="20"/>
                <w:szCs w:val="20"/>
                <w:color w:val="auto"/>
              </w:rPr>
            </w:pPr>
            <w:r>
              <w:rPr>
                <w:rFonts w:ascii="Arial" w:cs="Arial" w:eastAsia="Arial" w:hAnsi="Arial"/>
                <w:sz w:val="22"/>
                <w:szCs w:val="22"/>
                <w:color w:val="auto"/>
              </w:rPr>
              <w:t>Construction in progress</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8,672,379,971</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7,348,789,999</w:t>
            </w:r>
          </w:p>
        </w:tc>
      </w:tr>
      <w:tr>
        <w:trPr>
          <w:trHeight w:val="457"/>
        </w:trPr>
        <w:tc>
          <w:tcPr>
            <w:tcW w:w="6340" w:type="dxa"/>
            <w:vAlign w:val="bottom"/>
          </w:tcPr>
          <w:p>
            <w:pPr>
              <w:spacing w:after="0"/>
              <w:rPr>
                <w:sz w:val="20"/>
                <w:szCs w:val="20"/>
                <w:color w:val="auto"/>
              </w:rPr>
            </w:pPr>
            <w:r>
              <w:rPr>
                <w:rFonts w:ascii="Arial" w:cs="Arial" w:eastAsia="Arial" w:hAnsi="Arial"/>
                <w:sz w:val="22"/>
                <w:szCs w:val="22"/>
                <w:color w:val="auto"/>
              </w:rPr>
              <w:t>Total property, net</w:t>
            </w:r>
          </w:p>
        </w:tc>
        <w:tc>
          <w:tcPr>
            <w:tcW w:w="2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44,694,128,626</w:t>
            </w:r>
          </w:p>
        </w:tc>
        <w:tc>
          <w:tcPr>
            <w:tcW w:w="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38,180,494,024</w:t>
            </w:r>
          </w:p>
        </w:tc>
      </w:tr>
      <w:tr>
        <w:trPr>
          <w:trHeight w:val="20"/>
        </w:trPr>
        <w:tc>
          <w:tcPr>
            <w:tcW w:w="6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left="620"/>
        <w:spacing w:after="0" w:line="312" w:lineRule="auto"/>
        <w:rPr>
          <w:sz w:val="20"/>
          <w:szCs w:val="20"/>
          <w:color w:val="auto"/>
        </w:rPr>
      </w:pPr>
      <w:r>
        <w:rPr>
          <w:rFonts w:ascii="Arial" w:cs="Arial" w:eastAsia="Arial" w:hAnsi="Arial"/>
          <w:sz w:val="19"/>
          <w:szCs w:val="19"/>
          <w:color w:val="auto"/>
        </w:rPr>
        <w:t>For the years ended December 31, 2016, 2015 and 2014, depreciation expense was RMB 7,119,981,911, RMB 5,549,988,627 and RMB 3,889,243,783, of which about 96%, 98% and 95% were charged to cost of sales and 4%, 2% and 5% to selling, general and administrative expenses for the years ended December 31, 2016, 2015 and 2014, respectively.</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Capital lease</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Property, plant, and equipment include assets acquired under capital leases.</w:t>
      </w:r>
    </w:p>
    <w:p>
      <w:pPr>
        <w:spacing w:after="0" w:line="220" w:lineRule="exact"/>
        <w:rPr>
          <w:sz w:val="20"/>
          <w:szCs w:val="20"/>
          <w:color w:val="auto"/>
        </w:rPr>
      </w:pPr>
    </w:p>
    <w:p>
      <w:pPr>
        <w:ind w:left="620" w:right="180"/>
        <w:spacing w:after="0" w:line="287" w:lineRule="auto"/>
        <w:rPr>
          <w:sz w:val="20"/>
          <w:szCs w:val="20"/>
          <w:color w:val="auto"/>
        </w:rPr>
      </w:pPr>
      <w:r>
        <w:rPr>
          <w:rFonts w:ascii="Arial" w:cs="Arial" w:eastAsia="Arial" w:hAnsi="Arial"/>
          <w:sz w:val="21"/>
          <w:szCs w:val="21"/>
          <w:color w:val="auto"/>
        </w:rPr>
        <w:t>At the end of December 31, 2016, the leased property had a gross value of RMB 53,600,269 and accumulated depreciation of RMB 40,200,202. Future minimum lease payment under capital leases are as follows (In RMB):</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22"/>
          <w:szCs w:val="22"/>
          <w:u w:val="single" w:color="auto"/>
          <w:color w:val="auto"/>
        </w:rPr>
        <w:t>Year ended December 31:</w:t>
      </w:r>
    </w:p>
    <w:p>
      <w:pPr>
        <w:spacing w:after="0" w:line="368" w:lineRule="exact"/>
        <w:rPr>
          <w:sz w:val="20"/>
          <w:szCs w:val="20"/>
          <w:color w:val="auto"/>
        </w:rPr>
      </w:pPr>
    </w:p>
    <w:tbl>
      <w:tblPr>
        <w:tblLayout w:type="fixed"/>
        <w:tblInd w:w="1060" w:type="dxa"/>
        <w:tblCellMar>
          <w:top w:w="0" w:type="dxa"/>
          <w:left w:w="0" w:type="dxa"/>
          <w:bottom w:w="0" w:type="dxa"/>
          <w:right w:w="0" w:type="dxa"/>
        </w:tblCellMar>
      </w:tblPr>
      <w:tr>
        <w:trPr>
          <w:trHeight w:val="275"/>
        </w:trPr>
        <w:tc>
          <w:tcPr>
            <w:tcW w:w="8380" w:type="dxa"/>
            <w:vAlign w:val="bottom"/>
          </w:tcPr>
          <w:p>
            <w:pPr>
              <w:spacing w:after="0"/>
              <w:rPr>
                <w:sz w:val="20"/>
                <w:szCs w:val="20"/>
                <w:color w:val="auto"/>
              </w:rPr>
            </w:pPr>
            <w:r>
              <w:rPr>
                <w:rFonts w:ascii="Arial" w:cs="Arial" w:eastAsia="Arial" w:hAnsi="Arial"/>
                <w:sz w:val="22"/>
                <w:szCs w:val="22"/>
                <w:color w:val="auto"/>
              </w:rPr>
              <w:t>2017</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2018</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2019</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2020</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2"/>
                <w:szCs w:val="22"/>
                <w:color w:val="auto"/>
              </w:rPr>
              <w:t>2021</w:t>
            </w:r>
          </w:p>
        </w:tc>
        <w:tc>
          <w:tcPr>
            <w:tcW w:w="1600" w:type="dxa"/>
            <w:vAlign w:val="bottom"/>
          </w:tcPr>
          <w:p>
            <w:pPr>
              <w:jc w:val="right"/>
              <w:spacing w:after="0"/>
              <w:rPr>
                <w:sz w:val="20"/>
                <w:szCs w:val="20"/>
                <w:color w:val="auto"/>
              </w:rPr>
            </w:pPr>
            <w:r>
              <w:rPr>
                <w:rFonts w:ascii="Arial" w:cs="Arial" w:eastAsia="Arial" w:hAnsi="Arial"/>
                <w:sz w:val="22"/>
                <w:szCs w:val="22"/>
                <w:color w:val="auto"/>
              </w:rPr>
              <w:t>5,514,600</w:t>
            </w: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2022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1,378,640</w:t>
            </w:r>
          </w:p>
        </w:tc>
        <w:tc>
          <w:tcPr>
            <w:tcW w:w="0" w:type="dxa"/>
            <w:vAlign w:val="bottom"/>
          </w:tcPr>
          <w:p>
            <w:pPr>
              <w:spacing w:after="0"/>
              <w:rPr>
                <w:sz w:val="1"/>
                <w:szCs w:val="1"/>
                <w:color w:val="auto"/>
              </w:rPr>
            </w:pPr>
          </w:p>
        </w:tc>
      </w:tr>
      <w:tr>
        <w:trPr>
          <w:trHeight w:val="280"/>
        </w:trPr>
        <w:tc>
          <w:tcPr>
            <w:tcW w:w="8380" w:type="dxa"/>
            <w:vAlign w:val="bottom"/>
          </w:tcPr>
          <w:p>
            <w:pPr>
              <w:spacing w:after="0"/>
              <w:rPr>
                <w:sz w:val="20"/>
                <w:szCs w:val="20"/>
                <w:color w:val="auto"/>
              </w:rPr>
            </w:pPr>
            <w:r>
              <w:rPr>
                <w:rFonts w:ascii="Arial" w:cs="Arial" w:eastAsia="Arial" w:hAnsi="Arial"/>
                <w:sz w:val="22"/>
                <w:szCs w:val="22"/>
                <w:color w:val="auto"/>
              </w:rPr>
              <w:t>Total minimum lease payments</w:t>
            </w:r>
          </w:p>
        </w:tc>
        <w:tc>
          <w:tcPr>
            <w:tcW w:w="1600" w:type="dxa"/>
            <w:vAlign w:val="bottom"/>
          </w:tcPr>
          <w:p>
            <w:pPr>
              <w:jc w:val="right"/>
              <w:spacing w:after="0"/>
              <w:rPr>
                <w:sz w:val="20"/>
                <w:szCs w:val="20"/>
                <w:color w:val="auto"/>
              </w:rPr>
            </w:pPr>
            <w:r>
              <w:rPr>
                <w:rFonts w:ascii="Arial" w:cs="Arial" w:eastAsia="Arial" w:hAnsi="Arial"/>
                <w:sz w:val="22"/>
                <w:szCs w:val="22"/>
                <w:color w:val="auto"/>
              </w:rPr>
              <w:t>28,951,640</w:t>
            </w: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Unrecognised finance costs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(5,633,395)</w:t>
            </w:r>
          </w:p>
        </w:tc>
        <w:tc>
          <w:tcPr>
            <w:tcW w:w="0" w:type="dxa"/>
            <w:vAlign w:val="bottom"/>
          </w:tcPr>
          <w:p>
            <w:pPr>
              <w:spacing w:after="0"/>
              <w:rPr>
                <w:sz w:val="1"/>
                <w:szCs w:val="1"/>
                <w:color w:val="auto"/>
              </w:rPr>
            </w:pPr>
          </w:p>
        </w:tc>
      </w:tr>
      <w:tr>
        <w:trPr>
          <w:trHeight w:val="294"/>
        </w:trPr>
        <w:tc>
          <w:tcPr>
            <w:tcW w:w="8380" w:type="dxa"/>
            <w:vAlign w:val="bottom"/>
          </w:tcPr>
          <w:p>
            <w:pPr>
              <w:spacing w:after="0"/>
              <w:rPr>
                <w:sz w:val="20"/>
                <w:szCs w:val="20"/>
                <w:color w:val="auto"/>
              </w:rPr>
            </w:pPr>
            <w:r>
              <w:rPr>
                <w:rFonts w:ascii="Arial" w:cs="Arial" w:eastAsia="Arial" w:hAnsi="Arial"/>
                <w:sz w:val="22"/>
                <w:szCs w:val="22"/>
                <w:color w:val="auto"/>
              </w:rPr>
              <w:t>Finance lease payables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23,318,245</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22"/>
                <w:szCs w:val="22"/>
                <w:color w:val="auto"/>
              </w:rPr>
              <w:t>Comprising:</w:t>
            </w: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8380" w:type="dxa"/>
            <w:vAlign w:val="bottom"/>
          </w:tcPr>
          <w:p>
            <w:pPr>
              <w:spacing w:after="0"/>
              <w:rPr>
                <w:sz w:val="20"/>
                <w:szCs w:val="20"/>
                <w:color w:val="auto"/>
              </w:rPr>
            </w:pPr>
            <w:r>
              <w:rPr>
                <w:rFonts w:ascii="Arial" w:cs="Arial" w:eastAsia="Arial" w:hAnsi="Arial"/>
                <w:sz w:val="22"/>
                <w:szCs w:val="22"/>
                <w:color w:val="auto"/>
              </w:rPr>
              <w:t>Finance lease payments due within one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3,729,633</w:t>
            </w:r>
          </w:p>
        </w:tc>
        <w:tc>
          <w:tcPr>
            <w:tcW w:w="0" w:type="dxa"/>
            <w:vAlign w:val="bottom"/>
          </w:tcPr>
          <w:p>
            <w:pPr>
              <w:spacing w:after="0"/>
              <w:rPr>
                <w:sz w:val="1"/>
                <w:szCs w:val="1"/>
                <w:color w:val="auto"/>
              </w:rPr>
            </w:pPr>
          </w:p>
        </w:tc>
      </w:tr>
      <w:tr>
        <w:trPr>
          <w:trHeight w:val="291"/>
        </w:trPr>
        <w:tc>
          <w:tcPr>
            <w:tcW w:w="8380" w:type="dxa"/>
            <w:vAlign w:val="bottom"/>
          </w:tcPr>
          <w:p>
            <w:pPr>
              <w:spacing w:after="0"/>
              <w:rPr>
                <w:sz w:val="20"/>
                <w:szCs w:val="20"/>
                <w:color w:val="auto"/>
              </w:rPr>
            </w:pPr>
            <w:r>
              <w:rPr>
                <w:rFonts w:ascii="Arial" w:cs="Arial" w:eastAsia="Arial" w:hAnsi="Arial"/>
                <w:sz w:val="22"/>
                <w:szCs w:val="22"/>
                <w:color w:val="auto"/>
              </w:rPr>
              <w:t>Finance lease payments due after one year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19,588,612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1420"/>
          </w:cols>
          <w:pgMar w:left="240" w:top="125" w:right="239" w:bottom="1440" w:gutter="0" w:footer="0" w:header="0"/>
          <w:type w:val="continuous"/>
        </w:sectPr>
      </w:pPr>
    </w:p>
    <w:bookmarkStart w:id="138" w:name="page139"/>
    <w:bookmarkEnd w:id="138"/>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INTANGIBLE ASSETS</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Intangible assets include technology license fees, summarized as follows (in RMB).</w:t>
      </w:r>
    </w:p>
    <w:p>
      <w:pPr>
        <w:spacing w:after="0" w:line="152" w:lineRule="exact"/>
        <w:rPr>
          <w:sz w:val="20"/>
          <w:szCs w:val="20"/>
          <w:color w:val="auto"/>
        </w:rPr>
      </w:pPr>
    </w:p>
    <w:tbl>
      <w:tblPr>
        <w:tblLayout w:type="fixed"/>
        <w:tblInd w:w="1060" w:type="dxa"/>
        <w:tblCellMar>
          <w:top w:w="0" w:type="dxa"/>
          <w:left w:w="0" w:type="dxa"/>
          <w:bottom w:w="0" w:type="dxa"/>
          <w:right w:w="0" w:type="dxa"/>
        </w:tblCellMar>
      </w:tblPr>
      <w:tr>
        <w:trPr>
          <w:trHeight w:val="285"/>
        </w:trPr>
        <w:tc>
          <w:tcPr>
            <w:tcW w:w="6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22"/>
                <w:szCs w:val="22"/>
                <w:color w:val="auto"/>
                <w:w w:val="91"/>
              </w:rPr>
              <w:t>Balance at December 31</w:t>
            </w:r>
          </w:p>
        </w:tc>
      </w:tr>
      <w:tr>
        <w:trPr>
          <w:trHeight w:val="230"/>
        </w:trPr>
        <w:tc>
          <w:tcPr>
            <w:tcW w:w="6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line="229" w:lineRule="exact"/>
              <w:rPr>
                <w:sz w:val="20"/>
                <w:szCs w:val="20"/>
                <w:color w:val="auto"/>
              </w:rPr>
            </w:pPr>
            <w:r>
              <w:rPr>
                <w:rFonts w:ascii="Arial" w:cs="Arial" w:eastAsia="Arial" w:hAnsi="Arial"/>
                <w:sz w:val="22"/>
                <w:szCs w:val="22"/>
                <w:color w:val="auto"/>
                <w:w w:val="85"/>
              </w:rPr>
              <w:t>2016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2015</w:t>
            </w:r>
          </w:p>
        </w:tc>
        <w:tc>
          <w:tcPr>
            <w:tcW w:w="6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28"/>
        </w:trPr>
        <w:tc>
          <w:tcPr>
            <w:tcW w:w="6380" w:type="dxa"/>
            <w:vAlign w:val="bottom"/>
          </w:tcPr>
          <w:p>
            <w:pPr>
              <w:spacing w:after="0"/>
              <w:rPr>
                <w:sz w:val="20"/>
                <w:szCs w:val="20"/>
                <w:color w:val="auto"/>
              </w:rPr>
            </w:pPr>
            <w:r>
              <w:rPr>
                <w:rFonts w:ascii="Arial" w:cs="Arial" w:eastAsia="Arial" w:hAnsi="Arial"/>
                <w:sz w:val="22"/>
                <w:szCs w:val="22"/>
                <w:color w:val="auto"/>
              </w:rPr>
              <w:t>Technology license fee - gross</w:t>
            </w:r>
          </w:p>
        </w:tc>
        <w:tc>
          <w:tcPr>
            <w:tcW w:w="1720" w:type="dxa"/>
            <w:vAlign w:val="bottom"/>
            <w:gridSpan w:val="3"/>
          </w:tcPr>
          <w:p>
            <w:pPr>
              <w:jc w:val="right"/>
              <w:ind w:right="120"/>
              <w:spacing w:after="0"/>
              <w:rPr>
                <w:sz w:val="20"/>
                <w:szCs w:val="20"/>
                <w:color w:val="auto"/>
              </w:rPr>
            </w:pPr>
            <w:r>
              <w:rPr>
                <w:rFonts w:ascii="Arial" w:cs="Arial" w:eastAsia="Arial" w:hAnsi="Arial"/>
                <w:sz w:val="22"/>
                <w:szCs w:val="22"/>
                <w:color w:val="auto"/>
              </w:rPr>
              <w:t>5,172,428,910</w:t>
            </w:r>
          </w:p>
        </w:tc>
        <w:tc>
          <w:tcPr>
            <w:tcW w:w="180" w:type="dxa"/>
            <w:vAlign w:val="bottom"/>
          </w:tcPr>
          <w:p>
            <w:pPr>
              <w:spacing w:after="0"/>
              <w:rPr>
                <w:sz w:val="24"/>
                <w:szCs w:val="24"/>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22"/>
                <w:szCs w:val="22"/>
                <w:color w:val="auto"/>
              </w:rPr>
              <w:t>4,746,979,177</w:t>
            </w:r>
          </w:p>
        </w:tc>
      </w:tr>
      <w:tr>
        <w:trPr>
          <w:trHeight w:val="308"/>
        </w:trPr>
        <w:tc>
          <w:tcPr>
            <w:tcW w:w="6380" w:type="dxa"/>
            <w:vAlign w:val="bottom"/>
          </w:tcPr>
          <w:p>
            <w:pPr>
              <w:spacing w:after="0"/>
              <w:rPr>
                <w:sz w:val="20"/>
                <w:szCs w:val="20"/>
                <w:color w:val="auto"/>
              </w:rPr>
            </w:pPr>
            <w:r>
              <w:rPr>
                <w:rFonts w:ascii="Arial" w:cs="Arial" w:eastAsia="Arial" w:hAnsi="Arial"/>
                <w:sz w:val="22"/>
                <w:szCs w:val="22"/>
                <w:color w:val="auto"/>
              </w:rPr>
              <w:t>Accumulated amortization</w:t>
            </w: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(2,136,331,628)</w:t>
            </w:r>
          </w:p>
        </w:tc>
        <w:tc>
          <w:tcPr>
            <w:tcW w:w="18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(1,576,356,865)</w:t>
            </w:r>
          </w:p>
        </w:tc>
      </w:tr>
      <w:tr>
        <w:trPr>
          <w:trHeight w:val="295"/>
        </w:trPr>
        <w:tc>
          <w:tcPr>
            <w:tcW w:w="6380" w:type="dxa"/>
            <w:vAlign w:val="bottom"/>
          </w:tcPr>
          <w:p>
            <w:pPr>
              <w:spacing w:after="0"/>
              <w:rPr>
                <w:sz w:val="20"/>
                <w:szCs w:val="20"/>
                <w:color w:val="auto"/>
              </w:rPr>
            </w:pPr>
            <w:r>
              <w:rPr>
                <w:rFonts w:ascii="Arial" w:cs="Arial" w:eastAsia="Arial" w:hAnsi="Arial"/>
                <w:sz w:val="22"/>
                <w:szCs w:val="22"/>
                <w:color w:val="auto"/>
              </w:rPr>
              <w:t>Technology license fee - net</w:t>
            </w: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3,036,097,282</w:t>
            </w:r>
          </w:p>
        </w:tc>
        <w:tc>
          <w:tcPr>
            <w:tcW w:w="180" w:type="dxa"/>
            <w:vAlign w:val="bottom"/>
          </w:tcPr>
          <w:p>
            <w:pPr>
              <w:spacing w:after="0"/>
              <w:rPr>
                <w:sz w:val="24"/>
                <w:szCs w:val="2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3,170,622,312</w:t>
            </w:r>
          </w:p>
        </w:tc>
      </w:tr>
      <w:tr>
        <w:trPr>
          <w:trHeight w:val="20"/>
        </w:trPr>
        <w:tc>
          <w:tcPr>
            <w:tcW w:w="6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1"/>
          <w:szCs w:val="21"/>
          <w:color w:val="auto"/>
        </w:rPr>
        <w:t>FAIR VALUE MEASUREMENT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Fair value measurements on a recurring basis</w:t>
      </w:r>
    </w:p>
    <w:p>
      <w:pPr>
        <w:spacing w:after="0" w:line="260" w:lineRule="exact"/>
        <w:rPr>
          <w:sz w:val="20"/>
          <w:szCs w:val="20"/>
          <w:color w:val="auto"/>
        </w:rPr>
      </w:pPr>
    </w:p>
    <w:p>
      <w:pPr>
        <w:ind w:left="660" w:right="40"/>
        <w:spacing w:after="0" w:line="253" w:lineRule="auto"/>
        <w:rPr>
          <w:sz w:val="20"/>
          <w:szCs w:val="20"/>
          <w:color w:val="auto"/>
        </w:rPr>
      </w:pPr>
      <w:r>
        <w:rPr>
          <w:rFonts w:ascii="Arial" w:cs="Arial" w:eastAsia="Arial" w:hAnsi="Arial"/>
          <w:sz w:val="22"/>
          <w:szCs w:val="22"/>
          <w:color w:val="auto"/>
        </w:rPr>
        <w:t>The Company measures money market fund at fair value on a recurring basis using quoted prices in active markets for identical assets (Level 1). The carrying amounts are RMB 1,976,000,426 and RMB 1,492,894,524 as of December 31, 2016 and 2015 respectively, which approximates its fair values.</w:t>
      </w:r>
    </w:p>
    <w:p>
      <w:pPr>
        <w:spacing w:after="0" w:line="22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1"/>
          <w:szCs w:val="21"/>
          <w:color w:val="auto"/>
        </w:rPr>
        <w:t>INCOME TAX</w:t>
      </w:r>
    </w:p>
    <w:p>
      <w:pPr>
        <w:spacing w:after="0" w:line="2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Income tax expense is summarized as follows (in RMB):</w:t>
      </w:r>
    </w:p>
    <w:p>
      <w:pPr>
        <w:spacing w:after="0" w:line="152" w:lineRule="exact"/>
        <w:rPr>
          <w:sz w:val="20"/>
          <w:szCs w:val="20"/>
          <w:color w:val="auto"/>
        </w:rPr>
      </w:pPr>
    </w:p>
    <w:tbl>
      <w:tblPr>
        <w:tblLayout w:type="fixed"/>
        <w:tblInd w:w="1060" w:type="dxa"/>
        <w:tblCellMar>
          <w:top w:w="0" w:type="dxa"/>
          <w:left w:w="0" w:type="dxa"/>
          <w:bottom w:w="0" w:type="dxa"/>
          <w:right w:w="0" w:type="dxa"/>
        </w:tblCellMar>
      </w:tblPr>
      <w:tr>
        <w:trPr>
          <w:trHeight w:val="285"/>
        </w:trPr>
        <w:tc>
          <w:tcPr>
            <w:tcW w:w="4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22"/>
                <w:szCs w:val="22"/>
                <w:color w:val="auto"/>
                <w:w w:val="86"/>
              </w:rPr>
              <w:t>Year ended December 31</w:t>
            </w: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30"/>
        </w:trPr>
        <w:tc>
          <w:tcPr>
            <w:tcW w:w="4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w w:val="85"/>
              </w:rPr>
              <w:t>2016</w:t>
            </w:r>
          </w:p>
        </w:tc>
        <w:tc>
          <w:tcPr>
            <w:tcW w:w="660" w:type="dxa"/>
            <w:vAlign w:val="bottom"/>
          </w:tcPr>
          <w:p>
            <w:pPr>
              <w:spacing w:after="0"/>
              <w:rPr>
                <w:sz w:val="19"/>
                <w:szCs w:val="19"/>
                <w:color w:val="auto"/>
              </w:rPr>
            </w:pPr>
          </w:p>
        </w:tc>
        <w:tc>
          <w:tcPr>
            <w:tcW w:w="900" w:type="dxa"/>
            <w:vAlign w:val="bottom"/>
            <w:gridSpan w:val="3"/>
          </w:tcPr>
          <w:p>
            <w:pPr>
              <w:spacing w:after="0"/>
              <w:rPr>
                <w:sz w:val="19"/>
                <w:szCs w:val="19"/>
                <w:color w:val="auto"/>
              </w:rPr>
            </w:pPr>
          </w:p>
        </w:tc>
        <w:tc>
          <w:tcPr>
            <w:tcW w:w="4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w w:val="85"/>
              </w:rPr>
              <w:t>2015</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w w:val="85"/>
              </w:rPr>
              <w:t>2014</w:t>
            </w:r>
          </w:p>
        </w:tc>
        <w:tc>
          <w:tcPr>
            <w:tcW w:w="680" w:type="dxa"/>
            <w:vAlign w:val="bottom"/>
          </w:tcPr>
          <w:p>
            <w:pPr>
              <w:spacing w:after="0"/>
              <w:rPr>
                <w:sz w:val="19"/>
                <w:szCs w:val="19"/>
                <w:color w:val="auto"/>
              </w:rPr>
            </w:pPr>
          </w:p>
        </w:tc>
      </w:tr>
      <w:tr>
        <w:trPr>
          <w:trHeight w:val="328"/>
        </w:trPr>
        <w:tc>
          <w:tcPr>
            <w:tcW w:w="4180" w:type="dxa"/>
            <w:vAlign w:val="bottom"/>
          </w:tcPr>
          <w:p>
            <w:pPr>
              <w:spacing w:after="0"/>
              <w:rPr>
                <w:sz w:val="20"/>
                <w:szCs w:val="20"/>
                <w:color w:val="auto"/>
              </w:rPr>
            </w:pPr>
            <w:r>
              <w:rPr>
                <w:rFonts w:ascii="Arial" w:cs="Arial" w:eastAsia="Arial" w:hAnsi="Arial"/>
                <w:sz w:val="22"/>
                <w:szCs w:val="22"/>
                <w:color w:val="auto"/>
              </w:rPr>
              <w:t>Current tax expense</w:t>
            </w:r>
          </w:p>
        </w:tc>
        <w:tc>
          <w:tcPr>
            <w:tcW w:w="1800" w:type="dxa"/>
            <w:vAlign w:val="bottom"/>
            <w:gridSpan w:val="3"/>
          </w:tcPr>
          <w:p>
            <w:pPr>
              <w:jc w:val="right"/>
              <w:ind w:right="100"/>
              <w:spacing w:after="0"/>
              <w:rPr>
                <w:sz w:val="20"/>
                <w:szCs w:val="20"/>
                <w:color w:val="auto"/>
              </w:rPr>
            </w:pPr>
            <w:r>
              <w:rPr>
                <w:rFonts w:ascii="Arial" w:cs="Arial" w:eastAsia="Arial" w:hAnsi="Arial"/>
                <w:sz w:val="22"/>
                <w:szCs w:val="22"/>
                <w:color w:val="auto"/>
              </w:rPr>
              <w:t>6,979,426,849</w:t>
            </w:r>
          </w:p>
        </w:tc>
        <w:tc>
          <w:tcPr>
            <w:tcW w:w="2020" w:type="dxa"/>
            <w:vAlign w:val="bottom"/>
            <w:gridSpan w:val="5"/>
          </w:tcPr>
          <w:p>
            <w:pPr>
              <w:jc w:val="right"/>
              <w:ind w:right="120"/>
              <w:spacing w:after="0"/>
              <w:rPr>
                <w:sz w:val="20"/>
                <w:szCs w:val="20"/>
                <w:color w:val="auto"/>
              </w:rPr>
            </w:pPr>
            <w:r>
              <w:rPr>
                <w:rFonts w:ascii="Arial" w:cs="Arial" w:eastAsia="Arial" w:hAnsi="Arial"/>
                <w:sz w:val="22"/>
                <w:szCs w:val="22"/>
                <w:color w:val="auto"/>
              </w:rPr>
              <w:t>6,142,993,992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22"/>
                <w:szCs w:val="22"/>
                <w:color w:val="auto"/>
              </w:rPr>
              <w:t>5,666,930,170</w:t>
            </w:r>
          </w:p>
        </w:tc>
      </w:tr>
      <w:tr>
        <w:trPr>
          <w:trHeight w:val="308"/>
        </w:trPr>
        <w:tc>
          <w:tcPr>
            <w:tcW w:w="4180" w:type="dxa"/>
            <w:vAlign w:val="bottom"/>
          </w:tcPr>
          <w:p>
            <w:pPr>
              <w:spacing w:after="0"/>
              <w:rPr>
                <w:sz w:val="20"/>
                <w:szCs w:val="20"/>
                <w:color w:val="auto"/>
              </w:rPr>
            </w:pPr>
            <w:r>
              <w:rPr>
                <w:rFonts w:ascii="Arial" w:cs="Arial" w:eastAsia="Arial" w:hAnsi="Arial"/>
                <w:sz w:val="22"/>
                <w:szCs w:val="22"/>
                <w:color w:val="auto"/>
              </w:rPr>
              <w:t>Deferred tax expense (benefit)</w:t>
            </w: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(1,295,050,228)</w:t>
            </w: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(261,643,536)</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2"/>
                <w:szCs w:val="22"/>
                <w:color w:val="auto"/>
              </w:rPr>
              <w:t>(530,482,621)</w:t>
            </w:r>
          </w:p>
        </w:tc>
      </w:tr>
      <w:tr>
        <w:trPr>
          <w:trHeight w:val="295"/>
        </w:trPr>
        <w:tc>
          <w:tcPr>
            <w:tcW w:w="4180" w:type="dxa"/>
            <w:vAlign w:val="bottom"/>
          </w:tcPr>
          <w:p>
            <w:pPr>
              <w:spacing w:after="0"/>
              <w:rPr>
                <w:sz w:val="20"/>
                <w:szCs w:val="20"/>
                <w:color w:val="auto"/>
              </w:rPr>
            </w:pPr>
            <w:r>
              <w:rPr>
                <w:rFonts w:ascii="Arial" w:cs="Arial" w:eastAsia="Arial" w:hAnsi="Arial"/>
                <w:sz w:val="22"/>
                <w:szCs w:val="22"/>
                <w:color w:val="auto"/>
              </w:rPr>
              <w:t>Total income tax expense</w:t>
            </w:r>
          </w:p>
        </w:tc>
        <w:tc>
          <w:tcPr>
            <w:tcW w:w="1800" w:type="dxa"/>
            <w:vAlign w:val="bottom"/>
            <w:gridSpan w:val="3"/>
          </w:tcPr>
          <w:p>
            <w:pPr>
              <w:jc w:val="right"/>
              <w:ind w:right="100"/>
              <w:spacing w:after="0"/>
              <w:rPr>
                <w:sz w:val="20"/>
                <w:szCs w:val="20"/>
                <w:color w:val="auto"/>
              </w:rPr>
            </w:pPr>
            <w:r>
              <w:rPr>
                <w:rFonts w:ascii="Arial" w:cs="Arial" w:eastAsia="Arial" w:hAnsi="Arial"/>
                <w:sz w:val="22"/>
                <w:szCs w:val="22"/>
                <w:color w:val="auto"/>
              </w:rPr>
              <w:t>5,684,376,621</w:t>
            </w:r>
          </w:p>
        </w:tc>
        <w:tc>
          <w:tcPr>
            <w:tcW w:w="2020" w:type="dxa"/>
            <w:vAlign w:val="bottom"/>
            <w:gridSpan w:val="5"/>
          </w:tcPr>
          <w:p>
            <w:pPr>
              <w:jc w:val="right"/>
              <w:ind w:right="120"/>
              <w:spacing w:after="0"/>
              <w:rPr>
                <w:sz w:val="20"/>
                <w:szCs w:val="20"/>
                <w:color w:val="auto"/>
              </w:rPr>
            </w:pPr>
            <w:r>
              <w:rPr>
                <w:rFonts w:ascii="Arial" w:cs="Arial" w:eastAsia="Arial" w:hAnsi="Arial"/>
                <w:sz w:val="22"/>
                <w:szCs w:val="22"/>
                <w:color w:val="auto"/>
              </w:rPr>
              <w:t>5,881,350,456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22"/>
                <w:szCs w:val="22"/>
                <w:color w:val="auto"/>
              </w:rPr>
              <w:t>5,136,447,549</w:t>
            </w:r>
          </w:p>
        </w:tc>
      </w:tr>
      <w:tr>
        <w:trPr>
          <w:trHeight w:val="20"/>
        </w:trPr>
        <w:tc>
          <w:tcPr>
            <w:tcW w:w="4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left="660" w:right="380"/>
        <w:spacing w:after="0" w:line="263" w:lineRule="auto"/>
        <w:rPr>
          <w:sz w:val="20"/>
          <w:szCs w:val="20"/>
          <w:color w:val="auto"/>
        </w:rPr>
      </w:pPr>
      <w:r>
        <w:rPr>
          <w:rFonts w:ascii="Arial" w:cs="Arial" w:eastAsia="Arial" w:hAnsi="Arial"/>
          <w:sz w:val="22"/>
          <w:szCs w:val="22"/>
          <w:color w:val="auto"/>
        </w:rPr>
        <w:t>A reconciliation of the provision for income taxes with amounts determined by applying the statutory income tax rate to income before income tax is as follows (in RMB):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5" w:right="239" w:bottom="1440" w:gutter="0" w:footer="0" w:header="0"/>
        </w:sectPr>
      </w:pPr>
    </w:p>
    <w:bookmarkStart w:id="139" w:name="page140"/>
    <w:bookmarkEnd w:id="139"/>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80" w:type="dxa"/>
            <w:vAlign w:val="bottom"/>
            <w:gridSpan w:val="4"/>
          </w:tcPr>
          <w:p>
            <w:pPr>
              <w:spacing w:after="0"/>
              <w:rPr>
                <w:sz w:val="20"/>
                <w:szCs w:val="20"/>
                <w:color w:val="auto"/>
              </w:rPr>
            </w:pPr>
            <w:r>
              <w:rPr>
                <w:rFonts w:ascii="Arial" w:cs="Arial" w:eastAsia="Arial" w:hAnsi="Arial"/>
                <w:sz w:val="22"/>
                <w:szCs w:val="22"/>
                <w:color w:val="auto"/>
              </w:rPr>
              <w:t>7.  INCOME TAX - continued</w:t>
            </w: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16"/>
        </w:trPr>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85"/>
              </w:rPr>
              <w:t>Year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30"/>
        </w:trPr>
        <w:tc>
          <w:tcPr>
            <w:tcW w:w="1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gridSpan w:val="2"/>
          </w:tcPr>
          <w:p>
            <w:pPr>
              <w:ind w:left="680"/>
              <w:spacing w:after="0" w:line="229" w:lineRule="exact"/>
              <w:rPr>
                <w:sz w:val="20"/>
                <w:szCs w:val="20"/>
                <w:color w:val="auto"/>
              </w:rPr>
            </w:pPr>
            <w:r>
              <w:rPr>
                <w:rFonts w:ascii="Arial" w:cs="Arial" w:eastAsia="Arial" w:hAnsi="Arial"/>
                <w:sz w:val="22"/>
                <w:szCs w:val="22"/>
                <w:color w:val="auto"/>
                <w:w w:val="81"/>
              </w:rPr>
              <w:t>2016</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60" w:type="dxa"/>
            <w:vAlign w:val="bottom"/>
            <w:gridSpan w:val="6"/>
          </w:tcPr>
          <w:p>
            <w:pPr>
              <w:jc w:val="right"/>
              <w:ind w:right="452"/>
              <w:spacing w:after="0" w:line="229" w:lineRule="exact"/>
              <w:rPr>
                <w:sz w:val="20"/>
                <w:szCs w:val="20"/>
                <w:color w:val="auto"/>
              </w:rPr>
            </w:pPr>
            <w:r>
              <w:rPr>
                <w:rFonts w:ascii="Arial" w:cs="Arial" w:eastAsia="Arial" w:hAnsi="Arial"/>
                <w:sz w:val="22"/>
                <w:szCs w:val="22"/>
                <w:color w:val="auto"/>
              </w:rPr>
              <w:t>2015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5"/>
          </w:tcPr>
          <w:p>
            <w:pPr>
              <w:jc w:val="right"/>
              <w:ind w:right="572"/>
              <w:spacing w:after="0" w:line="229" w:lineRule="exact"/>
              <w:rPr>
                <w:sz w:val="20"/>
                <w:szCs w:val="20"/>
                <w:color w:val="auto"/>
              </w:rPr>
            </w:pPr>
            <w:r>
              <w:rPr>
                <w:rFonts w:ascii="Arial" w:cs="Arial" w:eastAsia="Arial" w:hAnsi="Arial"/>
                <w:sz w:val="22"/>
                <w:szCs w:val="22"/>
                <w:color w:val="auto"/>
              </w:rPr>
              <w:t>2014</w:t>
            </w:r>
          </w:p>
        </w:tc>
      </w:tr>
      <w:tr>
        <w:trPr>
          <w:trHeight w:val="328"/>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Statutory income tax rate</w:t>
            </w:r>
          </w:p>
        </w:tc>
        <w:tc>
          <w:tcPr>
            <w:tcW w:w="6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25%</w:t>
            </w:r>
          </w:p>
        </w:tc>
        <w:tc>
          <w:tcPr>
            <w:tcW w:w="40" w:type="dxa"/>
            <w:vAlign w:val="bottom"/>
          </w:tcPr>
          <w:p>
            <w:pPr>
              <w:spacing w:after="0"/>
              <w:rPr>
                <w:sz w:val="24"/>
                <w:szCs w:val="24"/>
                <w:color w:val="auto"/>
              </w:rPr>
            </w:pPr>
          </w:p>
        </w:tc>
        <w:tc>
          <w:tcPr>
            <w:tcW w:w="860" w:type="dxa"/>
            <w:vAlign w:val="bottom"/>
            <w:gridSpan w:val="3"/>
          </w:tcPr>
          <w:p>
            <w:pPr>
              <w:spacing w:after="0"/>
              <w:rPr>
                <w:sz w:val="24"/>
                <w:szCs w:val="24"/>
                <w:color w:val="auto"/>
              </w:rPr>
            </w:pPr>
          </w:p>
        </w:tc>
        <w:tc>
          <w:tcPr>
            <w:tcW w:w="440" w:type="dxa"/>
            <w:vAlign w:val="bottom"/>
            <w:tcBorders>
              <w:top w:val="single" w:sz="8" w:color="auto"/>
            </w:tcBorders>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w w:val="99"/>
              </w:rPr>
              <w:t>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440" w:type="dxa"/>
            <w:vAlign w:val="bottom"/>
            <w:tcBorders>
              <w:top w:val="single" w:sz="8" w:color="auto"/>
            </w:tcBorders>
            <w:gridSpan w:val="2"/>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22"/>
                <w:szCs w:val="22"/>
                <w:color w:val="auto"/>
                <w:w w:val="99"/>
              </w:rPr>
              <w:t>25%</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Computed tax at the statutory tax rate</w:t>
            </w:r>
          </w:p>
        </w:tc>
        <w:tc>
          <w:tcPr>
            <w:tcW w:w="1760" w:type="dxa"/>
            <w:vAlign w:val="bottom"/>
            <w:gridSpan w:val="3"/>
          </w:tcPr>
          <w:p>
            <w:pPr>
              <w:ind w:left="20"/>
              <w:spacing w:after="0"/>
              <w:rPr>
                <w:sz w:val="20"/>
                <w:szCs w:val="20"/>
                <w:color w:val="auto"/>
              </w:rPr>
            </w:pPr>
            <w:r>
              <w:rPr>
                <w:rFonts w:ascii="Arial" w:cs="Arial" w:eastAsia="Arial" w:hAnsi="Arial"/>
                <w:sz w:val="22"/>
                <w:szCs w:val="22"/>
                <w:color w:val="auto"/>
              </w:rPr>
              <w:t>6,178,274,882</w:t>
            </w:r>
          </w:p>
        </w:tc>
        <w:tc>
          <w:tcPr>
            <w:tcW w:w="40" w:type="dxa"/>
            <w:vAlign w:val="bottom"/>
          </w:tcPr>
          <w:p>
            <w:pPr>
              <w:spacing w:after="0"/>
              <w:rPr>
                <w:sz w:val="24"/>
                <w:szCs w:val="24"/>
                <w:color w:val="auto"/>
              </w:rPr>
            </w:pPr>
          </w:p>
        </w:tc>
        <w:tc>
          <w:tcPr>
            <w:tcW w:w="1860" w:type="dxa"/>
            <w:vAlign w:val="bottom"/>
            <w:gridSpan w:val="6"/>
          </w:tcPr>
          <w:p>
            <w:pPr>
              <w:ind w:left="200"/>
              <w:spacing w:after="0"/>
              <w:rPr>
                <w:sz w:val="20"/>
                <w:szCs w:val="20"/>
                <w:color w:val="auto"/>
              </w:rPr>
            </w:pPr>
            <w:r>
              <w:rPr>
                <w:rFonts w:ascii="Arial" w:cs="Arial" w:eastAsia="Arial" w:hAnsi="Arial"/>
                <w:sz w:val="22"/>
                <w:szCs w:val="22"/>
                <w:color w:val="auto"/>
              </w:rPr>
              <w:t>6,340,769,138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ind w:left="20"/>
              <w:spacing w:after="0"/>
              <w:rPr>
                <w:sz w:val="20"/>
                <w:szCs w:val="20"/>
                <w:color w:val="auto"/>
              </w:rPr>
            </w:pPr>
            <w:r>
              <w:rPr>
                <w:rFonts w:ascii="Arial" w:cs="Arial" w:eastAsia="Arial" w:hAnsi="Arial"/>
                <w:sz w:val="22"/>
                <w:szCs w:val="22"/>
                <w:color w:val="auto"/>
              </w:rPr>
              <w:t>5,691,498,859</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Effect of expenses that are not deductible</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60" w:type="dxa"/>
            <w:vAlign w:val="bottom"/>
          </w:tcPr>
          <w:p>
            <w:pPr>
              <w:spacing w:after="0"/>
              <w:rPr>
                <w:sz w:val="24"/>
                <w:szCs w:val="24"/>
                <w:color w:val="auto"/>
              </w:rPr>
            </w:pPr>
          </w:p>
        </w:tc>
        <w:tc>
          <w:tcPr>
            <w:tcW w:w="4220" w:type="dxa"/>
            <w:vAlign w:val="bottom"/>
            <w:gridSpan w:val="3"/>
          </w:tcPr>
          <w:p>
            <w:pPr>
              <w:ind w:left="100"/>
              <w:spacing w:after="0"/>
              <w:rPr>
                <w:sz w:val="20"/>
                <w:szCs w:val="20"/>
                <w:color w:val="auto"/>
              </w:rPr>
            </w:pPr>
            <w:r>
              <w:rPr>
                <w:rFonts w:ascii="Arial" w:cs="Arial" w:eastAsia="Arial" w:hAnsi="Arial"/>
                <w:sz w:val="22"/>
                <w:szCs w:val="22"/>
                <w:color w:val="auto"/>
              </w:rPr>
              <w:t>for tax purposes</w:t>
            </w:r>
          </w:p>
        </w:tc>
        <w:tc>
          <w:tcPr>
            <w:tcW w:w="1760" w:type="dxa"/>
            <w:vAlign w:val="bottom"/>
            <w:gridSpan w:val="3"/>
          </w:tcPr>
          <w:p>
            <w:pPr>
              <w:jc w:val="right"/>
              <w:ind w:right="72"/>
              <w:spacing w:after="0"/>
              <w:rPr>
                <w:sz w:val="20"/>
                <w:szCs w:val="20"/>
                <w:color w:val="auto"/>
              </w:rPr>
            </w:pPr>
            <w:r>
              <w:rPr>
                <w:rFonts w:ascii="Arial" w:cs="Arial" w:eastAsia="Arial" w:hAnsi="Arial"/>
                <w:sz w:val="22"/>
                <w:szCs w:val="22"/>
                <w:color w:val="auto"/>
              </w:rPr>
              <w:t>96,793,763</w:t>
            </w:r>
          </w:p>
        </w:tc>
        <w:tc>
          <w:tcPr>
            <w:tcW w:w="40" w:type="dxa"/>
            <w:vAlign w:val="bottom"/>
          </w:tcPr>
          <w:p>
            <w:pPr>
              <w:spacing w:after="0"/>
              <w:rPr>
                <w:sz w:val="24"/>
                <w:szCs w:val="24"/>
                <w:color w:val="auto"/>
              </w:rPr>
            </w:pPr>
          </w:p>
        </w:tc>
        <w:tc>
          <w:tcPr>
            <w:tcW w:w="1860" w:type="dxa"/>
            <w:vAlign w:val="bottom"/>
            <w:gridSpan w:val="6"/>
          </w:tcPr>
          <w:p>
            <w:pPr>
              <w:jc w:val="right"/>
              <w:spacing w:after="0"/>
              <w:rPr>
                <w:sz w:val="20"/>
                <w:szCs w:val="20"/>
                <w:color w:val="auto"/>
              </w:rPr>
            </w:pPr>
            <w:r>
              <w:rPr>
                <w:rFonts w:ascii="Arial" w:cs="Arial" w:eastAsia="Arial" w:hAnsi="Arial"/>
                <w:sz w:val="22"/>
                <w:szCs w:val="22"/>
                <w:color w:val="auto"/>
              </w:rPr>
              <w:t>71,679,519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right"/>
              <w:ind w:right="112"/>
              <w:spacing w:after="0"/>
              <w:rPr>
                <w:sz w:val="20"/>
                <w:szCs w:val="20"/>
                <w:color w:val="auto"/>
              </w:rPr>
            </w:pPr>
            <w:r>
              <w:rPr>
                <w:rFonts w:ascii="Arial" w:cs="Arial" w:eastAsia="Arial" w:hAnsi="Arial"/>
                <w:sz w:val="22"/>
                <w:szCs w:val="22"/>
                <w:color w:val="auto"/>
              </w:rPr>
              <w:t>53,734,139</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Effect of non-taxable income</w:t>
            </w:r>
          </w:p>
        </w:tc>
        <w:tc>
          <w:tcPr>
            <w:tcW w:w="1760" w:type="dxa"/>
            <w:vAlign w:val="bottom"/>
            <w:gridSpan w:val="3"/>
          </w:tcPr>
          <w:p>
            <w:pPr>
              <w:ind w:left="20"/>
              <w:spacing w:after="0"/>
              <w:rPr>
                <w:sz w:val="20"/>
                <w:szCs w:val="20"/>
                <w:color w:val="auto"/>
              </w:rPr>
            </w:pPr>
            <w:r>
              <w:rPr>
                <w:rFonts w:ascii="Arial" w:cs="Arial" w:eastAsia="Arial" w:hAnsi="Arial"/>
                <w:sz w:val="22"/>
                <w:szCs w:val="22"/>
                <w:color w:val="auto"/>
              </w:rPr>
              <w:t>(153,699,248)</w:t>
            </w:r>
          </w:p>
        </w:tc>
        <w:tc>
          <w:tcPr>
            <w:tcW w:w="40" w:type="dxa"/>
            <w:vAlign w:val="bottom"/>
          </w:tcPr>
          <w:p>
            <w:pPr>
              <w:spacing w:after="0"/>
              <w:rPr>
                <w:sz w:val="24"/>
                <w:szCs w:val="24"/>
                <w:color w:val="auto"/>
              </w:rPr>
            </w:pPr>
          </w:p>
        </w:tc>
        <w:tc>
          <w:tcPr>
            <w:tcW w:w="1860" w:type="dxa"/>
            <w:vAlign w:val="bottom"/>
            <w:gridSpan w:val="6"/>
          </w:tcPr>
          <w:p>
            <w:pPr>
              <w:ind w:left="200"/>
              <w:spacing w:after="0"/>
              <w:rPr>
                <w:sz w:val="20"/>
                <w:szCs w:val="20"/>
                <w:color w:val="auto"/>
              </w:rPr>
            </w:pPr>
            <w:r>
              <w:rPr>
                <w:rFonts w:ascii="Arial" w:cs="Arial" w:eastAsia="Arial" w:hAnsi="Arial"/>
                <w:sz w:val="22"/>
                <w:szCs w:val="22"/>
                <w:color w:val="auto"/>
              </w:rPr>
              <w:t>(123,514,282)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ind w:left="20"/>
              <w:spacing w:after="0"/>
              <w:rPr>
                <w:sz w:val="20"/>
                <w:szCs w:val="20"/>
                <w:color w:val="auto"/>
              </w:rPr>
            </w:pPr>
            <w:r>
              <w:rPr>
                <w:rFonts w:ascii="Arial" w:cs="Arial" w:eastAsia="Arial" w:hAnsi="Arial"/>
                <w:sz w:val="22"/>
                <w:szCs w:val="22"/>
                <w:color w:val="auto"/>
              </w:rPr>
              <w:t>(107,605,649)</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Effect of expenses adjustable</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8"/>
        </w:trPr>
        <w:tc>
          <w:tcPr>
            <w:tcW w:w="1060" w:type="dxa"/>
            <w:vAlign w:val="bottom"/>
          </w:tcPr>
          <w:p>
            <w:pPr>
              <w:spacing w:after="0"/>
              <w:rPr>
                <w:sz w:val="24"/>
                <w:szCs w:val="24"/>
                <w:color w:val="auto"/>
              </w:rPr>
            </w:pPr>
          </w:p>
        </w:tc>
        <w:tc>
          <w:tcPr>
            <w:tcW w:w="4220" w:type="dxa"/>
            <w:vAlign w:val="bottom"/>
            <w:gridSpan w:val="3"/>
          </w:tcPr>
          <w:p>
            <w:pPr>
              <w:ind w:left="100"/>
              <w:spacing w:after="0"/>
              <w:rPr>
                <w:sz w:val="20"/>
                <w:szCs w:val="20"/>
                <w:color w:val="auto"/>
              </w:rPr>
            </w:pPr>
            <w:r>
              <w:rPr>
                <w:rFonts w:ascii="Arial" w:cs="Arial" w:eastAsia="Arial" w:hAnsi="Arial"/>
                <w:sz w:val="22"/>
                <w:szCs w:val="22"/>
                <w:color w:val="auto"/>
              </w:rPr>
              <w:t>for tax purpose</w:t>
            </w: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(436,992,776)</w:t>
            </w: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22"/>
                <w:szCs w:val="22"/>
                <w:color w:val="auto"/>
              </w:rPr>
              <w:t>(407,583,919)</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22"/>
                <w:szCs w:val="22"/>
                <w:color w:val="auto"/>
              </w:rPr>
              <w:t>(501,179,800)</w:t>
            </w:r>
          </w:p>
        </w:tc>
      </w:tr>
      <w:tr>
        <w:trPr>
          <w:trHeight w:val="619"/>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Income tax expense</w:t>
            </w: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5,684,376,621</w:t>
            </w: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22"/>
                <w:szCs w:val="22"/>
                <w:color w:val="auto"/>
              </w:rPr>
              <w:t>5,881,350,456</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22"/>
                <w:szCs w:val="22"/>
                <w:color w:val="auto"/>
              </w:rPr>
              <w:t>5,136,447,549</w:t>
            </w:r>
          </w:p>
        </w:tc>
      </w:tr>
      <w:tr>
        <w:trPr>
          <w:trHeight w:val="20"/>
        </w:trPr>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02"/>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Effective income tax rate</w:t>
            </w: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23%</w:t>
            </w: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22"/>
                <w:szCs w:val="22"/>
                <w:color w:val="auto"/>
              </w:rPr>
              <w:t>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23%</w:t>
            </w:r>
          </w:p>
        </w:tc>
      </w:tr>
      <w:tr>
        <w:trPr>
          <w:trHeight w:val="20"/>
        </w:trPr>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05"/>
        </w:trPr>
        <w:tc>
          <w:tcPr>
            <w:tcW w:w="11040" w:type="dxa"/>
            <w:vAlign w:val="bottom"/>
            <w:gridSpan w:val="23"/>
          </w:tcPr>
          <w:p>
            <w:pPr>
              <w:jc w:val="right"/>
              <w:ind w:right="1592"/>
              <w:spacing w:after="0"/>
              <w:rPr>
                <w:sz w:val="20"/>
                <w:szCs w:val="20"/>
                <w:color w:val="auto"/>
              </w:rPr>
            </w:pPr>
            <w:r>
              <w:rPr>
                <w:rFonts w:ascii="Arial" w:cs="Arial" w:eastAsia="Arial" w:hAnsi="Arial"/>
                <w:sz w:val="22"/>
                <w:szCs w:val="22"/>
                <w:color w:val="auto"/>
                <w:w w:val="96"/>
              </w:rPr>
              <w:t>Significant components of the Company's deferred tax assets and liabilities are as follows (in RMB):</w:t>
            </w:r>
          </w:p>
        </w:tc>
      </w:tr>
      <w:tr>
        <w:trPr>
          <w:trHeight w:val="416"/>
        </w:trPr>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jc w:val="right"/>
              <w:ind w:right="812"/>
              <w:spacing w:after="0"/>
              <w:rPr>
                <w:sz w:val="20"/>
                <w:szCs w:val="20"/>
                <w:color w:val="auto"/>
              </w:rPr>
            </w:pPr>
            <w:r>
              <w:rPr>
                <w:rFonts w:ascii="Arial" w:cs="Arial" w:eastAsia="Arial" w:hAnsi="Arial"/>
                <w:sz w:val="22"/>
                <w:szCs w:val="22"/>
                <w:color w:val="auto"/>
                <w:w w:val="89"/>
              </w:rPr>
              <w:t>Balance at December 31</w:t>
            </w:r>
          </w:p>
        </w:tc>
      </w:tr>
      <w:tr>
        <w:trPr>
          <w:trHeight w:val="230"/>
        </w:trPr>
        <w:tc>
          <w:tcPr>
            <w:tcW w:w="1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4"/>
          </w:tcPr>
          <w:p>
            <w:pPr>
              <w:jc w:val="right"/>
              <w:spacing w:after="0" w:line="229" w:lineRule="exact"/>
              <w:rPr>
                <w:sz w:val="20"/>
                <w:szCs w:val="20"/>
                <w:color w:val="auto"/>
              </w:rPr>
            </w:pPr>
            <w:r>
              <w:rPr>
                <w:rFonts w:ascii="Arial" w:cs="Arial" w:eastAsia="Arial" w:hAnsi="Arial"/>
                <w:sz w:val="22"/>
                <w:szCs w:val="22"/>
                <w:color w:val="auto"/>
              </w:rPr>
              <w:t>2016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jc w:val="right"/>
              <w:ind w:right="60"/>
              <w:spacing w:after="0" w:line="229" w:lineRule="exact"/>
              <w:rPr>
                <w:sz w:val="20"/>
                <w:szCs w:val="20"/>
                <w:color w:val="auto"/>
              </w:rPr>
            </w:pPr>
            <w:r>
              <w:rPr>
                <w:rFonts w:ascii="Arial" w:cs="Arial" w:eastAsia="Arial" w:hAnsi="Arial"/>
                <w:sz w:val="22"/>
                <w:szCs w:val="22"/>
                <w:color w:val="auto"/>
              </w:rPr>
              <w:t>2015</w:t>
            </w:r>
          </w:p>
        </w:tc>
        <w:tc>
          <w:tcPr>
            <w:tcW w:w="680" w:type="dxa"/>
            <w:vAlign w:val="bottom"/>
          </w:tcPr>
          <w:p>
            <w:pPr>
              <w:spacing w:after="0"/>
              <w:rPr>
                <w:sz w:val="19"/>
                <w:szCs w:val="19"/>
                <w:color w:val="auto"/>
              </w:rPr>
            </w:pPr>
          </w:p>
        </w:tc>
      </w:tr>
      <w:tr>
        <w:trPr>
          <w:trHeight w:val="27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Deferred tax assets: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28"/>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Provision for impairment loss on property</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60" w:type="dxa"/>
            <w:vAlign w:val="bottom"/>
          </w:tcPr>
          <w:p>
            <w:pPr>
              <w:spacing w:after="0"/>
              <w:rPr>
                <w:sz w:val="24"/>
                <w:szCs w:val="24"/>
                <w:color w:val="auto"/>
              </w:rPr>
            </w:pPr>
          </w:p>
        </w:tc>
        <w:tc>
          <w:tcPr>
            <w:tcW w:w="4220" w:type="dxa"/>
            <w:vAlign w:val="bottom"/>
            <w:gridSpan w:val="3"/>
          </w:tcPr>
          <w:p>
            <w:pPr>
              <w:ind w:left="100"/>
              <w:spacing w:after="0"/>
              <w:rPr>
                <w:sz w:val="20"/>
                <w:szCs w:val="20"/>
                <w:color w:val="auto"/>
              </w:rPr>
            </w:pPr>
            <w:r>
              <w:rPr>
                <w:rFonts w:ascii="Arial" w:cs="Arial" w:eastAsia="Arial" w:hAnsi="Arial"/>
                <w:sz w:val="22"/>
                <w:szCs w:val="22"/>
                <w:color w:val="auto"/>
              </w:rPr>
              <w:t>and depreciation difference</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6"/>
          </w:tcPr>
          <w:p>
            <w:pPr>
              <w:jc w:val="right"/>
              <w:spacing w:after="0"/>
              <w:rPr>
                <w:sz w:val="20"/>
                <w:szCs w:val="20"/>
                <w:color w:val="auto"/>
              </w:rPr>
            </w:pPr>
            <w:r>
              <w:rPr>
                <w:rFonts w:ascii="Arial" w:cs="Arial" w:eastAsia="Arial" w:hAnsi="Arial"/>
                <w:sz w:val="22"/>
                <w:szCs w:val="22"/>
                <w:color w:val="auto"/>
              </w:rPr>
              <w:t>1,410,407,444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1,224,652,401</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Accrued expense and estimated liabilities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6"/>
          </w:tcPr>
          <w:p>
            <w:pPr>
              <w:jc w:val="right"/>
              <w:spacing w:after="0"/>
              <w:rPr>
                <w:sz w:val="20"/>
                <w:szCs w:val="20"/>
                <w:color w:val="auto"/>
              </w:rPr>
            </w:pPr>
            <w:r>
              <w:rPr>
                <w:rFonts w:ascii="Arial" w:cs="Arial" w:eastAsia="Arial" w:hAnsi="Arial"/>
                <w:sz w:val="22"/>
                <w:szCs w:val="22"/>
                <w:color w:val="auto"/>
              </w:rPr>
              <w:t>2,094,891,305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991,038,099</w:t>
            </w:r>
          </w:p>
        </w:tc>
      </w:tr>
      <w:tr>
        <w:trPr>
          <w:trHeight w:val="297"/>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Provision for decline in value of inventories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60" w:type="dxa"/>
            <w:vAlign w:val="bottom"/>
          </w:tcPr>
          <w:p>
            <w:pPr>
              <w:spacing w:after="0"/>
              <w:rPr>
                <w:sz w:val="24"/>
                <w:szCs w:val="24"/>
                <w:color w:val="auto"/>
              </w:rPr>
            </w:pPr>
          </w:p>
        </w:tc>
        <w:tc>
          <w:tcPr>
            <w:tcW w:w="4220" w:type="dxa"/>
            <w:vAlign w:val="bottom"/>
            <w:gridSpan w:val="3"/>
          </w:tcPr>
          <w:p>
            <w:pPr>
              <w:ind w:left="140"/>
              <w:spacing w:after="0"/>
              <w:rPr>
                <w:sz w:val="20"/>
                <w:szCs w:val="20"/>
                <w:color w:val="auto"/>
              </w:rPr>
            </w:pPr>
            <w:r>
              <w:rPr>
                <w:rFonts w:ascii="Arial" w:cs="Arial" w:eastAsia="Arial" w:hAnsi="Arial"/>
                <w:sz w:val="22"/>
                <w:szCs w:val="22"/>
                <w:color w:val="auto"/>
              </w:rPr>
              <w:t>and accounts receivable</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6"/>
          </w:tcPr>
          <w:p>
            <w:pPr>
              <w:jc w:val="right"/>
              <w:spacing w:after="0"/>
              <w:rPr>
                <w:sz w:val="20"/>
                <w:szCs w:val="20"/>
                <w:color w:val="auto"/>
              </w:rPr>
            </w:pPr>
            <w:r>
              <w:rPr>
                <w:rFonts w:ascii="Arial" w:cs="Arial" w:eastAsia="Arial" w:hAnsi="Arial"/>
                <w:sz w:val="22"/>
                <w:szCs w:val="22"/>
                <w:color w:val="auto"/>
              </w:rPr>
              <w:t>33,735,945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35,732,236</w:t>
            </w:r>
          </w:p>
        </w:tc>
      </w:tr>
      <w:tr>
        <w:trPr>
          <w:trHeight w:val="308"/>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Others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color w:val="auto"/>
              </w:rPr>
              <w:t>263,834,855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256,708,529</w:t>
            </w:r>
          </w:p>
        </w:tc>
      </w:tr>
      <w:tr>
        <w:trPr>
          <w:trHeight w:val="291"/>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Subtotal</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color w:val="auto"/>
              </w:rPr>
              <w:t>3,802,869,549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2,508,131,265</w:t>
            </w:r>
          </w:p>
        </w:tc>
      </w:tr>
      <w:tr>
        <w:trPr>
          <w:trHeight w:val="554"/>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Deferred tax liabilities: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6"/>
          </w:tcPr>
          <w:p>
            <w:pPr>
              <w:jc w:val="right"/>
              <w:spacing w:after="0"/>
              <w:rPr>
                <w:sz w:val="20"/>
                <w:szCs w:val="20"/>
                <w:color w:val="auto"/>
              </w:rPr>
            </w:pPr>
            <w:r>
              <w:rPr>
                <w:rFonts w:ascii="Arial" w:cs="Arial" w:eastAsia="Arial" w:hAnsi="Arial"/>
                <w:sz w:val="22"/>
                <w:szCs w:val="22"/>
                <w:color w:val="auto"/>
              </w:rPr>
              <w:t>(186,785)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5"/>
          </w:tcPr>
          <w:p>
            <w:pPr>
              <w:jc w:val="right"/>
              <w:spacing w:after="0"/>
              <w:rPr>
                <w:sz w:val="20"/>
                <w:szCs w:val="20"/>
                <w:color w:val="auto"/>
              </w:rPr>
            </w:pPr>
            <w:r>
              <w:rPr>
                <w:rFonts w:ascii="Arial" w:cs="Arial" w:eastAsia="Arial" w:hAnsi="Arial"/>
                <w:sz w:val="22"/>
                <w:szCs w:val="22"/>
                <w:color w:val="auto"/>
              </w:rPr>
              <w:t>(498,729)</w:t>
            </w:r>
          </w:p>
        </w:tc>
      </w:tr>
      <w:tr>
        <w:trPr>
          <w:trHeight w:val="48"/>
        </w:trPr>
        <w:tc>
          <w:tcPr>
            <w:tcW w:w="106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613"/>
        </w:trPr>
        <w:tc>
          <w:tcPr>
            <w:tcW w:w="1060" w:type="dxa"/>
            <w:vAlign w:val="bottom"/>
          </w:tcPr>
          <w:p>
            <w:pPr>
              <w:spacing w:after="0"/>
              <w:rPr>
                <w:sz w:val="24"/>
                <w:szCs w:val="24"/>
                <w:color w:val="auto"/>
              </w:rPr>
            </w:pPr>
          </w:p>
        </w:tc>
        <w:tc>
          <w:tcPr>
            <w:tcW w:w="4220" w:type="dxa"/>
            <w:vAlign w:val="bottom"/>
            <w:gridSpan w:val="3"/>
          </w:tcPr>
          <w:p>
            <w:pPr>
              <w:spacing w:after="0"/>
              <w:rPr>
                <w:sz w:val="20"/>
                <w:szCs w:val="20"/>
                <w:color w:val="auto"/>
              </w:rPr>
            </w:pPr>
            <w:r>
              <w:rPr>
                <w:rFonts w:ascii="Arial" w:cs="Arial" w:eastAsia="Arial" w:hAnsi="Arial"/>
                <w:sz w:val="22"/>
                <w:szCs w:val="22"/>
                <w:color w:val="auto"/>
              </w:rPr>
              <w:t>Net deferred tax assets</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color w:val="auto"/>
              </w:rPr>
              <w:t>3,802,682,764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color w:val="auto"/>
              </w:rPr>
              <w:t>2,507,632,536</w:t>
            </w:r>
          </w:p>
        </w:tc>
      </w:tr>
      <w:tr>
        <w:trPr>
          <w:trHeight w:val="20"/>
        </w:trPr>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1"/>
          <w:szCs w:val="21"/>
          <w:color w:val="auto"/>
        </w:rPr>
        <w:t>RELATED PARTY TRANSACTIONS AND BALANCES</w:t>
      </w:r>
    </w:p>
    <w:p>
      <w:pPr>
        <w:spacing w:after="0" w:line="260" w:lineRule="exact"/>
        <w:rPr>
          <w:sz w:val="20"/>
          <w:szCs w:val="20"/>
          <w:color w:val="auto"/>
        </w:rPr>
      </w:pPr>
    </w:p>
    <w:p>
      <w:pPr>
        <w:jc w:val="both"/>
        <w:ind w:left="620"/>
        <w:spacing w:after="0" w:line="312" w:lineRule="auto"/>
        <w:rPr>
          <w:sz w:val="20"/>
          <w:szCs w:val="20"/>
          <w:color w:val="auto"/>
        </w:rPr>
      </w:pPr>
      <w:r>
        <w:rPr>
          <w:rFonts w:ascii="Arial" w:cs="Arial" w:eastAsia="Arial" w:hAnsi="Arial"/>
          <w:sz w:val="19"/>
          <w:szCs w:val="19"/>
          <w:color w:val="auto"/>
        </w:rPr>
        <w:t>Sales to affiliates amounted to RMB 193,939,189,688, RMB 168,477,769,109 and RMB 157,556,930,214 for the years ended December 31, 2016, 2015 and 2014, respectively. Interest income from affiliates amounted to RMB 57,763,725, RMB 152,427,022 and RMB 258,420,591 for the years ended December 31, 2016, 2015 and 2014, respectively.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11420"/>
          </w:cols>
          <w:pgMar w:left="240" w:top="126" w:right="239" w:bottom="1440" w:gutter="0" w:footer="0" w:header="0"/>
          <w:type w:val="continuous"/>
        </w:sectPr>
      </w:pPr>
    </w:p>
    <w:bookmarkStart w:id="140" w:name="page141"/>
    <w:bookmarkEnd w:id="140"/>
    <w:p>
      <w:pPr>
        <w:jc w:val="center"/>
        <w:spacing w:after="0" w:line="256" w:lineRule="auto"/>
        <w:rPr>
          <w:sz w:val="20"/>
          <w:szCs w:val="20"/>
          <w:color w:val="auto"/>
        </w:rPr>
      </w:pPr>
      <w:r>
        <w:rPr>
          <w:rFonts w:ascii="Arial" w:cs="Arial" w:eastAsia="Arial" w:hAnsi="Arial"/>
          <w:sz w:val="22"/>
          <w:szCs w:val="22"/>
          <w:b w:val="1"/>
          <w:bCs w:val="1"/>
          <w:color w:val="auto"/>
        </w:rPr>
        <w:t xml:space="preserve">SAIC GENERAL MOTORS CORP., LTD AND SUBSIDIARIES </w:t>
      </w:r>
      <w:r>
        <w:rPr>
          <w:rFonts w:ascii="Arial" w:cs="Arial" w:eastAsia="Arial" w:hAnsi="Arial"/>
          <w:sz w:val="22"/>
          <w:szCs w:val="22"/>
          <w:color w:val="auto"/>
        </w:rPr>
        <w:t>December 31, 2016, 2015 and 2014 Notes to The Consolidated Financial Statements</w:t>
      </w:r>
    </w:p>
    <w:p>
      <w:pPr>
        <w:spacing w:after="0" w:line="200" w:lineRule="exact"/>
        <w:rPr>
          <w:sz w:val="20"/>
          <w:szCs w:val="20"/>
          <w:color w:val="auto"/>
        </w:rPr>
      </w:pPr>
    </w:p>
    <w:p>
      <w:pPr>
        <w:spacing w:after="0" w:line="266"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54" w:lineRule="exact"/>
        <w:rPr>
          <w:rFonts w:ascii="Arial" w:cs="Arial" w:eastAsia="Arial" w:hAnsi="Arial"/>
          <w:sz w:val="22"/>
          <w:szCs w:val="22"/>
          <w:color w:val="auto"/>
        </w:rPr>
      </w:pPr>
    </w:p>
    <w:p>
      <w:pPr>
        <w:ind w:left="900" w:hanging="244"/>
        <w:spacing w:after="0"/>
        <w:tabs>
          <w:tab w:leader="none" w:pos="900"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Lease commitments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Future minimum lease payments under non-cancelable operating lease as of December 31, 2016 are (RMB in thousands):</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275"/>
        </w:trPr>
        <w:tc>
          <w:tcPr>
            <w:tcW w:w="8480" w:type="dxa"/>
            <w:vAlign w:val="bottom"/>
          </w:tcPr>
          <w:p>
            <w:pPr>
              <w:spacing w:after="0"/>
              <w:rPr>
                <w:sz w:val="20"/>
                <w:szCs w:val="20"/>
                <w:color w:val="auto"/>
              </w:rPr>
            </w:pPr>
            <w:r>
              <w:rPr>
                <w:rFonts w:ascii="Arial" w:cs="Arial" w:eastAsia="Arial" w:hAnsi="Arial"/>
                <w:sz w:val="22"/>
                <w:szCs w:val="22"/>
                <w:color w:val="auto"/>
              </w:rPr>
              <w:t>Within one year</w:t>
            </w:r>
          </w:p>
        </w:tc>
        <w:tc>
          <w:tcPr>
            <w:tcW w:w="1500" w:type="dxa"/>
            <w:vAlign w:val="bottom"/>
          </w:tcPr>
          <w:p>
            <w:pPr>
              <w:jc w:val="right"/>
              <w:spacing w:after="0"/>
              <w:rPr>
                <w:sz w:val="20"/>
                <w:szCs w:val="20"/>
                <w:color w:val="auto"/>
              </w:rPr>
            </w:pPr>
            <w:r>
              <w:rPr>
                <w:rFonts w:ascii="Arial" w:cs="Arial" w:eastAsia="Arial" w:hAnsi="Arial"/>
                <w:sz w:val="22"/>
                <w:szCs w:val="22"/>
                <w:color w:val="auto"/>
              </w:rPr>
              <w:t>22,450</w:t>
            </w:r>
          </w:p>
        </w:tc>
      </w:tr>
      <w:tr>
        <w:trPr>
          <w:trHeight w:val="308"/>
        </w:trPr>
        <w:tc>
          <w:tcPr>
            <w:tcW w:w="8480" w:type="dxa"/>
            <w:vAlign w:val="bottom"/>
          </w:tcPr>
          <w:p>
            <w:pPr>
              <w:spacing w:after="0"/>
              <w:rPr>
                <w:sz w:val="20"/>
                <w:szCs w:val="20"/>
                <w:color w:val="auto"/>
              </w:rPr>
            </w:pPr>
            <w:r>
              <w:rPr>
                <w:rFonts w:ascii="Arial" w:cs="Arial" w:eastAsia="Arial" w:hAnsi="Arial"/>
                <w:sz w:val="22"/>
                <w:szCs w:val="22"/>
                <w:color w:val="auto"/>
              </w:rPr>
              <w:t>After one year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158,511</w:t>
            </w:r>
          </w:p>
        </w:tc>
      </w:tr>
      <w:tr>
        <w:trPr>
          <w:trHeight w:val="295"/>
        </w:trPr>
        <w:tc>
          <w:tcPr>
            <w:tcW w:w="8480" w:type="dxa"/>
            <w:vAlign w:val="bottom"/>
          </w:tcPr>
          <w:p>
            <w:pPr>
              <w:spacing w:after="0"/>
              <w:rPr>
                <w:sz w:val="20"/>
                <w:szCs w:val="20"/>
                <w:color w:val="auto"/>
              </w:rPr>
            </w:pPr>
            <w:r>
              <w:rPr>
                <w:rFonts w:ascii="Arial" w:cs="Arial" w:eastAsia="Arial" w:hAnsi="Arial"/>
                <w:sz w:val="22"/>
                <w:szCs w:val="22"/>
                <w:color w:val="auto"/>
              </w:rPr>
              <w:t>Total minimum lease payments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180,961</w:t>
            </w:r>
          </w:p>
        </w:tc>
      </w:tr>
      <w:tr>
        <w:trPr>
          <w:trHeight w:val="20"/>
        </w:trPr>
        <w:tc>
          <w:tcPr>
            <w:tcW w:w="8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Capital commitments</w:t>
      </w:r>
    </w:p>
    <w:p>
      <w:pPr>
        <w:spacing w:after="0" w:line="226" w:lineRule="exact"/>
        <w:rPr>
          <w:sz w:val="20"/>
          <w:szCs w:val="20"/>
          <w:color w:val="auto"/>
        </w:rPr>
      </w:pPr>
    </w:p>
    <w:p>
      <w:pPr>
        <w:jc w:val="both"/>
        <w:ind w:left="620" w:right="20"/>
        <w:spacing w:after="0" w:line="253" w:lineRule="auto"/>
        <w:rPr>
          <w:sz w:val="20"/>
          <w:szCs w:val="20"/>
          <w:color w:val="auto"/>
        </w:rPr>
      </w:pPr>
      <w:r>
        <w:rPr>
          <w:rFonts w:ascii="Arial" w:cs="Arial" w:eastAsia="Arial" w:hAnsi="Arial"/>
          <w:sz w:val="22"/>
          <w:szCs w:val="22"/>
          <w:color w:val="auto"/>
        </w:rPr>
        <w:t>As of December 31, 2016, the Company has entered into various firm purchase commitments for the acquisition of long-lived assets, which have not been recognized in the financial statements, totalling RMB 10,144,068,000 (2015: RMB 13,246,787,000).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- 19 -</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1"/>
    </w:lvl>
    <w:lvl w:ilvl="1">
      <w:lvlJc w:val="left"/>
      <w:lvlText w:val="*"/>
      <w:numFmt w:val="bullet"/>
      <w:start w:val="1"/>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3"/>
    </w:lvl>
  </w:abstractNum>
  <w:abstractNum w:abstractNumId="9">
    <w:nsid w:val="6CEAF087"/>
    <w:multiLevelType w:val="hybridMultilevel"/>
    <w:lvl w:ilvl="0">
      <w:lvlJc w:val="left"/>
      <w:lvlText w:val="(%1)"/>
      <w:numFmt w:val="lowerLetter"/>
      <w:start w:val="1"/>
    </w:lvl>
  </w:abstractNum>
  <w:abstractNum w:abstractNumId="10">
    <w:nsid w:val="22221A70"/>
    <w:multiLevelType w:val="hybridMultilevel"/>
    <w:lvl w:ilvl="0">
      <w:lvlJc w:val="left"/>
      <w:lvlText w:val="(%1)"/>
      <w:numFmt w:val="decimal"/>
      <w:start w:val="16"/>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decimal"/>
      <w:start w:val="12"/>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lvl w:ilvl="1">
      <w:lvlJc w:val="left"/>
      <w:lvlText w:val="*"/>
      <w:numFmt w:val="bullet"/>
      <w:start w:val="1"/>
    </w:lvl>
  </w:abstractNum>
  <w:abstractNum w:abstractNumId="26">
    <w:nsid w:val="580BD78F"/>
    <w:multiLevelType w:val="hybridMultilevel"/>
    <w:lvl w:ilvl="0">
      <w:lvlJc w:val="left"/>
      <w:lvlText w:val="%1."/>
      <w:numFmt w:val="decimal"/>
      <w:start w:val="1"/>
    </w:lvl>
    <w:lvl w:ilvl="1">
      <w:lvlJc w:val="left"/>
      <w:lvlText w:val="%2)"/>
      <w:numFmt w:val="lowerLetter"/>
      <w:start w:val="1"/>
    </w:lvl>
  </w:abstractNum>
  <w:abstractNum w:abstractNumId="27">
    <w:nsid w:val="153EA438"/>
    <w:multiLevelType w:val="hybridMultilevel"/>
    <w:lvl w:ilvl="0">
      <w:lvlJc w:val="left"/>
      <w:lvlText w:val="%1."/>
      <w:numFmt w:val="decimal"/>
      <w:start w:val="1"/>
    </w:lvl>
    <w:lvl w:ilvl="1">
      <w:lvlJc w:val="left"/>
      <w:lvlText w:val="%2)"/>
      <w:numFmt w:val="lowerLetter"/>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lvl w:ilvl="1">
      <w:lvlJc w:val="left"/>
      <w:lvlText w:val="(%2)"/>
      <w:numFmt w:val="lowerLetter"/>
      <w:start w:val="1"/>
    </w:lvl>
  </w:abstractNum>
  <w:abstractNum w:abstractNumId="30">
    <w:nsid w:val="6A2342EC"/>
    <w:multiLevelType w:val="hybridMultilevel"/>
    <w:lvl w:ilvl="0">
      <w:lvlJc w:val="left"/>
      <w:lvlText w:val="(%1)"/>
      <w:numFmt w:val="lowerLetter"/>
      <w:start w:val="2"/>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decimal"/>
      <w:start w:val="1"/>
    </w:lvl>
    <w:lvl w:ilvl="1">
      <w:lvlJc w:val="left"/>
      <w:lvlText w:val="(%2)"/>
      <w:numFmt w:val="lowerLetter"/>
      <w:start w:val="5"/>
    </w:lvl>
  </w:abstractNum>
  <w:abstractNum w:abstractNumId="34">
    <w:nsid w:val="2CD89A32"/>
    <w:multiLevelType w:val="hybridMultilevel"/>
    <w:lvl w:ilvl="0">
      <w:lvlJc w:val="left"/>
      <w:lvlText w:val="(%1)"/>
      <w:numFmt w:val="lowerLetter"/>
      <w:start w:val="6"/>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lowerLetter"/>
      <w:start w:val="8"/>
    </w:lvl>
  </w:abstractNum>
  <w:abstractNum w:abstractNumId="37">
    <w:nsid w:val="4B588F54"/>
    <w:multiLevelType w:val="hybridMultilevel"/>
    <w:lvl w:ilvl="0">
      <w:lvlJc w:val="left"/>
      <w:lvlText w:val="%1."/>
      <w:numFmt w:val="decimal"/>
      <w:start w:val="1"/>
    </w:lvl>
    <w:lvl w:ilvl="1">
      <w:lvlJc w:val="left"/>
      <w:lvlText w:val="(%2)"/>
      <w:numFmt w:val="lowerRoman"/>
      <w:start w:val="1"/>
    </w:lvl>
  </w:abstractNum>
  <w:abstractNum w:abstractNumId="38">
    <w:nsid w:val="542289EC"/>
    <w:multiLevelType w:val="hybridMultilevel"/>
    <w:lvl w:ilvl="0">
      <w:lvlJc w:val="left"/>
      <w:lvlText w:val="(%1)"/>
      <w:numFmt w:val="lowerLetter"/>
      <w:start w:val="10"/>
    </w:lvl>
  </w:abstractNum>
  <w:abstractNum w:abstractNumId="39">
    <w:nsid w:val="6DE91B18"/>
    <w:multiLevelType w:val="hybridMultilevel"/>
    <w:lvl w:ilvl="0">
      <w:lvlJc w:val="left"/>
      <w:lvlText w:val="(%1)"/>
      <w:numFmt w:val="lowerLetter"/>
      <w:start w:val="11"/>
    </w:lvl>
  </w:abstractNum>
  <w:abstractNum w:abstractNumId="40">
    <w:nsid w:val="38437FDB"/>
    <w:multiLevelType w:val="hybridMultilevel"/>
    <w:lvl w:ilvl="0">
      <w:lvlJc w:val="left"/>
      <w:lvlText w:val="%1."/>
      <w:numFmt w:val="decimal"/>
      <w:start w:val="1"/>
    </w:lvl>
    <w:lvl w:ilvl="1">
      <w:lvlJc w:val="left"/>
      <w:lvlText w:val="(%2)"/>
      <w:numFmt w:val="lowerLetter"/>
      <w:start w:val="12"/>
    </w:lvl>
  </w:abstractNum>
  <w:abstractNum w:abstractNumId="41">
    <w:nsid w:val="7644A45C"/>
    <w:multiLevelType w:val="hybridMultilevel"/>
    <w:lvl w:ilvl="0">
      <w:lvlJc w:val="left"/>
      <w:lvlText w:val="(%1)"/>
      <w:numFmt w:val="lowerLetter"/>
      <w:start w:val="13"/>
    </w:lvl>
  </w:abstractNum>
  <w:abstractNum w:abstractNumId="42">
    <w:nsid w:val="32FFF902"/>
    <w:multiLevelType w:val="hybridMultilevel"/>
    <w:lvl w:ilvl="0">
      <w:lvlJc w:val="left"/>
      <w:lvlText w:val="(%1)"/>
      <w:numFmt w:val="lowerLetter"/>
      <w:start w:val="14"/>
    </w:lvl>
  </w:abstractNum>
  <w:abstractNum w:abstractNumId="43">
    <w:nsid w:val="684A481A"/>
    <w:multiLevelType w:val="hybridMultilevel"/>
    <w:lvl w:ilvl="0">
      <w:lvlJc w:val="left"/>
      <w:lvlText w:val="(%1)"/>
      <w:numFmt w:val="lowerLetter"/>
      <w:start w:val="15"/>
    </w:lvl>
  </w:abstractNum>
  <w:abstractNum w:abstractNumId="44">
    <w:nsid w:val="579478FE"/>
    <w:multiLevelType w:val="hybridMultilevel"/>
    <w:lvl w:ilvl="0">
      <w:lvlJc w:val="left"/>
      <w:lvlText w:val="%1."/>
      <w:numFmt w:val="decimal"/>
      <w:start w:val="1"/>
    </w:lvl>
    <w:lvl w:ilvl="1">
      <w:lvlJc w:val="left"/>
      <w:lvlText w:val="(%2)"/>
      <w:numFmt w:val="lowerLetter"/>
      <w:start w:val="16"/>
    </w:lvl>
  </w:abstractNum>
  <w:abstractNum w:abstractNumId="45">
    <w:nsid w:val="749ABB43"/>
    <w:multiLevelType w:val="hybridMultilevel"/>
    <w:lvl w:ilvl="0">
      <w:lvlJc w:val="left"/>
      <w:lvlText w:val="(%1)"/>
      <w:numFmt w:val="lowerLetter"/>
      <w:start w:val="17"/>
    </w:lvl>
  </w:abstractNum>
  <w:abstractNum w:abstractNumId="46">
    <w:nsid w:val="3DC240FB"/>
    <w:multiLevelType w:val="hybridMultilevel"/>
    <w:lvl w:ilvl="0">
      <w:lvlJc w:val="left"/>
      <w:lvlText w:val="(%1)"/>
      <w:numFmt w:val="lowerLetter"/>
      <w:start w:val="18"/>
    </w:lvl>
  </w:abstractNum>
  <w:abstractNum w:abstractNumId="47">
    <w:nsid w:val="1BA026FA"/>
    <w:multiLevelType w:val="hybridMultilevel"/>
    <w:lvl w:ilvl="0">
      <w:lvlJc w:val="left"/>
      <w:lvlText w:val="(%1)"/>
      <w:numFmt w:val="lowerLetter"/>
      <w:start w:val="19"/>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20"/>
    </w:lvl>
  </w:abstractNum>
  <w:abstractNum w:abstractNumId="50">
    <w:nsid w:val="12E685FB"/>
    <w:multiLevelType w:val="hybridMultilevel"/>
    <w:lvl w:ilvl="0">
      <w:lvlJc w:val="left"/>
      <w:lvlText w:val="(%1)"/>
      <w:numFmt w:val="lowerLetter"/>
      <w:start w:val="21"/>
    </w:lvl>
  </w:abstractNum>
  <w:abstractNum w:abstractNumId="51">
    <w:nsid w:val="70C6A529"/>
    <w:multiLevelType w:val="hybridMultilevel"/>
    <w:lvl w:ilvl="0">
      <w:lvlJc w:val="left"/>
      <w:lvlText w:val="(%1)"/>
      <w:numFmt w:val="lowerRoman"/>
      <w:start w:val="5"/>
    </w:lvl>
  </w:abstractNum>
  <w:abstractNum w:abstractNumId="52">
    <w:nsid w:val="520EEDD1"/>
    <w:multiLevelType w:val="hybridMultilevel"/>
    <w:lvl w:ilvl="0">
      <w:lvlJc w:val="left"/>
      <w:lvlText w:val="%1."/>
      <w:numFmt w:val="decimal"/>
      <w:start w:val="1"/>
    </w:lvl>
    <w:lvl w:ilvl="1">
      <w:lvlJc w:val="left"/>
      <w:lvlText w:val="(%2)"/>
      <w:numFmt w:val="lowerLetter"/>
      <w:start w:val="23"/>
    </w:lvl>
  </w:abstractNum>
  <w:abstractNum w:abstractNumId="53">
    <w:nsid w:val="374A3FE6"/>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2019-12-29T07:55:33Z</dcterms:created>
  <dcterms:modified xsi:type="dcterms:W3CDTF">2019-12-29T07:55:33Z</dcterms:modified>
</cp:coreProperties>
</file>