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12"/>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71"/>
              <w:spacing w:after="0"/>
              <w:rPr>
                <w:sz w:val="20"/>
                <w:szCs w:val="20"/>
                <w:color w:val="auto"/>
              </w:rPr>
            </w:pPr>
            <w:r>
              <w:rPr>
                <w:rFonts w:ascii="Arial" w:cs="Arial" w:eastAsia="Arial" w:hAnsi="Arial"/>
                <w:sz w:val="18"/>
                <w:szCs w:val="18"/>
                <w:color w:val="0000FF"/>
                <w:w w:val="93"/>
              </w:rPr>
              <w:t>125</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47,067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71"/>
              <w:spacing w:after="0"/>
              <w:rPr>
                <w:sz w:val="20"/>
                <w:szCs w:val="20"/>
                <w:color w:val="auto"/>
              </w:rPr>
            </w:pPr>
            <w:r>
              <w:rPr>
                <w:rFonts w:ascii="Arial" w:cs="Arial" w:eastAsia="Arial" w:hAnsi="Arial"/>
                <w:sz w:val="18"/>
                <w:szCs w:val="18"/>
                <w:color w:val="0000FF"/>
                <w:w w:val="79"/>
              </w:rPr>
              <w:t>66</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47,001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71"/>
              <w:spacing w:after="0"/>
              <w:rPr>
                <w:sz w:val="20"/>
                <w:szCs w:val="20"/>
                <w:color w:val="auto"/>
              </w:rPr>
            </w:pPr>
            <w:r>
              <w:rPr>
                <w:rFonts w:ascii="Arial" w:cs="Arial" w:eastAsia="Arial" w:hAnsi="Arial"/>
                <w:sz w:val="18"/>
                <w:szCs w:val="18"/>
                <w:color w:val="0000FF"/>
                <w:w w:val="79"/>
              </w:rPr>
              <w:t>59</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46,942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13"/>
              <w:spacing w:after="0"/>
              <w:rPr>
                <w:sz w:val="20"/>
                <w:szCs w:val="20"/>
                <w:color w:val="auto"/>
              </w:rPr>
            </w:pPr>
            <w:r>
              <w:rPr>
                <w:rFonts w:ascii="Arial" w:cs="Arial" w:eastAsia="Arial" w:hAnsi="Arial"/>
                <w:sz w:val="18"/>
                <w:szCs w:val="18"/>
                <w:color w:val="0000FF"/>
              </w:rPr>
              <w:t>125</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06/30/2016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125</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The portion of this award currently payable was settled on June 30, 2016 in cash, less a portion withheld for taxes.</w:t>
      </w:r>
    </w:p>
    <w:p>
      <w:pPr>
        <w:spacing w:after="0" w:line="30" w:lineRule="exact"/>
        <w:rPr>
          <w:rFonts w:ascii="Arial" w:cs="Arial" w:eastAsia="Arial" w:hAnsi="Arial"/>
          <w:sz w:val="14"/>
          <w:szCs w:val="14"/>
          <w:color w:val="008000"/>
        </w:rPr>
      </w:pPr>
    </w:p>
    <w:p>
      <w:pPr>
        <w:ind w:left="40" w:right="1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$28.68.</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07/05/2016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Stevens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2019-12-08T19:59:14Z</dcterms:created>
  <dcterms:modified xsi:type="dcterms:W3CDTF">2019-12-08T19:59:14Z</dcterms:modified>
</cp:coreProperties>
</file>