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7046595" cy="5070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7047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MOTT RANDALL D</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20"/>
        <w:spacing w:after="0" w:line="323" w:lineRule="auto"/>
        <w:rPr>
          <w:sz w:val="20"/>
          <w:szCs w:val="20"/>
          <w:color w:val="auto"/>
        </w:rPr>
      </w:pPr>
      <w:r>
        <w:rPr>
          <w:rFonts w:ascii="Arial" w:cs="Arial" w:eastAsia="Arial" w:hAnsi="Arial"/>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06/09/2021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0" w:right="640" w:firstLine="10"/>
        <w:spacing w:after="0" w:line="237"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0" w:type="dxa"/>
        <w:tblCellMar>
          <w:top w:w="0" w:type="dxa"/>
          <w:left w:w="0" w:type="dxa"/>
          <w:bottom w:w="0" w:type="dxa"/>
          <w:right w:w="0" w:type="dxa"/>
        </w:tblCellMar>
      </w:tblPr>
      <w:tr>
        <w:trPr>
          <w:trHeight w:val="154"/>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90"/>
        <w:spacing w:after="0"/>
        <w:rPr>
          <w:sz w:val="20"/>
          <w:szCs w:val="20"/>
          <w:color w:val="auto"/>
        </w:rPr>
      </w:pPr>
      <w:r>
        <w:rPr>
          <w:rFonts w:ascii="Arial" w:cs="Arial" w:eastAsia="Arial" w:hAnsi="Arial"/>
          <w:sz w:val="17"/>
          <w:szCs w:val="17"/>
          <w:color w:val="0000FF"/>
        </w:rPr>
        <w:t>Executive Vice President &amp; CIO</w:t>
      </w:r>
    </w:p>
    <w:p>
      <w:pPr>
        <w:spacing w:after="0" w:line="429" w:lineRule="exact"/>
        <w:rPr>
          <w:sz w:val="24"/>
          <w:szCs w:val="24"/>
          <w:color w:val="auto"/>
        </w:rPr>
      </w:pPr>
    </w:p>
    <w:p>
      <w:pPr>
        <w:sectPr>
          <w:pgSz w:w="11900" w:h="16838" w:orient="portrait"/>
          <w:cols w:equalWidth="0" w:num="3">
            <w:col w:w="3180" w:space="720"/>
            <w:col w:w="3110" w:space="720"/>
            <w:col w:w="335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700" w:type="dxa"/>
            <w:vAlign w:val="bottom"/>
            <w:gridSpan w:val="6"/>
          </w:tcPr>
          <w:p>
            <w:pPr>
              <w:jc w:val="center"/>
              <w:ind w:right="97"/>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620" w:type="dxa"/>
            <w:vAlign w:val="bottom"/>
            <w:gridSpan w:val="10"/>
          </w:tcPr>
          <w:p>
            <w:pPr>
              <w:ind w:left="26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2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95"/>
              </w:rPr>
              <w:t>MI</w:t>
            </w:r>
          </w:p>
        </w:tc>
        <w:tc>
          <w:tcPr>
            <w:tcW w:w="980" w:type="dxa"/>
            <w:vAlign w:val="bottom"/>
          </w:tcPr>
          <w:p>
            <w:pPr>
              <w:spacing w:after="0"/>
              <w:rPr>
                <w:sz w:val="11"/>
                <w:szCs w:val="11"/>
                <w:color w:val="auto"/>
              </w:rPr>
            </w:pP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718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720"/>
              <w:spacing w:after="0" w:line="12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w w:val="98"/>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4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06/09/2021</w:t>
            </w: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91"/>
              </w:rPr>
              <w:t>M</w:t>
            </w: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7"/>
              </w:rPr>
              <w:t>6,000</w:t>
            </w:r>
            <w:r>
              <w:rPr>
                <w:rFonts w:ascii="Arial" w:cs="Arial" w:eastAsia="Arial" w:hAnsi="Arial"/>
                <w:sz w:val="21"/>
                <w:szCs w:val="21"/>
                <w:color w:val="008000"/>
                <w:w w:val="87"/>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31.32</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122,113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06/09/2021</w:t>
            </w: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12"/>
                <w:szCs w:val="12"/>
                <w:color w:val="0000FF"/>
                <w:w w:val="74"/>
              </w:rPr>
              <w:t>S</w:t>
            </w: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7"/>
              </w:rPr>
              <w:t>6,000</w:t>
            </w:r>
            <w:r>
              <w:rPr>
                <w:rFonts w:ascii="Arial" w:cs="Arial" w:eastAsia="Arial" w:hAnsi="Arial"/>
                <w:sz w:val="21"/>
                <w:szCs w:val="21"/>
                <w:color w:val="008000"/>
                <w:w w:val="87"/>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64.01</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116,113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0"/>
          </w:tcPr>
          <w:p>
            <w:pPr>
              <w:jc w:val="center"/>
              <w:ind w:left="45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ind w:left="380"/>
              <w:spacing w:after="0"/>
              <w:rPr>
                <w:sz w:val="20"/>
                <w:szCs w:val="20"/>
                <w:color w:val="auto"/>
              </w:rPr>
            </w:pPr>
            <w:r>
              <w:rPr>
                <w:rFonts w:ascii="Arial" w:cs="Arial" w:eastAsia="Arial" w:hAnsi="Arial"/>
                <w:sz w:val="13"/>
                <w:szCs w:val="13"/>
                <w:color w:val="0000FF"/>
              </w:rPr>
              <w:t>6,000</w:t>
            </w:r>
            <w:r>
              <w:rPr>
                <w:rFonts w:ascii="Arial" w:cs="Arial" w:eastAsia="Arial" w:hAnsi="Arial"/>
                <w:sz w:val="21"/>
                <w:szCs w:val="21"/>
                <w:color w:val="008000"/>
                <w:vertAlign w:val="superscript"/>
              </w:rPr>
              <w:t>(1)</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6,000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31.32</w:t>
            </w:r>
          </w:p>
        </w:tc>
        <w:tc>
          <w:tcPr>
            <w:tcW w:w="200" w:type="dxa"/>
            <w:vAlign w:val="bottom"/>
          </w:tcPr>
          <w:p>
            <w:pPr>
              <w:spacing w:after="0"/>
              <w:rPr>
                <w:sz w:val="5"/>
                <w:szCs w:val="5"/>
                <w:color w:val="auto"/>
              </w:rPr>
            </w:pPr>
          </w:p>
        </w:tc>
        <w:tc>
          <w:tcPr>
            <w:tcW w:w="980" w:type="dxa"/>
            <w:vAlign w:val="bottom"/>
            <w:vMerge w:val="restart"/>
          </w:tcPr>
          <w:p>
            <w:pPr>
              <w:ind w:left="180"/>
              <w:spacing w:after="0" w:line="141" w:lineRule="exact"/>
              <w:rPr>
                <w:sz w:val="20"/>
                <w:szCs w:val="20"/>
                <w:color w:val="auto"/>
              </w:rPr>
            </w:pPr>
            <w:r>
              <w:rPr>
                <w:rFonts w:ascii="Arial" w:cs="Arial" w:eastAsia="Arial" w:hAnsi="Arial"/>
                <w:sz w:val="13"/>
                <w:szCs w:val="13"/>
                <w:color w:val="0000FF"/>
              </w:rPr>
              <w:t>06/09/2021</w:t>
            </w: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w w:val="98"/>
              </w:rPr>
              <w:t>02/28/2025</w:t>
            </w: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vMerge w:val="restart"/>
          </w:tcPr>
          <w:p>
            <w:pPr>
              <w:ind w:left="220"/>
              <w:spacing w:after="0" w:line="141" w:lineRule="exact"/>
              <w:rPr>
                <w:sz w:val="20"/>
                <w:szCs w:val="20"/>
                <w:color w:val="auto"/>
              </w:rPr>
            </w:pPr>
            <w:r>
              <w:rPr>
                <w:rFonts w:ascii="Arial" w:cs="Arial" w:eastAsia="Arial" w:hAnsi="Arial"/>
                <w:sz w:val="13"/>
                <w:szCs w:val="13"/>
                <w:color w:val="0000FF"/>
              </w:rPr>
              <w:t>180,705</w:t>
            </w: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pursuant to a Rule 10b5-1 trading plan.</w:t>
      </w:r>
    </w:p>
    <w:p>
      <w:pPr>
        <w:spacing w:after="0" w:line="43" w:lineRule="exact"/>
        <w:rPr>
          <w:rFonts w:ascii="Arial" w:cs="Arial" w:eastAsia="Arial" w:hAnsi="Arial"/>
          <w:sz w:val="13"/>
          <w:szCs w:val="13"/>
          <w:color w:val="008000"/>
        </w:rPr>
      </w:pPr>
    </w:p>
    <w:p>
      <w:pPr>
        <w:ind w:left="40" w:right="140" w:firstLine="1"/>
        <w:spacing w:after="0" w:line="287"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$64.00 to $64.03, inclusive. The Reporting Person undertakes to provide to the SEC, GM and any security holder, upon request, full information regarding the number of shares sold at each price point within the ranges set forth in this footnote.</w:t>
      </w:r>
    </w:p>
    <w:p>
      <w:pPr>
        <w:spacing w:after="0" w:line="3" w:lineRule="exact"/>
        <w:rPr>
          <w:rFonts w:ascii="Arial" w:cs="Arial" w:eastAsia="Arial" w:hAnsi="Arial"/>
          <w:sz w:val="12"/>
          <w:szCs w:val="12"/>
          <w:color w:val="008000"/>
        </w:rPr>
      </w:pPr>
    </w:p>
    <w:p>
      <w:pPr>
        <w:ind w:left="40" w:right="28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July 28, 2015, the Reporting Person was granted 345,705 Stock Options: 40% vested on February 2017, the remaining 60% became exercisable in three equal installments on February 15, 2018, February 15, 2019, and February 15, 2020.</w:t>
      </w:r>
    </w:p>
    <w:p>
      <w:pPr>
        <w:sectPr>
          <w:pgSz w:w="11900" w:h="16838" w:orient="portrait"/>
          <w:cols w:equalWidth="0" w:num="1">
            <w:col w:w="11080"/>
          </w:cols>
          <w:pgMar w:left="460" w:top="221"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Tia Y. Turk,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1905</wp:posOffset>
            </wp:positionV>
            <wp:extent cx="1320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for Mr. Mott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-16510</wp:posOffset>
            </wp:positionV>
            <wp:extent cx="532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32765" cy="8255"/>
                    </a:xfrm>
                    <a:prstGeom prst="rect">
                      <a:avLst/>
                    </a:prstGeom>
                    <a:noFill/>
                  </pic:spPr>
                </pic:pic>
              </a:graphicData>
            </a:graphic>
          </wp:anchor>
        </w:drawing>
      </w:r>
    </w:p>
    <w:p>
      <w:pPr>
        <w:spacing w:after="0" w:line="4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40" w:firstLine="1"/>
        <w:spacing w:after="0" w:line="331"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4"/>
          <w:szCs w:val="14"/>
          <w:color w:val="0000FF"/>
        </w:rPr>
        <w:t>06/11/2021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9525</wp:posOffset>
            </wp:positionV>
            <wp:extent cx="478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680" w:space="12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949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2021-06-11T17:20:23Z</dcterms:created>
  <dcterms:modified xsi:type="dcterms:W3CDTF">2021-06-11T17:20:23Z</dcterms:modified>
</cp:coreProperties>
</file>