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UNITED STATES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3E3935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SCHEDULE 14A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Proxy Statement Pursuant to Section 14(a) of the Securities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right"/>
        <w:ind w:right="1139"/>
        <w:spacing w:after="0" w:line="150" w:lineRule="exact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3"/>
          <w:szCs w:val="13"/>
          <w:color w:val="3E3935"/>
        </w:rPr>
        <w:t>☑</w:t>
      </w:r>
      <w:r>
        <w:rPr>
          <w:rFonts w:ascii="Arial" w:cs="Arial" w:eastAsia="Arial" w:hAnsi="Arial"/>
          <w:sz w:val="13"/>
          <w:szCs w:val="13"/>
          <w:color w:val="3E3935"/>
        </w:rPr>
        <w:t xml:space="preserve"> 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3"/>
          <w:szCs w:val="13"/>
          <w:color w:val="3E3935"/>
        </w:rPr>
        <w:t xml:space="preserve">☐ </w:t>
      </w:r>
      <w:r>
        <w:rPr>
          <w:rFonts w:ascii="Arial" w:cs="Arial" w:eastAsia="Arial" w:hAnsi="Arial"/>
          <w:sz w:val="13"/>
          <w:szCs w:val="13"/>
          <w:color w:val="3E3935"/>
        </w:rPr>
        <w:t>Filed by a Party other than the Registrant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-95250</wp:posOffset>
            </wp:positionH>
            <wp:positionV relativeFrom="paragraph">
              <wp:posOffset>-156210</wp:posOffset>
            </wp:positionV>
            <wp:extent cx="6986905" cy="1028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90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Preliminary Proxy Statement</w:t>
      </w:r>
    </w:p>
    <w:p>
      <w:pPr>
        <w:spacing w:after="0" w:line="85" w:lineRule="exact"/>
        <w:rPr>
          <w:rFonts w:ascii="MS PGothic" w:cs="MS PGothic" w:eastAsia="MS PGothic" w:hAnsi="MS PGothic"/>
          <w:sz w:val="18"/>
          <w:szCs w:val="18"/>
          <w:color w:val="3E3935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CONFIDENTIAL, FOR USE OF THE COMMISSION ONLY (AS PERMITTED BY RULE 14a-6(e)(2))</w:t>
      </w:r>
    </w:p>
    <w:p>
      <w:pPr>
        <w:spacing w:after="0" w:line="85" w:lineRule="exact"/>
        <w:rPr>
          <w:rFonts w:ascii="MS PGothic" w:cs="MS PGothic" w:eastAsia="MS PGothic" w:hAnsi="MS PGothic"/>
          <w:sz w:val="18"/>
          <w:szCs w:val="18"/>
          <w:color w:val="3E3935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Soliciting Material under ss.240.14a-12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0071CE"/>
        </w:rPr>
        <w:t>GENERAL MOTORS COMPANY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3E3935"/>
        </w:rPr>
        <w:t>300 Renaissance Center, Detroit, Michigan 48265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3E3935"/>
        </w:rPr>
        <w:t>(Name of Registrant as Specified In Its Charter)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3E3935"/>
        </w:rPr>
        <w:t>(Name of Person(s) Filing Proxy Statement, if other than the Registrant)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-95250</wp:posOffset>
            </wp:positionH>
            <wp:positionV relativeFrom="paragraph">
              <wp:posOffset>-156210</wp:posOffset>
            </wp:positionV>
            <wp:extent cx="6986905" cy="1037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90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00" w:hanging="313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No fee required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3E3935"/>
        </w:rPr>
        <w:t>☐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Fee paid previously with preliminary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3E3935"/>
        </w:rPr>
        <w:t>☐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859"/>
          </w:cols>
          <w:pgMar w:left="600" w:top="234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☑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2023-04-28T13:49:05Z</dcterms:created>
  <dcterms:modified xsi:type="dcterms:W3CDTF">2023-04-28T13:49:05Z</dcterms:modified>
</cp:coreProperties>
</file>