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735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35139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Parks Douglas L</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940"/>
        <w:spacing w:after="0" w:line="321"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03/15/2021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53"/>
        <w:spacing w:after="0"/>
        <w:rPr>
          <w:sz w:val="20"/>
          <w:szCs w:val="20"/>
          <w:color w:val="auto"/>
        </w:rPr>
      </w:pPr>
      <w:r>
        <w:rPr>
          <w:rFonts w:ascii="Arial" w:cs="Arial" w:eastAsia="Arial" w:hAnsi="Arial"/>
          <w:sz w:val="17"/>
          <w:szCs w:val="17"/>
          <w:color w:val="0000FF"/>
        </w:rPr>
        <w:t>Executive Vice President</w:t>
      </w:r>
    </w:p>
    <w:p>
      <w:pPr>
        <w:spacing w:after="0" w:line="425" w:lineRule="exact"/>
        <w:rPr>
          <w:sz w:val="24"/>
          <w:szCs w:val="24"/>
          <w:color w:val="auto"/>
        </w:rPr>
      </w:pPr>
    </w:p>
    <w:p>
      <w:pPr>
        <w:sectPr>
          <w:pgSz w:w="11900" w:h="16838" w:orient="portrait"/>
          <w:cols w:equalWidth="0" w:num="3">
            <w:col w:w="3180" w:space="720"/>
            <w:col w:w="3107" w:space="720"/>
            <w:col w:w="3353"/>
          </w:cols>
          <w:pgMar w:left="460" w:top="220" w:right="359" w:bottom="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40" w:type="dxa"/>
            <w:vAlign w:val="bottom"/>
            <w:gridSpan w:val="5"/>
          </w:tcPr>
          <w:p>
            <w:pPr>
              <w:ind w:left="160"/>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10"/>
          </w:tcPr>
          <w:p>
            <w:pPr>
              <w:ind w:left="2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0" w:type="dxa"/>
            <w:vAlign w:val="bottom"/>
            <w:gridSpan w:val="10"/>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48265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3"/>
          </w:tcPr>
          <w:p>
            <w:pPr>
              <w:jc w:val="center"/>
              <w:ind w:left="528"/>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03/15/2021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22,193</w:t>
            </w:r>
            <w:r>
              <w:rPr>
                <w:rFonts w:ascii="Arial" w:cs="Arial" w:eastAsia="Arial" w:hAnsi="Arial"/>
                <w:sz w:val="21"/>
                <w:szCs w:val="21"/>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41.4</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89,144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03/15/2021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22,193</w:t>
            </w:r>
            <w:r>
              <w:rPr>
                <w:rFonts w:ascii="Arial" w:cs="Arial" w:eastAsia="Arial" w:hAnsi="Arial"/>
                <w:sz w:val="21"/>
                <w:szCs w:val="21"/>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58.99</w:t>
            </w:r>
            <w:r>
              <w:rPr>
                <w:rFonts w:ascii="Arial" w:cs="Arial" w:eastAsia="Arial" w:hAnsi="Arial"/>
                <w:sz w:val="21"/>
                <w:szCs w:val="21"/>
                <w:color w:val="008000"/>
                <w:w w:val="83"/>
                <w:vertAlign w:val="superscript"/>
              </w:rPr>
              <w:t>(2)</w:t>
            </w:r>
          </w:p>
        </w:tc>
        <w:tc>
          <w:tcPr>
            <w:tcW w:w="126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66,951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03/15/2021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12,299</w:t>
            </w:r>
            <w:r>
              <w:rPr>
                <w:rFonts w:ascii="Arial" w:cs="Arial" w:eastAsia="Arial" w:hAnsi="Arial"/>
                <w:sz w:val="21"/>
                <w:szCs w:val="21"/>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34.34</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79,250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03/15/2021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12,299</w:t>
            </w:r>
            <w:r>
              <w:rPr>
                <w:rFonts w:ascii="Arial" w:cs="Arial" w:eastAsia="Arial" w:hAnsi="Arial"/>
                <w:sz w:val="21"/>
                <w:szCs w:val="21"/>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59.02</w:t>
            </w:r>
            <w:r>
              <w:rPr>
                <w:rFonts w:ascii="Arial" w:cs="Arial" w:eastAsia="Arial" w:hAnsi="Arial"/>
                <w:sz w:val="21"/>
                <w:szCs w:val="21"/>
                <w:color w:val="008000"/>
                <w:w w:val="83"/>
                <w:vertAlign w:val="superscript"/>
              </w:rPr>
              <w:t>(3)</w:t>
            </w:r>
          </w:p>
        </w:tc>
        <w:tc>
          <w:tcPr>
            <w:tcW w:w="126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66,951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03/15/2021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22,776</w:t>
            </w:r>
            <w:r>
              <w:rPr>
                <w:rFonts w:ascii="Arial" w:cs="Arial" w:eastAsia="Arial" w:hAnsi="Arial"/>
                <w:sz w:val="21"/>
                <w:szCs w:val="21"/>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31.32</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89,727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03/15/2021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22,776</w:t>
            </w:r>
            <w:r>
              <w:rPr>
                <w:rFonts w:ascii="Arial" w:cs="Arial" w:eastAsia="Arial" w:hAnsi="Arial"/>
                <w:sz w:val="21"/>
                <w:szCs w:val="21"/>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58.9</w:t>
            </w:r>
            <w:r>
              <w:rPr>
                <w:rFonts w:ascii="Arial" w:cs="Arial" w:eastAsia="Arial" w:hAnsi="Arial"/>
                <w:sz w:val="21"/>
                <w:szCs w:val="21"/>
                <w:color w:val="008000"/>
                <w:w w:val="83"/>
                <w:vertAlign w:val="superscript"/>
              </w:rPr>
              <w:t>(4)</w:t>
            </w:r>
          </w:p>
        </w:tc>
        <w:tc>
          <w:tcPr>
            <w:tcW w:w="126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66,951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03/15/2021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21,544</w:t>
            </w:r>
            <w:r>
              <w:rPr>
                <w:rFonts w:ascii="Arial" w:cs="Arial" w:eastAsia="Arial" w:hAnsi="Arial"/>
                <w:sz w:val="21"/>
                <w:szCs w:val="21"/>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59.04</w:t>
            </w:r>
            <w:r>
              <w:rPr>
                <w:rFonts w:ascii="Arial" w:cs="Arial" w:eastAsia="Arial" w:hAnsi="Arial"/>
                <w:sz w:val="21"/>
                <w:szCs w:val="21"/>
                <w:color w:val="008000"/>
                <w:w w:val="83"/>
                <w:vertAlign w:val="superscript"/>
              </w:rPr>
              <w:t>(5)</w:t>
            </w:r>
          </w:p>
        </w:tc>
        <w:tc>
          <w:tcPr>
            <w:tcW w:w="126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45,407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03/15/2021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18,599</w:t>
            </w:r>
            <w:r>
              <w:rPr>
                <w:rFonts w:ascii="Arial" w:cs="Arial" w:eastAsia="Arial" w:hAnsi="Arial"/>
                <w:sz w:val="21"/>
                <w:szCs w:val="21"/>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59.07</w:t>
            </w:r>
            <w:r>
              <w:rPr>
                <w:rFonts w:ascii="Arial" w:cs="Arial" w:eastAsia="Arial" w:hAnsi="Arial"/>
                <w:sz w:val="21"/>
                <w:szCs w:val="21"/>
                <w:color w:val="008000"/>
                <w:w w:val="83"/>
                <w:vertAlign w:val="superscript"/>
              </w:rPr>
              <w:t>(6)</w:t>
            </w:r>
          </w:p>
        </w:tc>
        <w:tc>
          <w:tcPr>
            <w:tcW w:w="126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26,808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jc w:val="center"/>
              <w:ind w:left="428"/>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jc w:val="center"/>
              <w:ind w:right="399"/>
              <w:spacing w:after="0"/>
              <w:rPr>
                <w:sz w:val="20"/>
                <w:szCs w:val="20"/>
                <w:color w:val="auto"/>
              </w:rPr>
            </w:pPr>
            <w:r>
              <w:rPr>
                <w:rFonts w:ascii="Arial" w:cs="Arial" w:eastAsia="Arial" w:hAnsi="Arial"/>
                <w:sz w:val="11"/>
                <w:szCs w:val="11"/>
                <w:b w:val="1"/>
                <w:bCs w:val="1"/>
                <w:color w:val="auto"/>
                <w:w w:val="86"/>
              </w:rPr>
              <w:t>4.</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2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   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jc w:val="center"/>
              <w:ind w:right="379"/>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w w:val="91"/>
              </w:rPr>
              <w:t>22,193</w:t>
            </w:r>
            <w:r>
              <w:rPr>
                <w:rFonts w:ascii="Arial" w:cs="Arial" w:eastAsia="Arial" w:hAnsi="Arial"/>
                <w:sz w:val="21"/>
                <w:szCs w:val="21"/>
                <w:color w:val="008000"/>
                <w:w w:val="91"/>
                <w:vertAlign w:val="superscript"/>
              </w:rPr>
              <w:t>(1)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22,193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jc w:val="center"/>
              <w:ind w:left="83"/>
              <w:spacing w:after="0" w:line="137"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41.4</w:t>
            </w:r>
          </w:p>
        </w:tc>
        <w:tc>
          <w:tcPr>
            <w:tcW w:w="14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03/15/2021</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3"/>
                <w:szCs w:val="13"/>
                <w:color w:val="0000FF"/>
              </w:rPr>
              <w:t>02/11/2028</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61"/>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jc w:val="right"/>
              <w:ind w:right="81"/>
              <w:spacing w:after="0" w:line="13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4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w w:val="91"/>
              </w:rPr>
              <w:t>12,299</w:t>
            </w:r>
            <w:r>
              <w:rPr>
                <w:rFonts w:ascii="Arial" w:cs="Arial" w:eastAsia="Arial" w:hAnsi="Arial"/>
                <w:sz w:val="21"/>
                <w:szCs w:val="21"/>
                <w:color w:val="008000"/>
                <w:w w:val="91"/>
                <w:vertAlign w:val="superscript"/>
              </w:rPr>
              <w:t>(1)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12,299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jc w:val="center"/>
              <w:ind w:left="103"/>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34.34</w:t>
            </w:r>
          </w:p>
        </w:tc>
        <w:tc>
          <w:tcPr>
            <w:tcW w:w="14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03/15/2021</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3"/>
                <w:szCs w:val="13"/>
                <w:color w:val="0000FF"/>
              </w:rPr>
              <w:t>06/07/2027</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61"/>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jc w:val="right"/>
              <w:ind w:right="81"/>
              <w:spacing w:after="0" w:line="13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4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w w:val="91"/>
              </w:rPr>
              <w:t>22,776</w:t>
            </w:r>
            <w:r>
              <w:rPr>
                <w:rFonts w:ascii="Arial" w:cs="Arial" w:eastAsia="Arial" w:hAnsi="Arial"/>
                <w:sz w:val="21"/>
                <w:szCs w:val="21"/>
                <w:color w:val="008000"/>
                <w:w w:val="91"/>
                <w:vertAlign w:val="superscript"/>
              </w:rPr>
              <w:t>(1)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22,776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jc w:val="center"/>
              <w:ind w:left="103"/>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31.32</w:t>
            </w:r>
          </w:p>
        </w:tc>
        <w:tc>
          <w:tcPr>
            <w:tcW w:w="14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03/15/2021</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61"/>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jc w:val="right"/>
              <w:ind w:right="81"/>
              <w:spacing w:after="0" w:line="13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41" w:lineRule="exact"/>
        <w:rPr>
          <w:rFonts w:ascii="Arial" w:cs="Arial" w:eastAsia="Arial" w:hAnsi="Arial"/>
          <w:sz w:val="13"/>
          <w:szCs w:val="13"/>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$55.85 to $59.20,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$58.94 to $59.14,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$58.69 to $59.12,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$58.93 to $59.23,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$58.94 to $59.25,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38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February 13, 2018, under the Company's 2017 Long-Term Incentive Plan (the "LTIP"). The options became exercisable in three equal installments on February 13, 2019, February 13, 2020, and February 13, 2021.</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stock options were granted on June 7, 2017, under the Company's 2017 LTIP. The options became exercisable in three equal installments on February 14, 2018, February 14, 2019, and February 14, 2020.</w:t>
      </w:r>
    </w:p>
    <w:p>
      <w:pPr>
        <w:spacing w:after="0" w:line="64" w:lineRule="exact"/>
        <w:rPr>
          <w:rFonts w:ascii="Arial" w:cs="Arial" w:eastAsia="Arial" w:hAnsi="Arial"/>
          <w:sz w:val="11"/>
          <w:szCs w:val="11"/>
          <w:color w:val="008000"/>
        </w:rPr>
      </w:pPr>
    </w:p>
    <w:p>
      <w:pPr>
        <w:ind w:left="40" w:right="20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July 28, 2015, under the Company's 2014 LTIP. Forty percent of the options became exercisable on February 15, 2017; the remaining 60% became exercisable in three equal installments on February 15, 2018, February 15, 2019, and February 15, 2020.</w:t>
      </w:r>
    </w:p>
    <w:p>
      <w:pPr>
        <w:sectPr>
          <w:pgSz w:w="11900" w:h="16838" w:orient="portrait"/>
          <w:cols w:equalWidth="0" w:num="1">
            <w:col w:w="11080"/>
          </w:cols>
          <w:pgMar w:left="460" w:top="220" w:right="359" w:bottom="0" w:gutter="0" w:footer="0" w:header="0"/>
          <w:type w:val="continuous"/>
        </w:sectPr>
      </w:pPr>
    </w:p>
    <w:p>
      <w:pPr>
        <w:spacing w:after="0" w:line="1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6"/>
          <w:szCs w:val="16"/>
          <w:color w:val="0000FF"/>
        </w:rPr>
        <w:t>/s/ Tia Y. Turk, Attorney-in-Fact 03/17/2021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879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spacing w:after="0" w:line="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for Mr.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558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5816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2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330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2021-03-17T16:14:19Z</dcterms:created>
  <dcterms:modified xsi:type="dcterms:W3CDTF">2021-03-17T16:14:19Z</dcterms:modified>
</cp:coreProperties>
</file>