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jc w:val="center"/>
        <w:ind w:right="20"/>
        <w:spacing w:after="0"/>
        <w:tabs>
          <w:tab w:leader="none" w:pos="360" w:val="left"/>
        </w:tabs>
        <w:rPr>
          <w:sz w:val="20"/>
          <w:szCs w:val="20"/>
          <w:color w:val="auto"/>
        </w:rPr>
      </w:pPr>
      <w:r>
        <w:rPr>
          <w:rFonts w:ascii="Arial" w:cs="Arial" w:eastAsia="Arial" w:hAnsi="Arial"/>
          <w:sz w:val="36"/>
          <w:szCs w:val="36"/>
          <w:b w:val="1"/>
          <w:bCs w:val="1"/>
          <w:color w:val="77787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183515</wp:posOffset>
            </wp:positionV>
            <wp:extent cx="6955155"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437515"/>
                    </a:xfrm>
                    <a:prstGeom prst="rect">
                      <a:avLst/>
                    </a:prstGeom>
                    <a:noFill/>
                  </pic:spPr>
                </pic:pic>
              </a:graphicData>
            </a:graphic>
          </wp:anchor>
        </w:drawing>
        <w:t>G E N E R A L</w:t>
        <w:tab/>
        <w:t>M O T O R 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17468F"/>
        </w:rPr>
        <w:t>Dear Fellow General Motors Shareholder:</w:t>
      </w:r>
    </w:p>
    <w:p>
      <w:pPr>
        <w:spacing w:after="0" w:line="21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color w:val="auto"/>
        </w:rPr>
        <w:t xml:space="preserve">Your Board of Directors and management team have been executing a transformational plan that has delivered three years of record earnings and cash flow. </w:t>
      </w:r>
      <w:r>
        <w:rPr>
          <w:rFonts w:ascii="Arial" w:cs="Arial" w:eastAsia="Arial" w:hAnsi="Arial"/>
          <w:sz w:val="18"/>
          <w:szCs w:val="18"/>
          <w:color w:val="auto"/>
        </w:rPr>
        <w:t>Since 2013, EPS-diluted has grown 152% to $6.00, while EPS-diluted-adjusted has grown 92% to a</w:t>
      </w:r>
      <w:r>
        <w:rPr>
          <w:rFonts w:ascii="Arial" w:cs="Arial" w:eastAsia="Arial" w:hAnsi="Arial"/>
          <w:sz w:val="18"/>
          <w:szCs w:val="18"/>
          <w:b w:val="1"/>
          <w:bCs w:val="1"/>
          <w:color w:val="auto"/>
        </w:rPr>
        <w:t xml:space="preserve"> </w:t>
      </w:r>
      <w:r>
        <w:rPr>
          <w:rFonts w:ascii="Arial" w:cs="Arial" w:eastAsia="Arial" w:hAnsi="Arial"/>
          <w:sz w:val="18"/>
          <w:szCs w:val="18"/>
          <w:color w:val="auto"/>
        </w:rPr>
        <w:t>record $ 6.12 in 2016. Other 2016 records include net revenue, EBIT-adjusted, EBIT-adjusted margin and adjusted automotive free cash flow. As a result of these accomplishments, we expect to return approximately $7 billion in cash to shareholders in 2017.</w:t>
      </w:r>
    </w:p>
    <w:p>
      <w:pPr>
        <w:spacing w:after="0" w:line="196"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Now, just as we are successfully navigating a period of profound industry change, one of our shareholders, hedge fund Greenlight Capital, is asking you to approve a highly risky proposal to create an unprecedented dual-class share structure.</w:t>
      </w:r>
    </w:p>
    <w:p>
      <w:pPr>
        <w:spacing w:after="0" w:line="170"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b w:val="1"/>
          <w:bCs w:val="1"/>
          <w:color w:val="auto"/>
        </w:rPr>
        <w:t>Greenlight’s proposal would eliminate the dividend on your existing common stock and transfer it to a new security that Greenlight calls a “Dividend Share.” We believe Greenlight’s proposal is fundamentally flawed and, if implemented, would pose serious risks for the value of your investment. Specifically, we believe:</w:t>
      </w:r>
    </w:p>
    <w:p>
      <w:pPr>
        <w:spacing w:after="0" w:line="179" w:lineRule="exact"/>
        <w:rPr>
          <w:sz w:val="20"/>
          <w:szCs w:val="20"/>
          <w:color w:val="auto"/>
        </w:rPr>
      </w:pPr>
    </w:p>
    <w:p>
      <w:pPr>
        <w:ind w:left="1140" w:right="320"/>
        <w:spacing w:after="0" w:line="246" w:lineRule="auto"/>
        <w:rPr>
          <w:sz w:val="20"/>
          <w:szCs w:val="20"/>
          <w:color w:val="auto"/>
        </w:rPr>
      </w:pPr>
      <w:r>
        <w:rPr>
          <w:rFonts w:ascii="Arial" w:cs="Arial" w:eastAsia="Arial" w:hAnsi="Arial"/>
          <w:sz w:val="18"/>
          <w:szCs w:val="18"/>
          <w:color w:val="auto"/>
        </w:rPr>
        <w:t>The fundamental factors driving GM’s valuation are NOT addressed by Greenlight’s proposed financial engineering and would not increase value.</w:t>
      </w:r>
    </w:p>
    <w:p>
      <w:pPr>
        <w:spacing w:after="0" w:line="2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proposed dual-class structure would lead to the loss of GM’s investment-grade credit rating.</w:t>
      </w:r>
    </w:p>
    <w:p>
      <w:pPr>
        <w:spacing w:after="0" w:line="252" w:lineRule="exact"/>
        <w:rPr>
          <w:sz w:val="20"/>
          <w:szCs w:val="20"/>
          <w:color w:val="auto"/>
        </w:rPr>
      </w:pPr>
    </w:p>
    <w:p>
      <w:pPr>
        <w:ind w:left="1140" w:right="100"/>
        <w:spacing w:after="0" w:line="246" w:lineRule="auto"/>
        <w:rPr>
          <w:sz w:val="20"/>
          <w:szCs w:val="20"/>
          <w:color w:val="auto"/>
        </w:rPr>
      </w:pPr>
      <w:r>
        <w:rPr>
          <w:rFonts w:ascii="Arial" w:cs="Arial" w:eastAsia="Arial" w:hAnsi="Arial"/>
          <w:sz w:val="18"/>
          <w:szCs w:val="18"/>
          <w:color w:val="auto"/>
        </w:rPr>
        <w:t>Eliminating the dividend on GM’s existing common stock and issuing new Dividend Shares would lead to significant selling pressure and concern and confusion among our investors, depressing our share price.</w:t>
      </w:r>
    </w:p>
    <w:p>
      <w:pPr>
        <w:spacing w:after="0" w:line="223" w:lineRule="exact"/>
        <w:rPr>
          <w:sz w:val="20"/>
          <w:szCs w:val="20"/>
          <w:color w:val="auto"/>
        </w:rPr>
      </w:pPr>
    </w:p>
    <w:p>
      <w:pPr>
        <w:ind w:left="1140"/>
        <w:spacing w:after="0" w:line="246" w:lineRule="auto"/>
        <w:rPr>
          <w:sz w:val="20"/>
          <w:szCs w:val="20"/>
          <w:color w:val="auto"/>
        </w:rPr>
      </w:pPr>
      <w:r>
        <w:rPr>
          <w:rFonts w:ascii="Arial" w:cs="Arial" w:eastAsia="Arial" w:hAnsi="Arial"/>
          <w:sz w:val="18"/>
          <w:szCs w:val="18"/>
          <w:color w:val="auto"/>
        </w:rPr>
        <w:t>Distributing a large volume of an unprecedented security like the Dividend Shares, which have no established market depth or liquidity, also would likely lead to selling pressure.</w:t>
      </w:r>
    </w:p>
    <w:p>
      <w:pPr>
        <w:spacing w:after="0" w:line="223" w:lineRule="exact"/>
        <w:rPr>
          <w:sz w:val="20"/>
          <w:szCs w:val="20"/>
          <w:color w:val="auto"/>
        </w:rPr>
      </w:pPr>
    </w:p>
    <w:p>
      <w:pPr>
        <w:ind w:left="1140" w:right="320"/>
        <w:spacing w:after="0"/>
        <w:rPr>
          <w:sz w:val="20"/>
          <w:szCs w:val="20"/>
          <w:color w:val="auto"/>
        </w:rPr>
      </w:pPr>
      <w:r>
        <w:rPr>
          <w:rFonts w:ascii="Arial" w:cs="Arial" w:eastAsia="Arial" w:hAnsi="Arial"/>
          <w:sz w:val="18"/>
          <w:szCs w:val="18"/>
          <w:color w:val="auto"/>
        </w:rPr>
        <w:t>The proposed dual-class structure would create complex governance conflicts because the Board would be required to consider and respond to divergent expectations and interests of owners of two distinct classes of common stock in their strategic and capital allocation decision-making.</w:t>
      </w:r>
    </w:p>
    <w:p>
      <w:pPr>
        <w:spacing w:after="0" w:line="249"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Our analysis of the proposal was objective and thorough and included active participation by our CEO, CFO and Board over a seven-month period. We received expert input from three top-tier investment banks. We also formally engaged with the major credit rating agencies and presented the proposal to them fully and fairly.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GM’s Board candidates are exceptionally qualified individuals with the expertise necessary to drive shareholder value.</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To support its proposal, Greenlight has nominated a slate of three candidates to replace three of your highly qualified directors. After an objective review, consistent with our established process, the governance committee of your Board determined that GM’s candidates are the best qualified. We also believe a vote for any of Greenlight’s candidates is an endorsement of Greenlight’s flawed plan.</w:t>
      </w:r>
    </w:p>
    <w:p>
      <w:pPr>
        <w:spacing w:after="0" w:line="283" w:lineRule="exact"/>
        <w:rPr>
          <w:sz w:val="20"/>
          <w:szCs w:val="20"/>
          <w:color w:val="auto"/>
        </w:rPr>
      </w:pPr>
    </w:p>
    <w:p>
      <w:pPr>
        <w:jc w:val="center"/>
        <w:spacing w:after="0" w:line="245" w:lineRule="auto"/>
        <w:rPr>
          <w:sz w:val="20"/>
          <w:szCs w:val="20"/>
          <w:color w:val="auto"/>
        </w:rPr>
      </w:pPr>
      <w:r>
        <w:rPr>
          <w:rFonts w:ascii="Arial" w:cs="Arial" w:eastAsia="Arial" w:hAnsi="Arial"/>
          <w:sz w:val="27"/>
          <w:szCs w:val="27"/>
          <w:color w:val="77787B"/>
        </w:rPr>
        <w:t xml:space="preserve">For All These Reasons, Your Board Of Directors Strongly Recommends That You Vote </w:t>
      </w:r>
      <w:r>
        <w:rPr>
          <w:rFonts w:ascii="Arial" w:cs="Arial" w:eastAsia="Arial" w:hAnsi="Arial"/>
          <w:sz w:val="27"/>
          <w:szCs w:val="27"/>
          <w:b w:val="1"/>
          <w:bCs w:val="1"/>
          <w:u w:val="single" w:color="auto"/>
          <w:color w:val="17468F"/>
        </w:rPr>
        <w:t>AGAINST</w:t>
      </w:r>
      <w:r>
        <w:rPr>
          <w:rFonts w:ascii="Arial" w:cs="Arial" w:eastAsia="Arial" w:hAnsi="Arial"/>
          <w:sz w:val="27"/>
          <w:szCs w:val="27"/>
          <w:b w:val="1"/>
          <w:bCs w:val="1"/>
          <w:color w:val="17468F"/>
        </w:rPr>
        <w:t xml:space="preserve"> </w:t>
      </w:r>
      <w:r>
        <w:rPr>
          <w:rFonts w:ascii="Arial" w:cs="Arial" w:eastAsia="Arial" w:hAnsi="Arial"/>
          <w:sz w:val="27"/>
          <w:szCs w:val="27"/>
          <w:color w:val="77787B"/>
        </w:rPr>
        <w:t>The Greenlight Proposal And Vote</w:t>
      </w:r>
      <w:r>
        <w:rPr>
          <w:rFonts w:ascii="Arial" w:cs="Arial" w:eastAsia="Arial" w:hAnsi="Arial"/>
          <w:sz w:val="27"/>
          <w:szCs w:val="27"/>
          <w:b w:val="1"/>
          <w:bCs w:val="1"/>
          <w:color w:val="17468F"/>
        </w:rPr>
        <w:t xml:space="preserve"> </w:t>
      </w:r>
      <w:r>
        <w:rPr>
          <w:rFonts w:ascii="Arial" w:cs="Arial" w:eastAsia="Arial" w:hAnsi="Arial"/>
          <w:sz w:val="27"/>
          <w:szCs w:val="27"/>
          <w:b w:val="1"/>
          <w:bCs w:val="1"/>
          <w:u w:val="single" w:color="auto"/>
          <w:color w:val="17468F"/>
        </w:rPr>
        <w:t>FOR ALL</w:t>
      </w:r>
      <w:r>
        <w:rPr>
          <w:rFonts w:ascii="Arial" w:cs="Arial" w:eastAsia="Arial" w:hAnsi="Arial"/>
          <w:sz w:val="27"/>
          <w:szCs w:val="27"/>
          <w:b w:val="1"/>
          <w:bCs w:val="1"/>
          <w:color w:val="17468F"/>
        </w:rPr>
        <w:t xml:space="preserve"> </w:t>
      </w:r>
      <w:r>
        <w:rPr>
          <w:rFonts w:ascii="Arial" w:cs="Arial" w:eastAsia="Arial" w:hAnsi="Arial"/>
          <w:sz w:val="27"/>
          <w:szCs w:val="27"/>
          <w:color w:val="77787B"/>
        </w:rPr>
        <w:t>Of Your</w:t>
      </w:r>
      <w:r>
        <w:rPr>
          <w:rFonts w:ascii="Arial" w:cs="Arial" w:eastAsia="Arial" w:hAnsi="Arial"/>
          <w:sz w:val="27"/>
          <w:szCs w:val="27"/>
          <w:b w:val="1"/>
          <w:bCs w:val="1"/>
          <w:color w:val="17468F"/>
        </w:rPr>
        <w:t xml:space="preserve"> </w:t>
      </w:r>
      <w:r>
        <w:rPr>
          <w:rFonts w:ascii="Arial" w:cs="Arial" w:eastAsia="Arial" w:hAnsi="Arial"/>
          <w:sz w:val="27"/>
          <w:szCs w:val="27"/>
          <w:b w:val="1"/>
          <w:bCs w:val="1"/>
          <w:u w:val="single" w:color="auto"/>
          <w:color w:val="17468F"/>
        </w:rPr>
        <w:t>BOARD’s</w:t>
      </w:r>
      <w:r>
        <w:rPr>
          <w:rFonts w:ascii="Arial" w:cs="Arial" w:eastAsia="Arial" w:hAnsi="Arial"/>
          <w:sz w:val="27"/>
          <w:szCs w:val="27"/>
          <w:b w:val="1"/>
          <w:bCs w:val="1"/>
          <w:color w:val="17468F"/>
        </w:rPr>
        <w:t xml:space="preserve"> </w:t>
      </w:r>
      <w:r>
        <w:rPr>
          <w:rFonts w:ascii="Arial" w:cs="Arial" w:eastAsia="Arial" w:hAnsi="Arial"/>
          <w:sz w:val="27"/>
          <w:szCs w:val="27"/>
          <w:color w:val="77787B"/>
        </w:rPr>
        <w:t>Nominees</w:t>
      </w:r>
      <w:r>
        <w:rPr>
          <w:rFonts w:ascii="Arial" w:cs="Arial" w:eastAsia="Arial" w:hAnsi="Arial"/>
          <w:sz w:val="27"/>
          <w:szCs w:val="27"/>
          <w:b w:val="1"/>
          <w:bCs w:val="1"/>
          <w:color w:val="17468F"/>
        </w:rPr>
        <w:t xml:space="preserve"> </w:t>
      </w:r>
      <w:r>
        <w:rPr>
          <w:rFonts w:ascii="Arial" w:cs="Arial" w:eastAsia="Arial" w:hAnsi="Arial"/>
          <w:sz w:val="27"/>
          <w:szCs w:val="27"/>
          <w:color w:val="77787B"/>
        </w:rPr>
        <w:t xml:space="preserve">By Using The Enclosed </w:t>
      </w:r>
      <w:r>
        <w:rPr>
          <w:rFonts w:ascii="Arial" w:cs="Arial" w:eastAsia="Arial" w:hAnsi="Arial"/>
          <w:sz w:val="27"/>
          <w:szCs w:val="27"/>
          <w:b w:val="1"/>
          <w:bCs w:val="1"/>
          <w:u w:val="single" w:color="auto"/>
          <w:color w:val="17468F"/>
        </w:rPr>
        <w:t>WHITE</w:t>
      </w:r>
      <w:r>
        <w:rPr>
          <w:rFonts w:ascii="Arial" w:cs="Arial" w:eastAsia="Arial" w:hAnsi="Arial"/>
          <w:sz w:val="27"/>
          <w:szCs w:val="27"/>
          <w:color w:val="77787B"/>
        </w:rPr>
        <w:t xml:space="preserve"> Proxy Card To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142875</wp:posOffset>
            </wp:positionV>
            <wp:extent cx="6457315" cy="1106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7315" cy="1106170"/>
                    </a:xfrm>
                    <a:prstGeom prst="rect">
                      <a:avLst/>
                    </a:prstGeom>
                    <a:noFill/>
                  </pic:spPr>
                </pic:pic>
              </a:graphicData>
            </a:graphic>
          </wp:anchor>
        </w:drawing>
      </w: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If you have questions about how to vote your shares, or need additional assistance,</w:t>
      </w:r>
    </w:p>
    <w:p>
      <w:pPr>
        <w:jc w:val="center"/>
        <w:ind w:right="100"/>
        <w:spacing w:after="0"/>
        <w:rPr>
          <w:sz w:val="20"/>
          <w:szCs w:val="20"/>
          <w:color w:val="auto"/>
        </w:rPr>
      </w:pPr>
      <w:r>
        <w:rPr>
          <w:rFonts w:ascii="Arial" w:cs="Arial" w:eastAsia="Arial" w:hAnsi="Arial"/>
          <w:sz w:val="18"/>
          <w:szCs w:val="18"/>
          <w:color w:val="auto"/>
        </w:rPr>
        <w:t>please contact the firm assisting us in the solicitation of proxies:</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17468F"/>
        </w:rPr>
        <w:t>INNISFREE M&amp;A INCORPORATED</w:t>
      </w:r>
    </w:p>
    <w:p>
      <w:pPr>
        <w:spacing w:after="0" w:line="18" w:lineRule="exact"/>
        <w:rPr>
          <w:sz w:val="20"/>
          <w:szCs w:val="20"/>
          <w:color w:val="auto"/>
        </w:rPr>
      </w:pPr>
    </w:p>
    <w:p>
      <w:pPr>
        <w:jc w:val="center"/>
        <w:ind w:right="240"/>
        <w:spacing w:after="0"/>
        <w:tabs>
          <w:tab w:leader="none" w:pos="180" w:val="left"/>
        </w:tabs>
        <w:rPr>
          <w:sz w:val="20"/>
          <w:szCs w:val="20"/>
          <w:color w:val="auto"/>
        </w:rPr>
      </w:pPr>
      <w:r>
        <w:rPr>
          <w:rFonts w:ascii="Arial" w:cs="Arial" w:eastAsia="Arial" w:hAnsi="Arial"/>
          <w:sz w:val="18"/>
          <w:szCs w:val="18"/>
          <w:b w:val="1"/>
          <w:bCs w:val="1"/>
          <w:color w:val="17468F"/>
        </w:rPr>
        <w:t>Shareholders Call Toll-Free: (877) 825-8964</w:t>
        <w:tab/>
        <w:t>Banks and Brokers Call Collect: (212) 750-5833</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17468F"/>
        </w:rPr>
        <w:t xml:space="preserve">REMEMBER: </w:t>
      </w:r>
      <w:r>
        <w:rPr>
          <w:rFonts w:ascii="Arial" w:cs="Arial" w:eastAsia="Arial" w:hAnsi="Arial"/>
          <w:sz w:val="18"/>
          <w:szCs w:val="18"/>
          <w:color w:val="000000"/>
        </w:rPr>
        <w:t>We urge you</w:t>
      </w:r>
      <w:r>
        <w:rPr>
          <w:rFonts w:ascii="Arial" w:cs="Arial" w:eastAsia="Arial" w:hAnsi="Arial"/>
          <w:sz w:val="18"/>
          <w:szCs w:val="18"/>
          <w:b w:val="1"/>
          <w:bCs w:val="1"/>
          <w:color w:val="17468F"/>
        </w:rPr>
        <w:t xml:space="preserve"> </w:t>
      </w:r>
      <w:r>
        <w:rPr>
          <w:rFonts w:ascii="Arial" w:cs="Arial" w:eastAsia="Arial" w:hAnsi="Arial"/>
          <w:sz w:val="18"/>
          <w:szCs w:val="18"/>
          <w:b w:val="1"/>
          <w:bCs w:val="1"/>
          <w:u w:val="single" w:color="auto"/>
          <w:color w:val="17468F"/>
        </w:rPr>
        <w:t>NOT</w:t>
      </w:r>
      <w:r>
        <w:rPr>
          <w:rFonts w:ascii="Arial" w:cs="Arial" w:eastAsia="Arial" w:hAnsi="Arial"/>
          <w:sz w:val="18"/>
          <w:szCs w:val="18"/>
          <w:b w:val="1"/>
          <w:bCs w:val="1"/>
          <w:color w:val="17468F"/>
        </w:rPr>
        <w:t xml:space="preserve"> </w:t>
      </w:r>
      <w:r>
        <w:rPr>
          <w:rFonts w:ascii="Arial" w:cs="Arial" w:eastAsia="Arial" w:hAnsi="Arial"/>
          <w:sz w:val="18"/>
          <w:szCs w:val="18"/>
          <w:color w:val="000000"/>
        </w:rPr>
        <w:t>to vote using any green card sent to you by</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Greenlight, as doing so will revoke your vote on the </w:t>
      </w:r>
      <w:r>
        <w:rPr>
          <w:rFonts w:ascii="Arial" w:cs="Arial" w:eastAsia="Arial" w:hAnsi="Arial"/>
          <w:sz w:val="18"/>
          <w:szCs w:val="18"/>
          <w:b w:val="1"/>
          <w:bCs w:val="1"/>
          <w:u w:val="single" w:color="auto"/>
          <w:color w:val="17468F"/>
        </w:rPr>
        <w:t>WHITE</w:t>
      </w:r>
      <w:r>
        <w:rPr>
          <w:rFonts w:ascii="Arial" w:cs="Arial" w:eastAsia="Arial" w:hAnsi="Arial"/>
          <w:sz w:val="18"/>
          <w:szCs w:val="18"/>
          <w:color w:val="auto"/>
        </w:rPr>
        <w:t xml:space="preserve"> proxy card.</w:t>
      </w:r>
    </w:p>
    <w:p>
      <w:pPr>
        <w:sectPr>
          <w:pgSz w:w="11900" w:h="16838" w:orient="portrait"/>
          <w:cols w:equalWidth="0" w:num="1">
            <w:col w:w="10960"/>
          </w:cols>
          <w:pgMar w:left="480" w:top="1105" w:right="459" w:bottom="1440" w:gutter="0" w:footer="0" w:header="0"/>
        </w:sectPr>
      </w:pPr>
    </w:p>
    <w:bookmarkStart w:id="2" w:name="page3"/>
    <w:bookmarkEnd w:id="2"/>
    <w:p>
      <w:pPr>
        <w:ind w:left="20"/>
        <w:spacing w:after="0"/>
        <w:rPr>
          <w:sz w:val="20"/>
          <w:szCs w:val="20"/>
          <w:color w:val="auto"/>
        </w:rPr>
      </w:pPr>
      <w:r>
        <w:rPr>
          <w:rFonts w:ascii="Arial" w:cs="Arial" w:eastAsia="Arial" w:hAnsi="Arial"/>
          <w:sz w:val="22"/>
          <w:szCs w:val="22"/>
          <w:b w:val="1"/>
          <w:bCs w:val="1"/>
          <w:color w:val="17468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183515</wp:posOffset>
            </wp:positionV>
            <wp:extent cx="710057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0570" cy="214630"/>
                    </a:xfrm>
                    <a:prstGeom prst="rect">
                      <a:avLst/>
                    </a:prstGeom>
                    <a:noFill/>
                  </pic:spPr>
                </pic:pic>
              </a:graphicData>
            </a:graphic>
          </wp:anchor>
        </w:drawing>
        <w:t>GM’s Strong Track Record of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4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Your Board and management team are delivering higher growth and higher value for shareholders. Our disciplined capital allocation is focused on higher-return investments in our core automotive business and in new technologies that are enabling us to lead the future of personal mobility. This plan is delivering results and positioning the company for long-term success:</w:t>
      </w:r>
    </w:p>
    <w:p>
      <w:pPr>
        <w:spacing w:after="0" w:line="157" w:lineRule="exact"/>
        <w:rPr>
          <w:sz w:val="20"/>
          <w:szCs w:val="20"/>
          <w:color w:val="auto"/>
        </w:rPr>
      </w:pPr>
    </w:p>
    <w:p>
      <w:pPr>
        <w:ind w:left="1140" w:right="140"/>
        <w:spacing w:after="0" w:line="234" w:lineRule="auto"/>
        <w:rPr>
          <w:sz w:val="20"/>
          <w:szCs w:val="20"/>
          <w:color w:val="auto"/>
        </w:rPr>
      </w:pPr>
      <w:r>
        <w:rPr>
          <w:rFonts w:ascii="Arial" w:cs="Arial" w:eastAsia="Arial" w:hAnsi="Arial"/>
          <w:sz w:val="18"/>
          <w:szCs w:val="18"/>
          <w:color w:val="auto"/>
        </w:rPr>
        <w:t>GM has achieved three consecutive years of record results, met its financial commitments and returned significant capital to its owners. GM expects to return approximately $7 billion this year, bringing total cash returns to approximately</w:t>
      </w:r>
    </w:p>
    <w:p>
      <w:pPr>
        <w:spacing w:after="0" w:line="47" w:lineRule="exact"/>
        <w:rPr>
          <w:sz w:val="20"/>
          <w:szCs w:val="20"/>
          <w:color w:val="auto"/>
        </w:rPr>
      </w:pPr>
    </w:p>
    <w:p>
      <w:pPr>
        <w:ind w:left="1140" w:right="200"/>
        <w:spacing w:after="0" w:line="246" w:lineRule="auto"/>
        <w:rPr>
          <w:sz w:val="20"/>
          <w:szCs w:val="20"/>
          <w:color w:val="auto"/>
        </w:rPr>
      </w:pPr>
      <w:r>
        <w:rPr>
          <w:rFonts w:ascii="Arial" w:cs="Arial" w:eastAsia="Arial" w:hAnsi="Arial"/>
          <w:sz w:val="18"/>
          <w:szCs w:val="18"/>
          <w:color w:val="auto"/>
        </w:rPr>
        <w:t>$25 billion since 2012. This represents approximately half of GM’s current market capitalization and more than 90% of its adjusted automotive free cash flow over the same period.</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Most recently, the agreement to sell GM’s Opel/Vauxhall subsidiary and GM Financial’s European operations to PSA Group will, upon close of the transaction, immediately improve GM’s EBIT-adjusted, EBIT-adjusted margins and adjusted automotive free cash flow, reducing the cash balance requirement under GM’s capital allocation framework by $2 billion.</w:t>
      </w:r>
    </w:p>
    <w:p>
      <w:pPr>
        <w:spacing w:after="0" w:line="24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disciplined capital allocation framework supports our progress. Your Board and management frequently evaluate the framework and review various capital allocation strategies. We regularly engage with shareholders and receive their input on our capital allocation program.</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17468F"/>
        </w:rPr>
        <w:t>We Believe Greenlight’s Idea Puts GM’s Performance—and Your Investment—At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886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4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Despite our proven track record, our good-faith engagement and our thorough evaluation of its proposal, we believe Greenlight is now seeking to pressure your company into implementing a risky financial engineering e</w:t>
      </w:r>
      <w:r>
        <w:rPr>
          <w:rFonts w:ascii="Arial" w:cs="Arial" w:eastAsia="Arial" w:hAnsi="Arial"/>
          <w:sz w:val="18"/>
          <w:szCs w:val="18"/>
          <w:b w:val="1"/>
          <w:bCs w:val="1"/>
          <w:color w:val="auto"/>
        </w:rPr>
        <w:t>xperimen</w:t>
      </w:r>
      <w:r>
        <w:rPr>
          <w:rFonts w:ascii="Arial" w:cs="Arial" w:eastAsia="Arial" w:hAnsi="Arial"/>
          <w:sz w:val="18"/>
          <w:szCs w:val="18"/>
          <w:color w:val="auto"/>
        </w:rPr>
        <w:t>t that would undermine our successful plan and would not create additional value.</w:t>
      </w:r>
    </w:p>
    <w:p>
      <w:pPr>
        <w:spacing w:after="0" w:line="325"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b w:val="1"/>
          <w:bCs w:val="1"/>
          <w:color w:val="auto"/>
        </w:rPr>
        <w:t>We believe the fundamental factors driving GM’s valuation are NOT addressed by Greenlight’s proposed financial engineering.</w:t>
      </w:r>
    </w:p>
    <w:p>
      <w:pPr>
        <w:spacing w:after="0" w:line="134" w:lineRule="exact"/>
        <w:rPr>
          <w:sz w:val="20"/>
          <w:szCs w:val="20"/>
          <w:color w:val="auto"/>
        </w:rPr>
      </w:pPr>
    </w:p>
    <w:p>
      <w:pPr>
        <w:ind w:left="1140" w:right="360"/>
        <w:spacing w:after="0" w:line="246" w:lineRule="auto"/>
        <w:rPr>
          <w:sz w:val="20"/>
          <w:szCs w:val="20"/>
          <w:color w:val="auto"/>
        </w:rPr>
      </w:pPr>
      <w:r>
        <w:rPr>
          <w:rFonts w:ascii="Arial" w:cs="Arial" w:eastAsia="Arial" w:hAnsi="Arial"/>
          <w:sz w:val="18"/>
          <w:szCs w:val="18"/>
          <w:color w:val="auto"/>
        </w:rPr>
        <w:t>As Greenlight has already acknowledged, the proposed dual-class common stock structure would not create additional intrinsic value. It would not help GM sell more vehicles, drive higher profitability or generate greater cash flow.</w:t>
      </w:r>
    </w:p>
    <w:p>
      <w:pPr>
        <w:spacing w:after="0" w:line="351" w:lineRule="exact"/>
        <w:rPr>
          <w:sz w:val="20"/>
          <w:szCs w:val="20"/>
          <w:color w:val="auto"/>
        </w:rPr>
      </w:pPr>
    </w:p>
    <w:p>
      <w:pPr>
        <w:ind w:right="440"/>
        <w:spacing w:after="0" w:line="258" w:lineRule="auto"/>
        <w:rPr>
          <w:sz w:val="20"/>
          <w:szCs w:val="20"/>
          <w:color w:val="auto"/>
        </w:rPr>
      </w:pPr>
      <w:r>
        <w:rPr>
          <w:rFonts w:ascii="Arial" w:cs="Arial" w:eastAsia="Arial" w:hAnsi="Arial"/>
          <w:sz w:val="20"/>
          <w:szCs w:val="20"/>
          <w:b w:val="1"/>
          <w:bCs w:val="1"/>
          <w:color w:val="auto"/>
        </w:rPr>
        <w:t>We believe that implementation of the proposed dual-class structure would lead to the loss of GM’s investment-grade credit rating.</w:t>
      </w:r>
    </w:p>
    <w:p>
      <w:pPr>
        <w:spacing w:after="0" w:line="134" w:lineRule="exact"/>
        <w:rPr>
          <w:sz w:val="20"/>
          <w:szCs w:val="20"/>
          <w:color w:val="auto"/>
        </w:rPr>
      </w:pPr>
    </w:p>
    <w:p>
      <w:pPr>
        <w:ind w:left="1140" w:right="100"/>
        <w:spacing w:after="0" w:line="246" w:lineRule="auto"/>
        <w:rPr>
          <w:sz w:val="20"/>
          <w:szCs w:val="20"/>
          <w:color w:val="auto"/>
        </w:rPr>
      </w:pPr>
      <w:r>
        <w:rPr>
          <w:rFonts w:ascii="Arial" w:cs="Arial" w:eastAsia="Arial" w:hAnsi="Arial"/>
          <w:sz w:val="18"/>
          <w:szCs w:val="18"/>
          <w:color w:val="auto"/>
        </w:rPr>
        <w:t>A strong investment-grade balance sheet is critical to GM’s success. We believe the distribution of Dividend Shares would result in adverse credit rating actions, including a likely downgrade to non-investment-grade.</w:t>
      </w:r>
    </w:p>
    <w:p>
      <w:pPr>
        <w:spacing w:after="0" w:line="196" w:lineRule="exact"/>
        <w:rPr>
          <w:sz w:val="20"/>
          <w:szCs w:val="20"/>
          <w:color w:val="auto"/>
        </w:rPr>
      </w:pPr>
    </w:p>
    <w:p>
      <w:pPr>
        <w:ind w:left="1140" w:right="160"/>
        <w:spacing w:after="0" w:line="246" w:lineRule="auto"/>
        <w:rPr>
          <w:sz w:val="20"/>
          <w:szCs w:val="20"/>
          <w:color w:val="auto"/>
        </w:rPr>
      </w:pPr>
      <w:r>
        <w:rPr>
          <w:rFonts w:ascii="Arial" w:cs="Arial" w:eastAsia="Arial" w:hAnsi="Arial"/>
          <w:sz w:val="18"/>
          <w:szCs w:val="18"/>
          <w:color w:val="auto"/>
        </w:rPr>
        <w:t>The rating agencies’ reactions to Greenlight’s proposal have confirmed this determination. Moody’s and S&amp;P have issued reports concluding that the Greenlight proposal would represent a credit negative if implemented.</w:t>
      </w:r>
    </w:p>
    <w:p>
      <w:pPr>
        <w:spacing w:after="0" w:line="196" w:lineRule="exact"/>
        <w:rPr>
          <w:sz w:val="20"/>
          <w:szCs w:val="20"/>
          <w:color w:val="auto"/>
        </w:rPr>
      </w:pPr>
    </w:p>
    <w:p>
      <w:pPr>
        <w:ind w:left="1140" w:right="80"/>
        <w:spacing w:after="0" w:line="246" w:lineRule="auto"/>
        <w:rPr>
          <w:sz w:val="20"/>
          <w:szCs w:val="20"/>
          <w:color w:val="auto"/>
        </w:rPr>
      </w:pPr>
      <w:r>
        <w:rPr>
          <w:rFonts w:ascii="Arial" w:cs="Arial" w:eastAsia="Arial" w:hAnsi="Arial"/>
          <w:sz w:val="18"/>
          <w:szCs w:val="18"/>
          <w:color w:val="auto"/>
        </w:rPr>
        <w:t>A downgrade would have far-reaching consequences, including significantly impacting GM’s access to capital, overall cost of capital and enterprise risk.</w:t>
      </w:r>
    </w:p>
    <w:p>
      <w:pPr>
        <w:spacing w:after="0" w:line="196" w:lineRule="exact"/>
        <w:rPr>
          <w:sz w:val="20"/>
          <w:szCs w:val="20"/>
          <w:color w:val="auto"/>
        </w:rPr>
      </w:pPr>
    </w:p>
    <w:p>
      <w:pPr>
        <w:ind w:left="1140" w:right="80"/>
        <w:spacing w:after="0"/>
        <w:rPr>
          <w:sz w:val="20"/>
          <w:szCs w:val="20"/>
          <w:color w:val="auto"/>
        </w:rPr>
      </w:pPr>
      <w:r>
        <w:rPr>
          <w:rFonts w:ascii="Arial" w:cs="Arial" w:eastAsia="Arial" w:hAnsi="Arial"/>
          <w:sz w:val="18"/>
          <w:szCs w:val="18"/>
          <w:color w:val="auto"/>
        </w:rPr>
        <w:t>A non-investment-grade rating would have an approximately $1 billion EBIT impact on GM Financial, put $1 billion of profit at risk for the automotive company and necessitate carrying approximately $5-$10 billion in additional cash on the GM balance sheet.</w:t>
      </w:r>
    </w:p>
    <w:p>
      <w:pPr>
        <w:spacing w:after="0" w:line="202" w:lineRule="exact"/>
        <w:rPr>
          <w:sz w:val="20"/>
          <w:szCs w:val="20"/>
          <w:color w:val="auto"/>
        </w:rPr>
      </w:pPr>
    </w:p>
    <w:p>
      <w:pPr>
        <w:ind w:left="1140" w:right="120"/>
        <w:spacing w:after="0" w:line="246" w:lineRule="auto"/>
        <w:rPr>
          <w:sz w:val="20"/>
          <w:szCs w:val="20"/>
          <w:color w:val="auto"/>
        </w:rPr>
      </w:pPr>
      <w:r>
        <w:rPr>
          <w:rFonts w:ascii="Arial" w:cs="Arial" w:eastAsia="Arial" w:hAnsi="Arial"/>
          <w:sz w:val="18"/>
          <w:szCs w:val="18"/>
          <w:color w:val="auto"/>
        </w:rPr>
        <w:t>It would also limit GM’s financial flexibility and adversely affect the company’s risk profile, including GM’s ability to execute its captive finance strategy, access capital markets efficiently and execute revolver renewals.</w:t>
      </w:r>
    </w:p>
    <w:p>
      <w:pPr>
        <w:spacing w:after="0" w:line="225" w:lineRule="exact"/>
        <w:rPr>
          <w:sz w:val="20"/>
          <w:szCs w:val="20"/>
          <w:color w:val="auto"/>
        </w:rPr>
      </w:pPr>
    </w:p>
    <w:p>
      <w:pPr>
        <w:ind w:left="1800" w:right="340" w:hanging="209"/>
        <w:spacing w:after="0" w:line="251" w:lineRule="auto"/>
        <w:tabs>
          <w:tab w:leader="none" w:pos="180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GM Financial plays a critically important role in driving vehicle sales and increasing long-term customer loyalty. Impairing its effectiveness—particularly its ability to provide financing support in a downturn—would create a serious competitive disadvantage.</w:t>
      </w:r>
    </w:p>
    <w:p>
      <w:pPr>
        <w:sectPr>
          <w:pgSz w:w="11900" w:h="16838" w:orient="portrait"/>
          <w:cols w:equalWidth="0" w:num="1">
            <w:col w:w="10940"/>
          </w:cols>
          <w:pgMar w:left="480" w:top="931" w:right="479" w:bottom="1440" w:gutter="0" w:footer="0" w:header="0"/>
        </w:sectPr>
      </w:pPr>
    </w:p>
    <w:bookmarkStart w:id="3" w:name="page4"/>
    <w:bookmarkEnd w:id="3"/>
    <w:p>
      <w:pPr>
        <w:spacing w:after="0" w:line="258"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10057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0570" cy="214630"/>
                    </a:xfrm>
                    <a:prstGeom prst="rect">
                      <a:avLst/>
                    </a:prstGeom>
                    <a:noFill/>
                  </pic:spPr>
                </pic:pic>
              </a:graphicData>
            </a:graphic>
          </wp:anchor>
        </w:drawing>
        <w:t>We believe eliminating the dividend on GM’s existing common stock and issuing new Dividend Shares would lead to significant selling pressure, including concern and confusion among our investors, depressing our share price.</w:t>
      </w:r>
    </w:p>
    <w:p>
      <w:pPr>
        <w:spacing w:after="0" w:line="161" w:lineRule="exact"/>
        <w:rPr>
          <w:sz w:val="20"/>
          <w:szCs w:val="20"/>
          <w:color w:val="auto"/>
        </w:rPr>
      </w:pPr>
    </w:p>
    <w:p>
      <w:pPr>
        <w:ind w:left="1220" w:right="80"/>
        <w:spacing w:after="0"/>
        <w:rPr>
          <w:sz w:val="20"/>
          <w:szCs w:val="20"/>
          <w:color w:val="auto"/>
        </w:rPr>
      </w:pPr>
      <w:r>
        <w:rPr>
          <w:rFonts w:ascii="Arial" w:cs="Arial" w:eastAsia="Arial" w:hAnsi="Arial"/>
          <w:sz w:val="18"/>
          <w:szCs w:val="18"/>
          <w:color w:val="auto"/>
        </w:rPr>
        <w:t>Overall, we believe the terms and conditions Greenlight assigns to its two new classes of shares would make the existing common stock less attractive to buyers and significantly weaken demand. This would likely lead many of the company’s current investors to sell, resulting in depressed pricing for the new security.</w:t>
      </w:r>
    </w:p>
    <w:p>
      <w:pPr>
        <w:spacing w:after="0" w:line="371" w:lineRule="exact"/>
        <w:rPr>
          <w:sz w:val="20"/>
          <w:szCs w:val="20"/>
          <w:color w:val="auto"/>
        </w:rPr>
      </w:pPr>
    </w:p>
    <w:p>
      <w:pPr>
        <w:ind w:right="700"/>
        <w:spacing w:after="0" w:line="258" w:lineRule="auto"/>
        <w:rPr>
          <w:sz w:val="20"/>
          <w:szCs w:val="20"/>
          <w:color w:val="auto"/>
        </w:rPr>
      </w:pPr>
      <w:r>
        <w:rPr>
          <w:rFonts w:ascii="Arial" w:cs="Arial" w:eastAsia="Arial" w:hAnsi="Arial"/>
          <w:sz w:val="20"/>
          <w:szCs w:val="20"/>
          <w:b w:val="1"/>
          <w:bCs w:val="1"/>
          <w:color w:val="auto"/>
        </w:rPr>
        <w:t>We believe distributing a large volume of an unprecedented security like the Dividend Shares, which have no established market depth or liquidity, also would likely lead to selling pressure.</w:t>
      </w:r>
    </w:p>
    <w:p>
      <w:pPr>
        <w:spacing w:after="0" w:line="161" w:lineRule="exact"/>
        <w:rPr>
          <w:sz w:val="20"/>
          <w:szCs w:val="20"/>
          <w:color w:val="auto"/>
        </w:rPr>
      </w:pPr>
    </w:p>
    <w:p>
      <w:pPr>
        <w:ind w:left="1220" w:right="40"/>
        <w:spacing w:after="0" w:line="275" w:lineRule="auto"/>
        <w:rPr>
          <w:sz w:val="20"/>
          <w:szCs w:val="20"/>
          <w:color w:val="auto"/>
        </w:rPr>
      </w:pPr>
      <w:r>
        <w:rPr>
          <w:rFonts w:ascii="Arial" w:cs="Arial" w:eastAsia="Arial" w:hAnsi="Arial"/>
          <w:sz w:val="17"/>
          <w:szCs w:val="17"/>
          <w:color w:val="auto"/>
        </w:rPr>
        <w:t>In its presentations to the company, Greenlight has acknowledged that there is no perfect precedent for the Dividend Shares. We believe there is no precedent at all and that equity income funds are unlikely to buy the new Dividend Shares.</w:t>
      </w:r>
    </w:p>
    <w:p>
      <w:pPr>
        <w:spacing w:after="0" w:line="200" w:lineRule="exact"/>
        <w:rPr>
          <w:sz w:val="20"/>
          <w:szCs w:val="20"/>
          <w:color w:val="auto"/>
        </w:rPr>
      </w:pPr>
    </w:p>
    <w:p>
      <w:pPr>
        <w:ind w:left="1220" w:right="440"/>
        <w:spacing w:after="0" w:line="246" w:lineRule="auto"/>
        <w:rPr>
          <w:sz w:val="20"/>
          <w:szCs w:val="20"/>
          <w:color w:val="auto"/>
        </w:rPr>
      </w:pPr>
      <w:r>
        <w:rPr>
          <w:rFonts w:ascii="Arial" w:cs="Arial" w:eastAsia="Arial" w:hAnsi="Arial"/>
          <w:sz w:val="18"/>
          <w:szCs w:val="18"/>
          <w:color w:val="auto"/>
        </w:rPr>
        <w:t>The proposed Dividend Shares lack both earnings upside participation and downside protection, calling into question whether there will be sufficient demand for the security.</w:t>
      </w:r>
    </w:p>
    <w:p>
      <w:pPr>
        <w:spacing w:after="0" w:line="223" w:lineRule="exact"/>
        <w:rPr>
          <w:sz w:val="20"/>
          <w:szCs w:val="20"/>
          <w:color w:val="auto"/>
        </w:rPr>
      </w:pPr>
    </w:p>
    <w:p>
      <w:pPr>
        <w:ind w:left="1220" w:right="180"/>
        <w:spacing w:after="0" w:line="246" w:lineRule="auto"/>
        <w:rPr>
          <w:sz w:val="20"/>
          <w:szCs w:val="20"/>
          <w:color w:val="auto"/>
        </w:rPr>
      </w:pPr>
      <w:r>
        <w:rPr>
          <w:rFonts w:ascii="Arial" w:cs="Arial" w:eastAsia="Arial" w:hAnsi="Arial"/>
          <w:sz w:val="18"/>
          <w:szCs w:val="18"/>
          <w:color w:val="auto"/>
        </w:rPr>
        <w:t>We also believe that retail investor demand is unlikely to offset the lack of institutional equity investor demand due to the unprecedented size, complexity and unusual nature of the share distribution.</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believe the proposed dual-class structure would also create complex governance conflicts.</w:t>
      </w:r>
    </w:p>
    <w:p>
      <w:pPr>
        <w:spacing w:after="0" w:line="210" w:lineRule="exact"/>
        <w:rPr>
          <w:sz w:val="20"/>
          <w:szCs w:val="20"/>
          <w:color w:val="auto"/>
        </w:rPr>
      </w:pPr>
    </w:p>
    <w:p>
      <w:pPr>
        <w:ind w:left="1220"/>
        <w:spacing w:after="0" w:line="239" w:lineRule="auto"/>
        <w:rPr>
          <w:sz w:val="20"/>
          <w:szCs w:val="20"/>
          <w:color w:val="auto"/>
        </w:rPr>
      </w:pPr>
      <w:r>
        <w:rPr>
          <w:rFonts w:ascii="Arial" w:cs="Arial" w:eastAsia="Arial" w:hAnsi="Arial"/>
          <w:sz w:val="18"/>
          <w:szCs w:val="18"/>
          <w:color w:val="auto"/>
        </w:rPr>
        <w:t>The dual-class structure would require the Board to consider and respond to divergent expectations and interests of owners of two distinct classes of common stock in their strategic and capital allocation decision-making. Decisions would need to be made about capital allocation with one set of shareholders focused on long-term earnings growth and the other set of shareholders focused on fixed income.</w:t>
      </w:r>
    </w:p>
    <w:p>
      <w:pPr>
        <w:spacing w:after="0" w:line="22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summary, we believe the risks are too high for an unproven and entirely speculative idea that will have </w:t>
      </w:r>
      <w:r>
        <w:rPr>
          <w:rFonts w:ascii="Arial" w:cs="Arial" w:eastAsia="Arial" w:hAnsi="Arial"/>
          <w:sz w:val="18"/>
          <w:szCs w:val="18"/>
          <w:b w:val="1"/>
          <w:bCs w:val="1"/>
          <w:color w:val="auto"/>
        </w:rPr>
        <w:t>no positive effect on GM’s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underlying business or cash flows. </w:t>
      </w:r>
      <w:r>
        <w:rPr>
          <w:rFonts w:ascii="Arial" w:cs="Arial" w:eastAsia="Arial" w:hAnsi="Arial"/>
          <w:sz w:val="18"/>
          <w:szCs w:val="18"/>
          <w:color w:val="auto"/>
        </w:rPr>
        <w:t>It has nothing to do with selling more cars, trucks and crossovers, and everything to do with overly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financial engineering that has no demonstrated path to delivering value.</w:t>
      </w:r>
    </w:p>
    <w:p>
      <w:pPr>
        <w:spacing w:after="0" w:line="308" w:lineRule="exact"/>
        <w:rPr>
          <w:sz w:val="20"/>
          <w:szCs w:val="20"/>
          <w:color w:val="auto"/>
        </w:rPr>
      </w:pPr>
    </w:p>
    <w:p>
      <w:pPr>
        <w:ind w:left="20" w:right="1160"/>
        <w:spacing w:after="0" w:line="261" w:lineRule="auto"/>
        <w:rPr>
          <w:sz w:val="20"/>
          <w:szCs w:val="20"/>
          <w:color w:val="auto"/>
        </w:rPr>
      </w:pPr>
      <w:r>
        <w:rPr>
          <w:rFonts w:ascii="Arial" w:cs="Arial" w:eastAsia="Arial" w:hAnsi="Arial"/>
          <w:sz w:val="22"/>
          <w:szCs w:val="22"/>
          <w:b w:val="1"/>
          <w:bCs w:val="1"/>
          <w:color w:val="17468F"/>
        </w:rPr>
        <w:t>Your Choice—GM’s Strong Track Record of Long-Term Value Creation or Greenlight’s Financial Engineering Experiment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6955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2" w:lineRule="exact"/>
        <w:rPr>
          <w:sz w:val="20"/>
          <w:szCs w:val="20"/>
          <w:color w:val="auto"/>
        </w:rPr>
      </w:pPr>
    </w:p>
    <w:p>
      <w:pPr>
        <w:ind w:left="1220" w:right="280"/>
        <w:spacing w:after="0" w:line="239" w:lineRule="auto"/>
        <w:rPr>
          <w:sz w:val="20"/>
          <w:szCs w:val="20"/>
          <w:color w:val="auto"/>
        </w:rPr>
      </w:pPr>
      <w:r>
        <w:rPr>
          <w:rFonts w:ascii="Arial" w:cs="Arial" w:eastAsia="Arial" w:hAnsi="Arial"/>
          <w:sz w:val="18"/>
          <w:szCs w:val="18"/>
          <w:color w:val="auto"/>
        </w:rPr>
        <w:t>Your Board and management team continue to take bold, decisive action that is transforming the company. We are delivering higher earnings growth and higher value for shareholders through disciplined capital allocation to our higher-return investments in our core automotive business and in new technologies that are enabling us to lead the future of personal mobility.</w:t>
      </w:r>
    </w:p>
    <w:p>
      <w:pPr>
        <w:spacing w:after="0" w:line="228" w:lineRule="exact"/>
        <w:rPr>
          <w:sz w:val="20"/>
          <w:szCs w:val="20"/>
          <w:color w:val="auto"/>
        </w:rPr>
      </w:pPr>
    </w:p>
    <w:p>
      <w:pPr>
        <w:ind w:left="1220" w:right="20"/>
        <w:spacing w:after="0"/>
        <w:rPr>
          <w:sz w:val="20"/>
          <w:szCs w:val="20"/>
          <w:color w:val="auto"/>
        </w:rPr>
      </w:pPr>
      <w:r>
        <w:rPr>
          <w:rFonts w:ascii="Arial" w:cs="Arial" w:eastAsia="Arial" w:hAnsi="Arial"/>
          <w:sz w:val="18"/>
          <w:szCs w:val="18"/>
          <w:color w:val="auto"/>
        </w:rPr>
        <w:t>By Greenlight’s own admission, there is no established precedent for its proposal. The materials Greenlight provided to us state that any resulting value creation is “…an opinion and is not provable.” Your Board believes that GM’s shareholders should not be the test case for an unprecedented and untested capital structure.</w:t>
      </w:r>
    </w:p>
    <w:p>
      <w:pPr>
        <w:spacing w:after="0" w:line="229" w:lineRule="exact"/>
        <w:rPr>
          <w:sz w:val="20"/>
          <w:szCs w:val="20"/>
          <w:color w:val="auto"/>
        </w:rPr>
      </w:pPr>
    </w:p>
    <w:p>
      <w:pPr>
        <w:ind w:left="1220" w:right="240"/>
        <w:spacing w:after="0" w:line="246" w:lineRule="auto"/>
        <w:rPr>
          <w:sz w:val="20"/>
          <w:szCs w:val="20"/>
          <w:color w:val="auto"/>
        </w:rPr>
      </w:pPr>
      <w:r>
        <w:rPr>
          <w:rFonts w:ascii="Arial" w:cs="Arial" w:eastAsia="Arial" w:hAnsi="Arial"/>
          <w:sz w:val="18"/>
          <w:szCs w:val="18"/>
          <w:color w:val="auto"/>
        </w:rPr>
        <w:t>GM can best serve its shareholders by staying laser-focused on continuing to lead through a time of significant change. We will continue to execute our existing strategy, which is delivering sustainable long-term value for shareholders.</w:t>
      </w:r>
    </w:p>
    <w:p>
      <w:pPr>
        <w:sectPr>
          <w:pgSz w:w="11900" w:h="16838" w:orient="portrait"/>
          <w:cols w:equalWidth="0" w:num="1">
            <w:col w:w="10940"/>
          </w:cols>
          <w:pgMar w:left="480" w:top="814" w:right="47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17468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183515</wp:posOffset>
            </wp:positionV>
            <wp:extent cx="695515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55155" cy="214630"/>
                    </a:xfrm>
                    <a:prstGeom prst="rect">
                      <a:avLst/>
                    </a:prstGeom>
                    <a:noFill/>
                  </pic:spPr>
                </pic:pic>
              </a:graphicData>
            </a:graphic>
          </wp:anchor>
        </w:drawing>
        <w:t>GM’s Highly Expert Board of Directors is Focused on Driving Value for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6955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45" w:lineRule="exact"/>
        <w:rPr>
          <w:sz w:val="20"/>
          <w:szCs w:val="20"/>
          <w:color w:val="auto"/>
        </w:rPr>
      </w:pPr>
    </w:p>
    <w:p>
      <w:pPr>
        <w:ind w:left="20" w:right="400"/>
        <w:spacing w:after="0" w:line="246" w:lineRule="auto"/>
        <w:rPr>
          <w:sz w:val="20"/>
          <w:szCs w:val="20"/>
          <w:color w:val="auto"/>
        </w:rPr>
      </w:pPr>
      <w:r>
        <w:rPr>
          <w:rFonts w:ascii="Arial" w:cs="Arial" w:eastAsia="Arial" w:hAnsi="Arial"/>
          <w:sz w:val="18"/>
          <w:szCs w:val="18"/>
          <w:color w:val="auto"/>
        </w:rPr>
        <w:t>GM directors have been specifically identified and recruited to align the strategic needs of the business with exceptional individuals who can deliver shareholder value. Your current Board is composed of world-class leaders who possess:</w:t>
      </w:r>
    </w:p>
    <w:p>
      <w:pPr>
        <w:spacing w:after="0" w:line="178" w:lineRule="exact"/>
        <w:rPr>
          <w:sz w:val="20"/>
          <w:szCs w:val="20"/>
          <w:color w:val="auto"/>
        </w:rPr>
      </w:pPr>
    </w:p>
    <w:p>
      <w:pPr>
        <w:ind w:left="1240" w:right="520"/>
        <w:spacing w:after="0" w:line="246" w:lineRule="auto"/>
        <w:rPr>
          <w:sz w:val="20"/>
          <w:szCs w:val="20"/>
          <w:color w:val="auto"/>
        </w:rPr>
      </w:pPr>
      <w:r>
        <w:rPr>
          <w:rFonts w:ascii="Arial" w:cs="Arial" w:eastAsia="Arial" w:hAnsi="Arial"/>
          <w:sz w:val="18"/>
          <w:szCs w:val="18"/>
          <w:color w:val="auto"/>
        </w:rPr>
        <w:t>The collective skills and expertise needed to drive effective oversight and execution of GM’s strategy and management accountability.</w:t>
      </w:r>
    </w:p>
    <w:p>
      <w:pPr>
        <w:spacing w:after="0" w:line="223" w:lineRule="exact"/>
        <w:rPr>
          <w:sz w:val="20"/>
          <w:szCs w:val="20"/>
          <w:color w:val="auto"/>
        </w:rPr>
      </w:pPr>
    </w:p>
    <w:p>
      <w:pPr>
        <w:ind w:left="1240" w:right="420"/>
        <w:spacing w:after="0" w:line="246" w:lineRule="auto"/>
        <w:rPr>
          <w:sz w:val="20"/>
          <w:szCs w:val="20"/>
          <w:color w:val="auto"/>
        </w:rPr>
      </w:pPr>
      <w:r>
        <w:rPr>
          <w:rFonts w:ascii="Arial" w:cs="Arial" w:eastAsia="Arial" w:hAnsi="Arial"/>
          <w:sz w:val="18"/>
          <w:szCs w:val="18"/>
          <w:color w:val="auto"/>
        </w:rPr>
        <w:t>Significant global corporate strategy, operational, commercial and finance experience, including several Board members with exceptional track records of creating long-term shareholder value.</w:t>
      </w:r>
    </w:p>
    <w:p>
      <w:pPr>
        <w:spacing w:after="0" w:line="223" w:lineRule="exact"/>
        <w:rPr>
          <w:sz w:val="20"/>
          <w:szCs w:val="20"/>
          <w:color w:val="auto"/>
        </w:rPr>
      </w:pPr>
    </w:p>
    <w:p>
      <w:pPr>
        <w:ind w:left="1240" w:right="540"/>
        <w:spacing w:after="0" w:line="246" w:lineRule="auto"/>
        <w:rPr>
          <w:sz w:val="20"/>
          <w:szCs w:val="20"/>
          <w:color w:val="auto"/>
        </w:rPr>
      </w:pPr>
      <w:r>
        <w:rPr>
          <w:rFonts w:ascii="Arial" w:cs="Arial" w:eastAsia="Arial" w:hAnsi="Arial"/>
          <w:sz w:val="18"/>
          <w:szCs w:val="18"/>
          <w:color w:val="auto"/>
        </w:rPr>
        <w:t>A diverse range of tenures due to regular renewal, adding carefully targeted capabilities and perspectives that will best enable the company to navigate evolving opportunities and challenges.</w:t>
      </w:r>
    </w:p>
    <w:p>
      <w:pPr>
        <w:spacing w:after="0" w:line="329"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b w:val="1"/>
          <w:bCs w:val="1"/>
          <w:color w:val="auto"/>
        </w:rPr>
        <w:t>Your Board and management are effecting real, positive change and increased growth—and we will continue working to do so with your support.</w:t>
      </w:r>
    </w:p>
    <w:p>
      <w:pPr>
        <w:spacing w:after="0" w:line="154" w:lineRule="exact"/>
        <w:rPr>
          <w:sz w:val="20"/>
          <w:szCs w:val="20"/>
          <w:color w:val="auto"/>
        </w:rPr>
      </w:pPr>
    </w:p>
    <w:p>
      <w:pPr>
        <w:ind w:left="20" w:right="560"/>
        <w:spacing w:after="0" w:line="271" w:lineRule="auto"/>
        <w:rPr>
          <w:sz w:val="20"/>
          <w:szCs w:val="20"/>
          <w:color w:val="auto"/>
        </w:rPr>
      </w:pPr>
      <w:r>
        <w:rPr>
          <w:rFonts w:ascii="Arial" w:cs="Arial" w:eastAsia="Arial" w:hAnsi="Arial"/>
          <w:sz w:val="18"/>
          <w:szCs w:val="18"/>
          <w:b w:val="1"/>
          <w:bCs w:val="1"/>
          <w:color w:val="17468F"/>
        </w:rPr>
        <w:t xml:space="preserve">We believe a vote for any of Greenlight’s nominees to the Board will be a vote for the flawed and highly risky idea of a single shareholder. </w:t>
      </w:r>
      <w:r>
        <w:rPr>
          <w:rFonts w:ascii="Arial" w:cs="Arial" w:eastAsia="Arial" w:hAnsi="Arial"/>
          <w:sz w:val="18"/>
          <w:szCs w:val="18"/>
          <w:b w:val="1"/>
          <w:bCs w:val="1"/>
          <w:color w:val="000000"/>
        </w:rPr>
        <w:t>By contrast, your Board has demonstrated its commitment to driving value for ALL shareholders.</w:t>
      </w:r>
    </w:p>
    <w:p>
      <w:pPr>
        <w:spacing w:after="0" w:line="348" w:lineRule="exact"/>
        <w:rPr>
          <w:sz w:val="20"/>
          <w:szCs w:val="20"/>
          <w:color w:val="auto"/>
        </w:rPr>
      </w:pPr>
    </w:p>
    <w:p>
      <w:pPr>
        <w:jc w:val="center"/>
        <w:ind w:right="200"/>
        <w:spacing w:after="0"/>
        <w:rPr>
          <w:sz w:val="20"/>
          <w:szCs w:val="20"/>
          <w:color w:val="auto"/>
        </w:rPr>
      </w:pPr>
      <w:r>
        <w:rPr>
          <w:rFonts w:ascii="Arial" w:cs="Arial" w:eastAsia="Arial" w:hAnsi="Arial"/>
          <w:sz w:val="29"/>
          <w:szCs w:val="29"/>
          <w:color w:val="77787B"/>
        </w:rPr>
        <w:t>To Protect the Value of Your Investment in General Motors,</w:t>
      </w:r>
    </w:p>
    <w:p>
      <w:pPr>
        <w:spacing w:after="0" w:line="4" w:lineRule="exact"/>
        <w:rPr>
          <w:sz w:val="20"/>
          <w:szCs w:val="20"/>
          <w:color w:val="auto"/>
        </w:rPr>
      </w:pPr>
    </w:p>
    <w:p>
      <w:pPr>
        <w:jc w:val="center"/>
        <w:ind w:right="200"/>
        <w:spacing w:after="0"/>
        <w:rPr>
          <w:sz w:val="20"/>
          <w:szCs w:val="20"/>
          <w:color w:val="auto"/>
        </w:rPr>
      </w:pPr>
      <w:r>
        <w:rPr>
          <w:rFonts w:ascii="Arial" w:cs="Arial" w:eastAsia="Arial" w:hAnsi="Arial"/>
          <w:sz w:val="29"/>
          <w:szCs w:val="29"/>
          <w:b w:val="1"/>
          <w:bCs w:val="1"/>
          <w:u w:val="single" w:color="auto"/>
          <w:color w:val="auto"/>
        </w:rPr>
        <w:t>PLEASE VOTE THE</w:t>
      </w:r>
      <w:r>
        <w:rPr>
          <w:rFonts w:ascii="Arial" w:cs="Arial" w:eastAsia="Arial" w:hAnsi="Arial"/>
          <w:sz w:val="29"/>
          <w:szCs w:val="29"/>
          <w:b w:val="1"/>
          <w:bCs w:val="1"/>
          <w:color w:val="auto"/>
        </w:rPr>
        <w:t xml:space="preserve"> </w:t>
      </w:r>
      <w:r>
        <w:rPr>
          <w:rFonts w:ascii="Arial" w:cs="Arial" w:eastAsia="Arial" w:hAnsi="Arial"/>
          <w:sz w:val="29"/>
          <w:szCs w:val="29"/>
          <w:b w:val="1"/>
          <w:bCs w:val="1"/>
          <w:u w:val="single" w:color="auto"/>
          <w:color w:val="17468F"/>
        </w:rPr>
        <w:t>WHITE</w:t>
      </w:r>
      <w:r>
        <w:rPr>
          <w:rFonts w:ascii="Arial" w:cs="Arial" w:eastAsia="Arial" w:hAnsi="Arial"/>
          <w:sz w:val="29"/>
          <w:szCs w:val="29"/>
          <w:b w:val="1"/>
          <w:bCs w:val="1"/>
          <w:color w:val="auto"/>
        </w:rPr>
        <w:t xml:space="preserve"> </w:t>
      </w:r>
      <w:r>
        <w:rPr>
          <w:rFonts w:ascii="Arial" w:cs="Arial" w:eastAsia="Arial" w:hAnsi="Arial"/>
          <w:sz w:val="29"/>
          <w:szCs w:val="29"/>
          <w:b w:val="1"/>
          <w:bCs w:val="1"/>
          <w:u w:val="single" w:color="auto"/>
          <w:color w:val="auto"/>
        </w:rPr>
        <w:t>PROXY CARD TODAY</w:t>
      </w:r>
      <w:r>
        <w:rPr>
          <w:rFonts w:ascii="Arial" w:cs="Arial" w:eastAsia="Arial" w:hAnsi="Arial"/>
          <w:sz w:val="29"/>
          <w:szCs w:val="29"/>
          <w:color w:val="77787B"/>
        </w:rPr>
        <w:t>. We Urge You</w:t>
      </w:r>
      <w:r>
        <w:rPr>
          <w:rFonts w:ascii="Arial" w:cs="Arial" w:eastAsia="Arial" w:hAnsi="Arial"/>
          <w:sz w:val="29"/>
          <w:szCs w:val="29"/>
          <w:b w:val="1"/>
          <w:bCs w:val="1"/>
          <w:color w:val="auto"/>
        </w:rPr>
        <w:t xml:space="preserve"> </w:t>
      </w:r>
      <w:r>
        <w:rPr>
          <w:rFonts w:ascii="Arial" w:cs="Arial" w:eastAsia="Arial" w:hAnsi="Arial"/>
          <w:sz w:val="29"/>
          <w:szCs w:val="29"/>
          <w:b w:val="1"/>
          <w:bCs w:val="1"/>
          <w:u w:val="single" w:color="auto"/>
          <w:color w:val="auto"/>
        </w:rPr>
        <w:t>NOT</w:t>
      </w:r>
      <w:r>
        <w:rPr>
          <w:rFonts w:ascii="Arial" w:cs="Arial" w:eastAsia="Arial" w:hAnsi="Arial"/>
          <w:sz w:val="29"/>
          <w:szCs w:val="29"/>
          <w:b w:val="1"/>
          <w:bCs w:val="1"/>
          <w:color w:val="auto"/>
        </w:rPr>
        <w:t xml:space="preserve"> </w:t>
      </w:r>
      <w:r>
        <w:rPr>
          <w:rFonts w:ascii="Arial" w:cs="Arial" w:eastAsia="Arial" w:hAnsi="Arial"/>
          <w:sz w:val="29"/>
          <w:szCs w:val="29"/>
          <w:color w:val="77787B"/>
        </w:rPr>
        <w:t>to Vote</w:t>
      </w:r>
    </w:p>
    <w:p>
      <w:pPr>
        <w:spacing w:after="0" w:line="4" w:lineRule="exact"/>
        <w:rPr>
          <w:sz w:val="20"/>
          <w:szCs w:val="20"/>
          <w:color w:val="auto"/>
        </w:rPr>
      </w:pPr>
    </w:p>
    <w:p>
      <w:pPr>
        <w:ind w:left="1320"/>
        <w:spacing w:after="0"/>
        <w:rPr>
          <w:sz w:val="20"/>
          <w:szCs w:val="20"/>
          <w:color w:val="auto"/>
        </w:rPr>
      </w:pPr>
      <w:r>
        <w:rPr>
          <w:rFonts w:ascii="Arial" w:cs="Arial" w:eastAsia="Arial" w:hAnsi="Arial"/>
          <w:sz w:val="29"/>
          <w:szCs w:val="29"/>
          <w:color w:val="77787B"/>
        </w:rPr>
        <w:t>Using Any Green Proxy Card You Might Receive from Greenlight.</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Thank you for your support.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358140</wp:posOffset>
            </wp:positionV>
            <wp:extent cx="210121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12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18"/>
          <w:szCs w:val="18"/>
          <w:b w:val="1"/>
          <w:bCs w:val="1"/>
          <w:color w:val="17468F"/>
        </w:rPr>
        <w:t>Mary T. Barra</w:t>
      </w:r>
      <w:r>
        <w:rPr>
          <w:sz w:val="20"/>
          <w:szCs w:val="20"/>
          <w:color w:val="auto"/>
        </w:rPr>
        <w:tab/>
      </w:r>
      <w:r>
        <w:rPr>
          <w:rFonts w:ascii="Arial" w:cs="Arial" w:eastAsia="Arial" w:hAnsi="Arial"/>
          <w:sz w:val="18"/>
          <w:szCs w:val="18"/>
          <w:b w:val="1"/>
          <w:bCs w:val="1"/>
          <w:color w:val="17468F"/>
        </w:rPr>
        <w:t>Theodore M. Solso</w:t>
      </w:r>
    </w:p>
    <w:p>
      <w:pPr>
        <w:spacing w:after="0" w:line="18"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18"/>
          <w:szCs w:val="18"/>
          <w:color w:val="auto"/>
        </w:rPr>
        <w:t>Chairman &amp; Chief Executive Officer</w:t>
      </w:r>
      <w:r>
        <w:rPr>
          <w:sz w:val="20"/>
          <w:szCs w:val="20"/>
          <w:color w:val="auto"/>
        </w:rPr>
        <w:tab/>
      </w:r>
      <w:r>
        <w:rPr>
          <w:rFonts w:ascii="Arial" w:cs="Arial" w:eastAsia="Arial" w:hAnsi="Arial"/>
          <w:sz w:val="18"/>
          <w:szCs w:val="18"/>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735330</wp:posOffset>
            </wp:positionV>
            <wp:extent cx="6946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ectPr>
          <w:pgSz w:w="11900" w:h="16838" w:orient="portrait"/>
          <w:cols w:equalWidth="0" w:num="1">
            <w:col w:w="11200"/>
          </w:cols>
          <w:pgMar w:left="460" w:top="931" w:right="239" w:bottom="9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33" w:lineRule="auto"/>
        <w:rPr>
          <w:sz w:val="20"/>
          <w:szCs w:val="20"/>
          <w:color w:val="auto"/>
        </w:rPr>
      </w:pPr>
      <w:r>
        <w:rPr>
          <w:rFonts w:ascii="Arial" w:cs="Arial" w:eastAsia="Arial" w:hAnsi="Arial"/>
          <w:sz w:val="11"/>
          <w:szCs w:val="11"/>
          <w:b w:val="1"/>
          <w:bCs w:val="1"/>
          <w:color w:val="77787B"/>
        </w:rPr>
        <w:t xml:space="preserve">Forward Looking Statements: </w:t>
      </w:r>
      <w:r>
        <w:rPr>
          <w:rFonts w:ascii="Arial" w:cs="Arial" w:eastAsia="Arial" w:hAnsi="Arial"/>
          <w:sz w:val="11"/>
          <w:szCs w:val="11"/>
          <w:color w:val="77787B"/>
        </w:rPr>
        <w:t>This document may include forward-looking statements. These statements</w:t>
      </w:r>
      <w:r>
        <w:rPr>
          <w:rFonts w:ascii="Arial" w:cs="Arial" w:eastAsia="Arial" w:hAnsi="Arial"/>
          <w:sz w:val="11"/>
          <w:szCs w:val="11"/>
          <w:b w:val="1"/>
          <w:bCs w:val="1"/>
          <w:color w:val="77787B"/>
        </w:rPr>
        <w:t xml:space="preserve"> </w:t>
      </w:r>
      <w:r>
        <w:rPr>
          <w:rFonts w:ascii="Arial" w:cs="Arial" w:eastAsia="Arial" w:hAnsi="Arial"/>
          <w:sz w:val="11"/>
          <w:szCs w:val="11"/>
          <w:color w:val="77787B"/>
        </w:rPr>
        <w:t>are based on 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w:t>
      </w:r>
    </w:p>
    <w:p>
      <w:pPr>
        <w:spacing w:after="0" w:line="3" w:lineRule="exact"/>
        <w:rPr>
          <w:sz w:val="20"/>
          <w:szCs w:val="20"/>
          <w:color w:val="auto"/>
        </w:rPr>
      </w:pPr>
    </w:p>
    <w:p>
      <w:pPr>
        <w:jc w:val="both"/>
        <w:ind w:firstLine="4"/>
        <w:spacing w:after="0" w:line="255" w:lineRule="auto"/>
        <w:tabs>
          <w:tab w:leader="none" w:pos="174" w:val="left"/>
        </w:tabs>
        <w:numPr>
          <w:ilvl w:val="0"/>
          <w:numId w:val="15"/>
        </w:numPr>
        <w:rPr>
          <w:rFonts w:ascii="Arial" w:cs="Arial" w:eastAsia="Arial" w:hAnsi="Arial"/>
          <w:sz w:val="10"/>
          <w:szCs w:val="10"/>
          <w:color w:val="77787B"/>
        </w:rPr>
      </w:pPr>
      <w:r>
        <w:rPr>
          <w:rFonts w:ascii="Arial" w:cs="Arial" w:eastAsia="Arial" w:hAnsi="Arial"/>
          <w:sz w:val="10"/>
          <w:szCs w:val="10"/>
          <w:color w:val="77787B"/>
        </w:rPr>
        <w:t>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 (16) 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 (19) 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246" w:lineRule="exact"/>
        <w:rPr>
          <w:sz w:val="20"/>
          <w:szCs w:val="20"/>
          <w:color w:val="auto"/>
        </w:rPr>
      </w:pPr>
    </w:p>
    <w:p>
      <w:pPr>
        <w:jc w:val="both"/>
        <w:spacing w:after="0" w:line="236" w:lineRule="auto"/>
        <w:rPr>
          <w:sz w:val="20"/>
          <w:szCs w:val="20"/>
          <w:color w:val="auto"/>
        </w:rPr>
      </w:pPr>
      <w:r>
        <w:rPr>
          <w:rFonts w:ascii="Arial" w:cs="Arial" w:eastAsia="Arial" w:hAnsi="Arial"/>
          <w:sz w:val="11"/>
          <w:szCs w:val="11"/>
          <w:b w:val="1"/>
          <w:bCs w:val="1"/>
          <w:color w:val="77787B"/>
        </w:rPr>
        <w:t xml:space="preserve">Non-GAAP Measures: </w:t>
      </w:r>
      <w:r>
        <w:rPr>
          <w:rFonts w:ascii="Arial" w:cs="Arial" w:eastAsia="Arial" w:hAnsi="Arial"/>
          <w:sz w:val="11"/>
          <w:szCs w:val="11"/>
          <w:color w:val="77787B"/>
        </w:rPr>
        <w:t>See our Form 10-K and Form 10-Q reports filed with the SEC for a description of</w:t>
      </w:r>
      <w:r>
        <w:rPr>
          <w:rFonts w:ascii="Arial" w:cs="Arial" w:eastAsia="Arial" w:hAnsi="Arial"/>
          <w:sz w:val="11"/>
          <w:szCs w:val="11"/>
          <w:b w:val="1"/>
          <w:bCs w:val="1"/>
          <w:color w:val="77787B"/>
        </w:rPr>
        <w:t xml:space="preserve"> </w:t>
      </w:r>
      <w:r>
        <w:rPr>
          <w:rFonts w:ascii="Arial" w:cs="Arial" w:eastAsia="Arial" w:hAnsi="Arial"/>
          <w:sz w:val="11"/>
          <w:szCs w:val="11"/>
          <w:color w:val="77787B"/>
        </w:rPr>
        <w:t>certain non-GAAP measures used by GM, including EBIT-adjusted, EPS-diluted adjusted, ROIC-adjusted, and adjusted automotive free cash flow, along with a description of various uses for such measures. Our calculation of these non-GAAP measures are set forth within these reports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20"/>
        <w:spacing w:after="0" w:line="232" w:lineRule="auto"/>
        <w:rPr>
          <w:sz w:val="20"/>
          <w:szCs w:val="20"/>
          <w:color w:val="auto"/>
        </w:rPr>
      </w:pPr>
      <w:r>
        <w:rPr>
          <w:rFonts w:ascii="Arial" w:cs="Arial" w:eastAsia="Arial" w:hAnsi="Arial"/>
          <w:sz w:val="11"/>
          <w:szCs w:val="11"/>
          <w:b w:val="1"/>
          <w:bCs w:val="1"/>
          <w:color w:val="77787B"/>
        </w:rPr>
        <w:t xml:space="preserve">Important Additional Information Regarding Proxy Solicitation: </w:t>
      </w:r>
      <w:r>
        <w:rPr>
          <w:rFonts w:ascii="Arial" w:cs="Arial" w:eastAsia="Arial" w:hAnsi="Arial"/>
          <w:sz w:val="11"/>
          <w:szCs w:val="11"/>
          <w:color w:val="77787B"/>
        </w:rPr>
        <w:t>General Motors Company (“GM”) has filed a</w:t>
      </w:r>
      <w:r>
        <w:rPr>
          <w:rFonts w:ascii="Arial" w:cs="Arial" w:eastAsia="Arial" w:hAnsi="Arial"/>
          <w:sz w:val="11"/>
          <w:szCs w:val="11"/>
          <w:b w:val="1"/>
          <w:bCs w:val="1"/>
          <w:color w:val="77787B"/>
        </w:rPr>
        <w:t xml:space="preserve"> </w:t>
      </w:r>
      <w:r>
        <w:rPr>
          <w:rFonts w:ascii="Arial" w:cs="Arial" w:eastAsia="Arial" w:hAnsi="Arial"/>
          <w:sz w:val="11"/>
          <w:szCs w:val="11"/>
          <w:color w:val="77787B"/>
        </w:rPr>
        <w:t>definitive proxy statement and form of 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 relations section of GM’s website, http://www.gm.com/investors.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00" w:type="dxa"/>
            <w:vAlign w:val="bottom"/>
          </w:tcPr>
          <w:p>
            <w:pPr>
              <w:ind w:left="20"/>
              <w:spacing w:after="0"/>
              <w:rPr>
                <w:sz w:val="20"/>
                <w:szCs w:val="20"/>
                <w:color w:val="auto"/>
              </w:rPr>
            </w:pPr>
            <w:r>
              <w:rPr>
                <w:rFonts w:ascii="Arial" w:cs="Arial" w:eastAsia="Arial" w:hAnsi="Arial"/>
                <w:sz w:val="11"/>
                <w:szCs w:val="11"/>
                <w:b w:val="1"/>
                <w:bCs w:val="1"/>
                <w:color w:val="77787B"/>
              </w:rPr>
              <w:t>Reconciliation of EPS-Diluted-Adjusted</w:t>
            </w:r>
          </w:p>
        </w:tc>
        <w:tc>
          <w:tcPr>
            <w:tcW w:w="1180" w:type="dxa"/>
            <w:vAlign w:val="bottom"/>
          </w:tcPr>
          <w:p>
            <w:pPr>
              <w:jc w:val="right"/>
              <w:ind w:right="66"/>
              <w:spacing w:after="0"/>
              <w:rPr>
                <w:sz w:val="20"/>
                <w:szCs w:val="20"/>
                <w:color w:val="auto"/>
              </w:rPr>
            </w:pPr>
            <w:r>
              <w:rPr>
                <w:rFonts w:ascii="Arial" w:cs="Arial" w:eastAsia="Arial" w:hAnsi="Arial"/>
                <w:sz w:val="11"/>
                <w:szCs w:val="11"/>
                <w:b w:val="1"/>
                <w:bCs w:val="1"/>
                <w:color w:val="77787B"/>
              </w:rPr>
              <w:t>2013</w:t>
            </w: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77787B"/>
              </w:rPr>
              <w:t>2014</w:t>
            </w: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77787B"/>
              </w:rPr>
              <w:t>2015</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77787B"/>
              </w:rPr>
              <w:t>2016</w:t>
            </w:r>
          </w:p>
        </w:tc>
      </w:tr>
      <w:tr>
        <w:trPr>
          <w:trHeight w:val="27"/>
        </w:trPr>
        <w:tc>
          <w:tcPr>
            <w:tcW w:w="28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22"/>
        </w:trPr>
        <w:tc>
          <w:tcPr>
            <w:tcW w:w="28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77787B"/>
              </w:rPr>
              <w:t>Diluted earnings per common share</w:t>
            </w:r>
          </w:p>
        </w:tc>
        <w:tc>
          <w:tcPr>
            <w:tcW w:w="11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77787B"/>
              </w:rPr>
              <w:t>2.38</w:t>
            </w:r>
          </w:p>
        </w:tc>
        <w:tc>
          <w:tcPr>
            <w:tcW w:w="5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77787B"/>
              </w:rPr>
              <w:t>1.65</w:t>
            </w:r>
          </w:p>
        </w:tc>
        <w:tc>
          <w:tcPr>
            <w:tcW w:w="54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77787B"/>
              </w:rPr>
              <w:t>5.91</w:t>
            </w: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77787B"/>
              </w:rPr>
              <w:t>6.00</w:t>
            </w:r>
          </w:p>
        </w:tc>
      </w:tr>
      <w:tr>
        <w:trPr>
          <w:trHeight w:val="122"/>
        </w:trPr>
        <w:tc>
          <w:tcPr>
            <w:tcW w:w="2800" w:type="dxa"/>
            <w:vAlign w:val="bottom"/>
          </w:tcPr>
          <w:p>
            <w:pPr>
              <w:ind w:left="20"/>
              <w:spacing w:after="0" w:line="122" w:lineRule="exact"/>
              <w:rPr>
                <w:sz w:val="20"/>
                <w:szCs w:val="20"/>
                <w:color w:val="auto"/>
              </w:rPr>
            </w:pPr>
            <w:r>
              <w:rPr>
                <w:rFonts w:ascii="Arial" w:cs="Arial" w:eastAsia="Arial" w:hAnsi="Arial"/>
                <w:sz w:val="11"/>
                <w:szCs w:val="11"/>
                <w:color w:val="77787B"/>
              </w:rPr>
              <w:t>Adjustments</w:t>
            </w:r>
          </w:p>
        </w:tc>
        <w:tc>
          <w:tcPr>
            <w:tcW w:w="118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1.11</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1.73</w:t>
            </w:r>
          </w:p>
        </w:tc>
        <w:tc>
          <w:tcPr>
            <w:tcW w:w="54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1.68</w:t>
            </w:r>
          </w:p>
        </w:tc>
        <w:tc>
          <w:tcPr>
            <w:tcW w:w="4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77787B"/>
              </w:rPr>
              <w:t>0.19</w:t>
            </w:r>
          </w:p>
        </w:tc>
      </w:tr>
      <w:tr>
        <w:trPr>
          <w:trHeight w:val="122"/>
        </w:trPr>
        <w:tc>
          <w:tcPr>
            <w:tcW w:w="28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77787B"/>
              </w:rPr>
              <w:t>Tax effect of adjustments</w:t>
            </w:r>
          </w:p>
        </w:tc>
        <w:tc>
          <w:tcPr>
            <w:tcW w:w="11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77787B"/>
              </w:rPr>
              <w:t>(0.03)</w:t>
            </w:r>
          </w:p>
        </w:tc>
        <w:tc>
          <w:tcPr>
            <w:tcW w:w="5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77787B"/>
              </w:rPr>
              <w:t>(0.33)</w:t>
            </w:r>
          </w:p>
        </w:tc>
        <w:tc>
          <w:tcPr>
            <w:tcW w:w="54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77787B"/>
              </w:rPr>
              <w:t>(0.13)</w:t>
            </w: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77787B"/>
              </w:rPr>
              <w:t>(0.07)</w:t>
            </w:r>
          </w:p>
        </w:tc>
      </w:tr>
      <w:tr>
        <w:trPr>
          <w:trHeight w:val="122"/>
        </w:trPr>
        <w:tc>
          <w:tcPr>
            <w:tcW w:w="2800" w:type="dxa"/>
            <w:vAlign w:val="bottom"/>
          </w:tcPr>
          <w:p>
            <w:pPr>
              <w:ind w:left="20"/>
              <w:spacing w:after="0" w:line="122" w:lineRule="exact"/>
              <w:rPr>
                <w:sz w:val="20"/>
                <w:szCs w:val="20"/>
                <w:color w:val="auto"/>
              </w:rPr>
            </w:pPr>
            <w:r>
              <w:rPr>
                <w:rFonts w:ascii="Arial" w:cs="Arial" w:eastAsia="Arial" w:hAnsi="Arial"/>
                <w:sz w:val="11"/>
                <w:szCs w:val="11"/>
                <w:color w:val="77787B"/>
              </w:rPr>
              <w:t>Tax adjustments</w:t>
            </w:r>
          </w:p>
        </w:tc>
        <w:tc>
          <w:tcPr>
            <w:tcW w:w="118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(0.28)</w:t>
            </w: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40" w:type="dxa"/>
            <w:vAlign w:val="bottom"/>
          </w:tcPr>
          <w:p>
            <w:pPr>
              <w:jc w:val="right"/>
              <w:ind w:right="66"/>
              <w:spacing w:after="0" w:line="122" w:lineRule="exact"/>
              <w:rPr>
                <w:sz w:val="20"/>
                <w:szCs w:val="20"/>
                <w:color w:val="auto"/>
              </w:rPr>
            </w:pPr>
            <w:r>
              <w:rPr>
                <w:rFonts w:ascii="Arial" w:cs="Arial" w:eastAsia="Arial" w:hAnsi="Arial"/>
                <w:sz w:val="11"/>
                <w:szCs w:val="11"/>
                <w:color w:val="77787B"/>
              </w:rPr>
              <w:t>(2.44)</w:t>
            </w:r>
          </w:p>
        </w:tc>
        <w:tc>
          <w:tcPr>
            <w:tcW w:w="4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77787B"/>
              </w:rPr>
              <w:t>—</w:t>
            </w:r>
          </w:p>
        </w:tc>
      </w:tr>
      <w:tr>
        <w:trPr>
          <w:trHeight w:val="122"/>
        </w:trPr>
        <w:tc>
          <w:tcPr>
            <w:tcW w:w="28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77787B"/>
              </w:rPr>
              <w:t>Impact of costs related to recall</w:t>
            </w:r>
          </w:p>
        </w:tc>
        <w:tc>
          <w:tcPr>
            <w:tcW w:w="11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5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77787B"/>
              </w:rPr>
              <w:t>1.07</w:t>
            </w:r>
          </w:p>
        </w:tc>
        <w:tc>
          <w:tcPr>
            <w:tcW w:w="54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77787B"/>
              </w:rPr>
              <w:t>—</w:t>
            </w: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77787B"/>
              </w:rPr>
              <w:t>—</w:t>
            </w:r>
          </w:p>
        </w:tc>
      </w:tr>
      <w:tr>
        <w:trPr>
          <w:trHeight w:val="20"/>
        </w:trPr>
        <w:tc>
          <w:tcPr>
            <w:tcW w:w="28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11" w:lineRule="exact"/>
        <w:rPr>
          <w:sz w:val="20"/>
          <w:szCs w:val="20"/>
          <w:color w:val="auto"/>
        </w:rPr>
      </w:pPr>
    </w:p>
    <w:p>
      <w:pPr>
        <w:sectPr>
          <w:pgSz w:w="11900" w:h="16838" w:orient="portrait"/>
          <w:cols w:equalWidth="0" w:num="2">
            <w:col w:w="5260" w:space="340"/>
            <w:col w:w="5600"/>
          </w:cols>
          <w:pgMar w:left="460" w:top="931" w:right="239" w:bottom="950" w:gutter="0" w:footer="0" w:header="0"/>
          <w:type w:val="continuous"/>
        </w:sectPr>
      </w:pPr>
    </w:p>
    <w:p>
      <w:pPr>
        <w:spacing w:after="0" w:line="70" w:lineRule="exact"/>
        <w:rPr>
          <w:sz w:val="20"/>
          <w:szCs w:val="20"/>
          <w:color w:val="auto"/>
        </w:rPr>
      </w:pPr>
    </w:p>
    <w:p>
      <w:pPr>
        <w:ind w:left="7740"/>
        <w:spacing w:after="0"/>
        <w:rPr>
          <w:sz w:val="20"/>
          <w:szCs w:val="20"/>
          <w:color w:val="auto"/>
        </w:rPr>
      </w:pPr>
      <w:r>
        <w:rPr>
          <w:rFonts w:ascii="Arial" w:cs="Arial" w:eastAsia="Arial" w:hAnsi="Arial"/>
          <w:sz w:val="14"/>
          <w:szCs w:val="14"/>
          <w:color w:val="auto"/>
        </w:rPr>
        <w:t>For more information, please visit www.GMProxy.com.</w:t>
      </w:r>
    </w:p>
    <w:sectPr>
      <w:pgSz w:w="11900" w:h="16838" w:orient="portrait"/>
      <w:cols w:equalWidth="0" w:num="1">
        <w:col w:w="11200"/>
      </w:cols>
      <w:pgMar w:left="460" w:top="931" w:right="239" w:bottom="9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2)"/>
      <w:numFmt w:val="decimal"/>
      <w:start w:val="1"/>
    </w:lvl>
  </w:abstractNum>
  <w:abstractNum w:abstractNumId="5">
    <w:nsid w:val="216231B"/>
    <w:multiLevelType w:val="hybridMultilevel"/>
    <w:lvl w:ilvl="0">
      <w:lvlJc w:val="left"/>
      <w:lvlText w:val=" "/>
      <w:numFmt w:val="bullet"/>
      <w:start w:val="1"/>
    </w:lvl>
  </w:abstractNum>
  <w:abstractNum w:abstractNumId="6">
    <w:nsid w:val="1F16E9E8"/>
    <w:multiLevelType w:val="hybridMultilevel"/>
    <w:lvl w:ilvl="0">
      <w:lvlJc w:val="left"/>
      <w:lvlText w:val=" "/>
      <w:numFmt w:val="bullet"/>
      <w:start w:val="1"/>
    </w:lvl>
  </w:abstractNum>
  <w:abstractNum w:abstractNumId="7">
    <w:nsid w:val="1190CDE7"/>
    <w:multiLevelType w:val="hybridMultilevel"/>
    <w:lvl w:ilvl="0">
      <w:lvlJc w:val="left"/>
      <w:lvlText w:val=" "/>
      <w:numFmt w:val="bullet"/>
      <w:start w:val="1"/>
    </w:lvl>
  </w:abstractNum>
  <w:abstractNum w:abstractNumId="8">
    <w:nsid w:val="66EF438D"/>
    <w:multiLevelType w:val="hybridMultilevel"/>
    <w:lvl w:ilvl="0">
      <w:lvlJc w:val="left"/>
      <w:lvlText w:val=" "/>
      <w:numFmt w:val="bullet"/>
      <w:start w:val="1"/>
    </w:lvl>
    <w:lvl w:ilvl="1">
      <w:lvlJc w:val="left"/>
      <w:lvlText w:val="•"/>
      <w:numFmt w:val="bullet"/>
      <w:start w:val="1"/>
    </w:lvl>
  </w:abstractNum>
  <w:abstractNum w:abstractNumId="9">
    <w:nsid w:val="140E0F76"/>
    <w:multiLevelType w:val="hybridMultilevel"/>
    <w:lvl w:ilvl="0">
      <w:lvlJc w:val="left"/>
      <w:lvlText w:val=" "/>
      <w:numFmt w:val="bullet"/>
      <w:start w:val="1"/>
    </w:lvl>
  </w:abstractNum>
  <w:abstractNum w:abstractNumId="10">
    <w:nsid w:val="3352255A"/>
    <w:multiLevelType w:val="hybridMultilevel"/>
    <w:lvl w:ilvl="0">
      <w:lvlJc w:val="left"/>
      <w:lvlText w:val=" "/>
      <w:numFmt w:val="bullet"/>
      <w:start w:val="1"/>
    </w:lvl>
  </w:abstractNum>
  <w:abstractNum w:abstractNumId="11">
    <w:nsid w:val="109CF92E"/>
    <w:multiLevelType w:val="hybridMultilevel"/>
    <w:lvl w:ilvl="0">
      <w:lvlJc w:val="left"/>
      <w:lvlText w:val=" "/>
      <w:numFmt w:val="bullet"/>
      <w:start w:val="1"/>
    </w:lvl>
  </w:abstractNum>
  <w:abstractNum w:abstractNumId="12">
    <w:nsid w:val="DED7263"/>
    <w:multiLevelType w:val="hybridMultilevel"/>
    <w:lvl w:ilvl="0">
      <w:lvlJc w:val="left"/>
      <w:lvlText w:val=" "/>
      <w:numFmt w:val="bullet"/>
      <w:start w:val="1"/>
    </w:lvl>
  </w:abstractNum>
  <w:abstractNum w:abstractNumId="13">
    <w:nsid w:val="7FDCC233"/>
    <w:multiLevelType w:val="hybridMultilevel"/>
    <w:lvl w:ilvl="0">
      <w:lvlJc w:val="left"/>
      <w:lvlText w:val=" "/>
      <w:numFmt w:val="bullet"/>
      <w:start w:val="1"/>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2019-12-07T11:08:57Z</dcterms:created>
  <dcterms:modified xsi:type="dcterms:W3CDTF">2019-12-07T11:08:57Z</dcterms:modified>
</cp:coreProperties>
</file>