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03/03/2016</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w:t>
            </w:r>
            <w:r>
              <w:rPr>
                <w:rFonts w:ascii="Arial" w:cs="Arial" w:eastAsia="Arial" w:hAnsi="Arial"/>
                <w:sz w:val="22"/>
                <w:szCs w:val="22"/>
                <w:color w:val="008000"/>
                <w:w w:val="95"/>
                <w:vertAlign w:val="superscript"/>
              </w:rPr>
              <w:t>(1)(2)</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03/01/2016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5,224</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6,824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03/01/2016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3,050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29.58</w:t>
            </w: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3,774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03/01/2016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2,174</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29.58</w:t>
            </w: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1,600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5,224</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03/01/2016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5,224</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(3)(4)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the Restricted Stock Units ("RSUs") awarded in 2013 pursuant to the Company's 2009 Long-Term Incentive Plan ("GMLTIP").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portion of this award currently payable was settled on March 1, 2016 in cash in an amount equal to the fair market value of the Common Stock, determined under the GMLTIP on the settlement date. The fair value of the Common Stock on the settlement date was $29.58, which was the average of the high and low trading prices for the Common Stock as reported by the New York Stock Exchange on that date.</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and delivered upon the vesting of a grant of Restricted Stock Units ("RSUs") awarded on March 1, 2013 pursuant to the Company's 2009 Long-Term Incentive Plan (the "GMLTIP"). This is the final installment of this delivery. Each RSU represents a right to receive one share of the Company's common stock upon settlement.</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March 1, 2013 and were settled on March 1,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This amendment is being filed to report the correct settlement of the RSUs. Due to an administrative error, the original filing incorrectly reported that the RSUs were settled in shares rather than cash.</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07/05/2016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3"/>
              </w:rPr>
              <w:t>Attorney-In-Fact for Mr. Tsien</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2019-12-08T19:11:47Z</dcterms:created>
  <dcterms:modified xsi:type="dcterms:W3CDTF">2019-12-08T19:11:47Z</dcterms:modified>
</cp:coreProperties>
</file>