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April 26, 2018</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On April 26, 2018 General Motors Company (GM) issued a news release and supplemental materials on the subject of its 2018 first quarter earnings. The news release and supplemental materials are attached as Exhibit 99.1 and Exhibit 99.2.</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2018 first quarter earnings release are available on GM's website at www.gm.com/investors/earnings-releases.html.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0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200" w:type="dxa"/>
            <w:vAlign w:val="bottom"/>
            <w:gridSpan w:val="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News Release Dated April 26, 2018</w:t>
              </w:r>
            </w:hyperlink>
          </w:p>
        </w:tc>
      </w:tr>
      <w:tr>
        <w:trPr>
          <w:trHeight w:val="20"/>
        </w:trPr>
        <w:tc>
          <w:tcPr>
            <w:tcW w:w="2860" w:type="dxa"/>
            <w:vAlign w:val="bottom"/>
            <w:gridSpan w:val="2"/>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3200" w:type="dxa"/>
            <w:vAlign w:val="bottom"/>
            <w:gridSpan w:val="5"/>
          </w:tcPr>
          <w:p>
            <w:pPr>
              <w:spacing w:after="0"/>
              <w:rPr>
                <w:rFonts w:ascii="Arial" w:cs="Arial" w:eastAsia="Arial" w:hAnsi="Arial"/>
                <w:sz w:val="18"/>
                <w:szCs w:val="18"/>
                <w:color w:val="0000FF"/>
                <w:w w:val="97"/>
              </w:rPr>
            </w:pPr>
            <w:hyperlink w:anchor="page8">
              <w:r>
                <w:rPr>
                  <w:rFonts w:ascii="Arial" w:cs="Arial" w:eastAsia="Arial" w:hAnsi="Arial"/>
                  <w:sz w:val="18"/>
                  <w:szCs w:val="18"/>
                  <w:color w:val="0000FF"/>
                  <w:w w:val="97"/>
                </w:rPr>
                <w:t>Financial Highlights Dated April 26, 2018</w:t>
              </w:r>
            </w:hyperlink>
          </w:p>
        </w:tc>
      </w:tr>
      <w:tr>
        <w:trPr>
          <w:trHeight w:val="20"/>
        </w:trPr>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April 26, 2018</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1"/>
              </w:rPr>
              <w:t>Thomas S. Timko, Vice President, Global Business Solutions and Chief</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9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49" w:lineRule="auto"/>
        <w:rPr>
          <w:sz w:val="20"/>
          <w:szCs w:val="20"/>
          <w:color w:val="auto"/>
        </w:rPr>
      </w:pPr>
      <w:r>
        <w:rPr>
          <w:rFonts w:ascii="Arial" w:cs="Arial" w:eastAsia="Arial" w:hAnsi="Arial"/>
          <w:sz w:val="16"/>
          <w:szCs w:val="16"/>
          <w:color w:val="auto"/>
        </w:rPr>
        <w:t>Unless otherwise indicated, General Motors Company's (GM) non-GAAP measures are related to our continuing operations and not our discontinued operations. GM's non-GAAP measures include earnings before interest and taxes (EBIT)-adjusted, presented net of noncontrolling interests, Core EBIT-adjusted, earnings per share (EPS)-diluted-adjusted, effective tax rate-adjusted (ETR-adjusted), return on invested capital-adjusted (ROIC-adjusted), adjusted automotive free cash flow and Core adjusted automotive free cash flow. GM's calculation of these non -GAAP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78"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2"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 significant impact from the item.</w:t>
      </w:r>
    </w:p>
    <w:p>
      <w:pPr>
        <w:spacing w:after="0" w:line="155" w:lineRule="exact"/>
        <w:rPr>
          <w:sz w:val="20"/>
          <w:szCs w:val="20"/>
          <w:color w:val="auto"/>
        </w:rPr>
      </w:pPr>
    </w:p>
    <w:p>
      <w:pPr>
        <w:jc w:val="both"/>
        <w:ind w:right="20" w:firstLine="162"/>
        <w:spacing w:after="0" w:line="266" w:lineRule="auto"/>
        <w:rPr>
          <w:sz w:val="20"/>
          <w:szCs w:val="20"/>
          <w:color w:val="auto"/>
        </w:rPr>
      </w:pPr>
      <w:r>
        <w:rPr>
          <w:rFonts w:ascii="Arial" w:cs="Arial" w:eastAsia="Arial" w:hAnsi="Arial"/>
          <w:sz w:val="16"/>
          <w:szCs w:val="16"/>
          <w:b w:val="1"/>
          <w:bCs w:val="1"/>
          <w:i w:val="1"/>
          <w:iCs w:val="1"/>
          <w:color w:val="auto"/>
        </w:rPr>
        <w:t xml:space="preserve">Core EBIT-adjusted </w:t>
      </w:r>
      <w:r>
        <w:rPr>
          <w:rFonts w:ascii="Arial" w:cs="Arial" w:eastAsia="Arial" w:hAnsi="Arial"/>
          <w:sz w:val="16"/>
          <w:szCs w:val="16"/>
          <w:color w:val="auto"/>
        </w:rPr>
        <w:t>Core EBIT-adjusted is used by management and can be used by investors to review our core consolidated operating results. Core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begins with EBIT-adjusted and excludes the EBIT-adjusted results of our autonomous vehicle operations, including Cruise Automation Inc. (Cruise), Maven and our investment in Lyft.</w:t>
      </w:r>
    </w:p>
    <w:p>
      <w:pPr>
        <w:spacing w:after="0" w:line="14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1"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color w:val="auto"/>
        </w:rPr>
        <w:t>ETR-adjusted is used by management and can be used by investors to review the consolidated effective tax rate for our core operations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45"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color w:val="auto"/>
        </w:rPr>
        <w:t>ROIC-adjusted is used by management and can be used by investors to review our investment and capital allocation decisions. We define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OPEB liabilities; and average automotive net income tax assets during the same period. Adjustments to the average equity balances exclude assets and liabilities classified as either assets held for sale or liabilities held for sale.</w:t>
      </w:r>
    </w:p>
    <w:p>
      <w:pPr>
        <w:spacing w:after="0" w:line="153"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color w:val="auto"/>
        </w:rPr>
        <w:t>Adjusted automotive free cash flow is used by management and can be used by investors to review the liquidity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plant closure that are considered special for EBIT-adjusted purposes.</w:t>
      </w:r>
    </w:p>
    <w:p>
      <w:pPr>
        <w:spacing w:after="0" w:line="15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b w:val="1"/>
          <w:bCs w:val="1"/>
          <w:i w:val="1"/>
          <w:iCs w:val="1"/>
          <w:color w:val="auto"/>
        </w:rPr>
        <w:t xml:space="preserve">Core adjusted automotive free cash flow </w:t>
      </w:r>
      <w:r>
        <w:rPr>
          <w:rFonts w:ascii="Arial" w:cs="Arial" w:eastAsia="Arial" w:hAnsi="Arial"/>
          <w:sz w:val="16"/>
          <w:szCs w:val="16"/>
          <w:color w:val="auto"/>
        </w:rPr>
        <w:t>Core adjusted automotive free cash flow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liquidity of our automotive operations and to measure and monitor our performance against our capital allocation program and evaluate our automotive liquidity against the substantial cash requirements of our automotive operations. Core adjusted automotive free cash flow begins with adjusted automotive free cash flow from continuing operations and excludes the free cash flows of our autonomous vehicle operations, including Cruise, Maven and our investment in Lyft.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segment profit to Net income attributable to stockholders under U.S. GAAP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2018</w:t>
            </w:r>
          </w:p>
        </w:tc>
        <w:tc>
          <w:tcPr>
            <w:tcW w:w="180" w:type="dxa"/>
            <w:vAlign w:val="bottom"/>
          </w:tcPr>
          <w:p>
            <w:pPr>
              <w:spacing w:after="0"/>
              <w:rPr>
                <w:sz w:val="22"/>
                <w:szCs w:val="22"/>
                <w:color w:val="auto"/>
              </w:rPr>
            </w:pPr>
          </w:p>
        </w:tc>
        <w:tc>
          <w:tcPr>
            <w:tcW w:w="1180" w:type="dxa"/>
            <w:vAlign w:val="bottom"/>
          </w:tcPr>
          <w:p>
            <w:pPr>
              <w:jc w:val="right"/>
              <w:ind w:right="160"/>
              <w:spacing w:after="0"/>
              <w:rPr>
                <w:sz w:val="20"/>
                <w:szCs w:val="20"/>
                <w:color w:val="auto"/>
              </w:rPr>
            </w:pPr>
            <w:r>
              <w:rPr>
                <w:rFonts w:ascii="Arial" w:cs="Arial" w:eastAsia="Arial" w:hAnsi="Arial"/>
                <w:sz w:val="13"/>
                <w:szCs w:val="13"/>
                <w:b w:val="1"/>
                <w:bCs w:val="1"/>
                <w:color w:val="auto"/>
                <w:w w:val="99"/>
              </w:rPr>
              <w:t>March 31, 2017</w:t>
            </w:r>
          </w:p>
        </w:tc>
        <w:tc>
          <w:tcPr>
            <w:tcW w:w="0" w:type="dxa"/>
            <w:vAlign w:val="bottom"/>
          </w:tcPr>
          <w:p>
            <w:pPr>
              <w:spacing w:after="0"/>
              <w:rPr>
                <w:sz w:val="1"/>
                <w:szCs w:val="1"/>
                <w:color w:val="auto"/>
              </w:rPr>
            </w:pP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Operating segments</w:t>
            </w: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North America (GMNA)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3,471</w:t>
            </w:r>
          </w:p>
        </w:tc>
        <w:tc>
          <w:tcPr>
            <w:tcW w:w="0" w:type="dxa"/>
            <w:vAlign w:val="bottom"/>
          </w:tcPr>
          <w:p>
            <w:pPr>
              <w:spacing w:after="0"/>
              <w:rPr>
                <w:sz w:val="1"/>
                <w:szCs w:val="1"/>
                <w:color w:val="auto"/>
              </w:rPr>
            </w:pPr>
          </w:p>
        </w:tc>
      </w:tr>
      <w:tr>
        <w:trPr>
          <w:trHeight w:val="260"/>
        </w:trPr>
        <w:tc>
          <w:tcPr>
            <w:tcW w:w="8580" w:type="dxa"/>
            <w:vAlign w:val="bottom"/>
          </w:tcPr>
          <w:p>
            <w:pPr>
              <w:ind w:left="180"/>
              <w:spacing w:after="0"/>
              <w:rPr>
                <w:sz w:val="20"/>
                <w:szCs w:val="20"/>
                <w:color w:val="auto"/>
              </w:rPr>
            </w:pPr>
            <w:r>
              <w:rPr>
                <w:rFonts w:ascii="Arial" w:cs="Arial" w:eastAsia="Arial" w:hAnsi="Arial"/>
                <w:sz w:val="16"/>
                <w:szCs w:val="16"/>
                <w:color w:val="auto"/>
              </w:rPr>
              <w:t>GM International (GMI)</w:t>
            </w:r>
          </w:p>
        </w:tc>
        <w:tc>
          <w:tcPr>
            <w:tcW w:w="1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Motors Financial Company, Inc. (GM Financial)(a)</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47"/>
        </w:trPr>
        <w:tc>
          <w:tcPr>
            <w:tcW w:w="8580" w:type="dxa"/>
            <w:vAlign w:val="bottom"/>
          </w:tcPr>
          <w:p>
            <w:pPr>
              <w:ind w:left="40"/>
              <w:spacing w:after="0"/>
              <w:rPr>
                <w:sz w:val="20"/>
                <w:szCs w:val="20"/>
                <w:color w:val="auto"/>
              </w:rPr>
            </w:pPr>
            <w:r>
              <w:rPr>
                <w:rFonts w:ascii="Arial" w:cs="Arial" w:eastAsia="Arial" w:hAnsi="Arial"/>
                <w:sz w:val="16"/>
                <w:szCs w:val="16"/>
                <w:color w:val="auto"/>
              </w:rPr>
              <w:t>Total operating segments</w:t>
            </w: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2,865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3,877</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eliminations(b)</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47"/>
        </w:trPr>
        <w:tc>
          <w:tcPr>
            <w:tcW w:w="8580" w:type="dxa"/>
            <w:vAlign w:val="bottom"/>
          </w:tcPr>
          <w:p>
            <w:pPr>
              <w:ind w:left="40"/>
              <w:spacing w:after="0"/>
              <w:rPr>
                <w:sz w:val="20"/>
                <w:szCs w:val="20"/>
                <w:color w:val="auto"/>
              </w:rPr>
            </w:pPr>
            <w:r>
              <w:rPr>
                <w:rFonts w:ascii="Arial" w:cs="Arial" w:eastAsia="Arial" w:hAnsi="Arial"/>
                <w:sz w:val="16"/>
                <w:szCs w:val="16"/>
                <w:color w:val="auto"/>
              </w:rPr>
              <w:t>EBIT-adjusted</w:t>
            </w: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2,610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3,554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 GMI restructuring(c)</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Automotive interest income</w:t>
            </w:r>
          </w:p>
        </w:tc>
        <w:tc>
          <w:tcPr>
            <w:tcW w:w="1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Automotive interest expense</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operations(d)</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Loss from discontinued operations, net of tax(e)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2,608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 Financial amounts represent earnings before income taxes-adjusted.</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GM's automotive operations' interest income and interest expense, Maven, legacy costs from the Opel and Vauxhall businesses and certain other assets in Europe (the Opel/Vauxhall Business), which are primarily pension costs, corporate expenditures including autonomous vehicle-related engineering and other costs and certain nonsegment specific revenues and expenses are recorded centrally in Corporate.</w:t>
      </w:r>
    </w:p>
    <w:p>
      <w:pPr>
        <w:spacing w:after="0" w:line="1"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asset impairments and employee separation costs in Korea.</w:t>
      </w:r>
    </w:p>
    <w:p>
      <w:pPr>
        <w:spacing w:after="0" w:line="160"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results of the Opel/Vauxhall Business and our European financing subsidiaries and branches (the Fincos, and together with the Opel/Vauxhall Business, the European Business).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(loss) attributable to stockholders under U.S. GAAP to EBIT-adjusted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5"/>
          </w:tcPr>
          <w:p>
            <w:pPr>
              <w:ind w:left="320"/>
              <w:spacing w:after="0"/>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22"/>
                <w:szCs w:val="22"/>
                <w:color w:val="auto"/>
              </w:rPr>
            </w:pPr>
          </w:p>
        </w:tc>
        <w:tc>
          <w:tcPr>
            <w:tcW w:w="1500" w:type="dxa"/>
            <w:vAlign w:val="bottom"/>
            <w:gridSpan w:val="5"/>
          </w:tcPr>
          <w:p>
            <w:pPr>
              <w:ind w:left="2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22"/>
                <w:szCs w:val="22"/>
                <w:color w:val="auto"/>
              </w:rPr>
            </w:pPr>
          </w:p>
        </w:tc>
        <w:tc>
          <w:tcPr>
            <w:tcW w:w="1420" w:type="dxa"/>
            <w:vAlign w:val="bottom"/>
            <w:gridSpan w:val="5"/>
          </w:tcPr>
          <w:p>
            <w:pPr>
              <w:ind w:left="180"/>
              <w:spacing w:after="0"/>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22"/>
                <w:szCs w:val="22"/>
                <w:color w:val="auto"/>
              </w:rPr>
            </w:pPr>
          </w:p>
        </w:tc>
        <w:tc>
          <w:tcPr>
            <w:tcW w:w="1280" w:type="dxa"/>
            <w:vAlign w:val="bottom"/>
            <w:gridSpan w:val="4"/>
          </w:tcPr>
          <w:p>
            <w:pPr>
              <w:jc w:val="right"/>
              <w:ind w:right="369"/>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(5,151)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2,866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(Income) loss from discontinued operations, net of tax</w:t>
            </w:r>
          </w:p>
        </w:tc>
        <w:tc>
          <w:tcPr>
            <w:tcW w:w="160" w:type="dxa"/>
            <w:vAlign w:val="bottom"/>
          </w:tcPr>
          <w:p>
            <w:pPr>
              <w:spacing w:after="0"/>
              <w:rPr>
                <w:sz w:val="22"/>
                <w:szCs w:val="22"/>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3,096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160" w:type="dxa"/>
            <w:vAlign w:val="bottom"/>
          </w:tcPr>
          <w:p>
            <w:pPr>
              <w:spacing w:after="0"/>
              <w:rPr>
                <w:sz w:val="22"/>
                <w:szCs w:val="22"/>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Automotive interest income</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GMI restructuring(a)</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Ignition switch recall and related legal matters(b)</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adjustments</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EBIT-adjusted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3,554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2,598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3,662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3,682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4448"/>
              <w:spacing w:after="0"/>
              <w:rPr>
                <w:sz w:val="20"/>
                <w:szCs w:val="20"/>
                <w:color w:val="auto"/>
              </w:rPr>
            </w:pPr>
            <w:r>
              <w:rPr>
                <w:rFonts w:ascii="Arial" w:cs="Arial" w:eastAsia="Arial" w:hAnsi="Arial"/>
                <w:sz w:val="14"/>
                <w:szCs w:val="14"/>
                <w:color w:val="auto"/>
                <w:w w:val="99"/>
              </w:rPr>
              <w:t>________</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 in the three months ended March 31, 2018 primarily consists of asset impairments and employee separation costs in Korea. The adjustment in the three months ended June 30, 2017 primarily consists of asset impairments and other restructuring actions in India, South Africa and Venezuela.</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These adjustments were excluded because of the unique events associated with the ignition switch recall, which included various investigations, inquiries, and complaints from constituents.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EBIT-adjusted to Core EBIT-adjusted: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March 31, 2018</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March 31, 2017</w:t>
            </w:r>
          </w:p>
        </w:tc>
        <w:tc>
          <w:tcPr>
            <w:tcW w:w="180" w:type="dxa"/>
            <w:vAlign w:val="bottom"/>
          </w:tcPr>
          <w:p>
            <w:pPr>
              <w:spacing w:after="0"/>
              <w:rPr>
                <w:sz w:val="22"/>
                <w:szCs w:val="22"/>
                <w:color w:val="auto"/>
              </w:rPr>
            </w:pPr>
          </w:p>
        </w:tc>
        <w:tc>
          <w:tcPr>
            <w:tcW w:w="1420" w:type="dxa"/>
            <w:vAlign w:val="bottom"/>
          </w:tcPr>
          <w:p>
            <w:pPr>
              <w:jc w:val="right"/>
              <w:ind w:right="146"/>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EBIT-adjusted(a)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2,610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3,554</w:t>
            </w:r>
          </w:p>
        </w:tc>
        <w:tc>
          <w:tcPr>
            <w:tcW w:w="2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EBIT loss-adjusted </w:t>
            </w:r>
            <w:r>
              <w:rPr>
                <w:rFonts w:ascii="Arial" w:cs="Arial" w:eastAsia="Arial" w:hAnsi="Arial"/>
                <w:sz w:val="18"/>
                <w:szCs w:val="18"/>
                <w:color w:val="auto"/>
              </w:rPr>
              <w:t>–</w:t>
            </w:r>
            <w:r>
              <w:rPr>
                <w:rFonts w:ascii="Arial" w:cs="Arial" w:eastAsia="Arial" w:hAnsi="Arial"/>
                <w:sz w:val="16"/>
                <w:szCs w:val="16"/>
                <w:color w:val="auto"/>
              </w:rPr>
              <w:t xml:space="preserve"> autonomous vehicle operations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Core EBIT-adjusted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26"/>
              <w:spacing w:after="0"/>
              <w:rPr>
                <w:sz w:val="20"/>
                <w:szCs w:val="20"/>
                <w:color w:val="auto"/>
              </w:rPr>
            </w:pPr>
            <w:r>
              <w:rPr>
                <w:rFonts w:ascii="Arial" w:cs="Arial" w:eastAsia="Arial" w:hAnsi="Arial"/>
                <w:sz w:val="16"/>
                <w:szCs w:val="16"/>
                <w:color w:val="auto"/>
              </w:rPr>
              <w:t>2,798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3,702</w:t>
            </w:r>
          </w:p>
        </w:tc>
        <w:tc>
          <w:tcPr>
            <w:tcW w:w="2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26"/>
              <w:spacing w:after="0"/>
              <w:rPr>
                <w:sz w:val="20"/>
                <w:szCs w:val="20"/>
                <w:color w:val="auto"/>
              </w:rPr>
            </w:pPr>
            <w:r>
              <w:rPr>
                <w:rFonts w:ascii="Arial" w:cs="Arial" w:eastAsia="Arial" w:hAnsi="Arial"/>
                <w:sz w:val="16"/>
                <w:szCs w:val="16"/>
                <w:color w:val="auto"/>
              </w:rPr>
              <w:t>13,550</w:t>
            </w:r>
          </w:p>
        </w:tc>
        <w:tc>
          <w:tcPr>
            <w:tcW w:w="0" w:type="dxa"/>
            <w:vAlign w:val="bottom"/>
          </w:tcPr>
          <w:p>
            <w:pPr>
              <w:spacing w:after="0"/>
              <w:rPr>
                <w:sz w:val="1"/>
                <w:szCs w:val="1"/>
                <w:color w:val="auto"/>
              </w:rPr>
            </w:pPr>
          </w:p>
        </w:tc>
      </w:tr>
      <w:tr>
        <w:trPr>
          <w:trHeight w:val="189"/>
        </w:trPr>
        <w:tc>
          <w:tcPr>
            <w:tcW w:w="69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5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per common share under U.S. GAAP to EPS-diluted-adjusted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64"/>
        </w:trPr>
        <w:tc>
          <w:tcPr>
            <w:tcW w:w="7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3"/>
                <w:szCs w:val="13"/>
                <w:b w:val="1"/>
                <w:bCs w:val="1"/>
                <w:color w:val="auto"/>
              </w:rPr>
              <w:t>March 31, 2018</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3"/>
                <w:szCs w:val="13"/>
                <w:b w:val="1"/>
                <w:bCs w:val="1"/>
                <w:color w:val="auto"/>
              </w:rPr>
              <w:t>March 31, 2017</w:t>
            </w:r>
          </w:p>
        </w:tc>
      </w:tr>
      <w:tr>
        <w:trPr>
          <w:trHeight w:val="264"/>
        </w:trPr>
        <w:tc>
          <w:tcPr>
            <w:tcW w:w="7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22"/>
                <w:szCs w:val="22"/>
                <w:color w:val="auto"/>
              </w:rPr>
            </w:pPr>
          </w:p>
        </w:tc>
        <w:tc>
          <w:tcPr>
            <w:tcW w:w="760" w:type="dxa"/>
            <w:vAlign w:val="bottom"/>
          </w:tcPr>
          <w:p>
            <w:pPr>
              <w:jc w:val="right"/>
              <w:ind w:right="83"/>
              <w:spacing w:after="0"/>
              <w:rPr>
                <w:sz w:val="20"/>
                <w:szCs w:val="20"/>
                <w:color w:val="auto"/>
              </w:rPr>
            </w:pPr>
            <w:r>
              <w:rPr>
                <w:rFonts w:ascii="Arial" w:cs="Arial" w:eastAsia="Arial" w:hAnsi="Arial"/>
                <w:sz w:val="13"/>
                <w:szCs w:val="13"/>
                <w:b w:val="1"/>
                <w:bCs w:val="1"/>
                <w:color w:val="auto"/>
                <w:w w:val="95"/>
              </w:rPr>
              <w:t>Per Share</w:t>
            </w:r>
          </w:p>
        </w:tc>
      </w:tr>
      <w:tr>
        <w:trPr>
          <w:trHeight w:val="257"/>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1,032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0.72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2,608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1.70</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Diluted loss per common share – discontinued operations</w:t>
            </w:r>
          </w:p>
        </w:tc>
        <w:tc>
          <w:tcPr>
            <w:tcW w:w="160" w:type="dxa"/>
            <w:vAlign w:val="bottom"/>
          </w:tcPr>
          <w:p>
            <w:pPr>
              <w:spacing w:after="0"/>
              <w:rPr>
                <w:sz w:val="22"/>
                <w:szCs w:val="22"/>
                <w:color w:val="auto"/>
              </w:rPr>
            </w:pPr>
          </w:p>
        </w:tc>
        <w:tc>
          <w:tcPr>
            <w:tcW w:w="660" w:type="dxa"/>
            <w:vAlign w:val="bottom"/>
          </w:tcPr>
          <w:p>
            <w:pPr>
              <w:jc w:val="right"/>
              <w:ind w:right="25"/>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5"/>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0.05</w:t>
            </w: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 – GMI restructuring</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240"/>
        </w:trPr>
        <w:tc>
          <w:tcPr>
            <w:tcW w:w="7660" w:type="dxa"/>
            <w:vAlign w:val="bottom"/>
          </w:tcPr>
          <w:p>
            <w:pPr>
              <w:ind w:left="40"/>
              <w:spacing w:after="0"/>
              <w:rPr>
                <w:sz w:val="20"/>
                <w:szCs w:val="20"/>
                <w:color w:val="auto"/>
              </w:rPr>
            </w:pPr>
            <w:r>
              <w:rPr>
                <w:rFonts w:ascii="Arial" w:cs="Arial" w:eastAsia="Arial" w:hAnsi="Arial"/>
                <w:sz w:val="16"/>
                <w:szCs w:val="16"/>
                <w:color w:val="auto"/>
              </w:rPr>
              <w:t>EPS-diluted-adjusted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2,677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1.75</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526"/>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64"/>
        </w:trPr>
        <w:tc>
          <w:tcPr>
            <w:tcW w:w="4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3"/>
                <w:szCs w:val="13"/>
                <w:b w:val="1"/>
                <w:bCs w:val="1"/>
                <w:color w:val="auto"/>
                <w:w w:val="99"/>
              </w:rPr>
              <w:t>March 31, 2018</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3"/>
                <w:szCs w:val="13"/>
                <w:b w:val="1"/>
                <w:bCs w:val="1"/>
                <w:color w:val="auto"/>
                <w:w w:val="99"/>
              </w:rPr>
              <w:t>March 31, 2017</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40"/>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46"/>
              <w:spacing w:after="0" w:line="140" w:lineRule="exact"/>
              <w:rPr>
                <w:sz w:val="20"/>
                <w:szCs w:val="20"/>
                <w:color w:val="auto"/>
              </w:rPr>
            </w:pPr>
            <w:r>
              <w:rPr>
                <w:rFonts w:ascii="Arial" w:cs="Arial" w:eastAsia="Arial" w:hAnsi="Arial"/>
                <w:sz w:val="13"/>
                <w:szCs w:val="13"/>
                <w:b w:val="1"/>
                <w:bCs w:val="1"/>
                <w:color w:val="auto"/>
                <w:w w:val="98"/>
              </w:rPr>
              <w:t>Income before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line="140" w:lineRule="exact"/>
              <w:rPr>
                <w:sz w:val="20"/>
                <w:szCs w:val="20"/>
                <w:color w:val="auto"/>
              </w:rPr>
            </w:pPr>
            <w:r>
              <w:rPr>
                <w:rFonts w:ascii="Arial" w:cs="Arial" w:eastAsia="Arial" w:hAnsi="Arial"/>
                <w:sz w:val="13"/>
                <w:szCs w:val="13"/>
                <w:b w:val="1"/>
                <w:bCs w:val="1"/>
                <w:color w:val="auto"/>
                <w:w w:val="94"/>
              </w:rPr>
              <w:t>Income tax</w:t>
            </w:r>
          </w:p>
        </w:tc>
        <w:tc>
          <w:tcPr>
            <w:tcW w:w="120" w:type="dxa"/>
            <w:vAlign w:val="bottom"/>
          </w:tcPr>
          <w:p>
            <w:pPr>
              <w:spacing w:after="0"/>
              <w:rPr>
                <w:sz w:val="12"/>
                <w:szCs w:val="12"/>
                <w:color w:val="auto"/>
              </w:rPr>
            </w:pPr>
          </w:p>
        </w:tc>
        <w:tc>
          <w:tcPr>
            <w:tcW w:w="108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Effective tax</w:t>
            </w:r>
          </w:p>
        </w:tc>
        <w:tc>
          <w:tcPr>
            <w:tcW w:w="140" w:type="dxa"/>
            <w:vAlign w:val="bottom"/>
          </w:tcPr>
          <w:p>
            <w:pPr>
              <w:spacing w:after="0"/>
              <w:rPr>
                <w:sz w:val="12"/>
                <w:szCs w:val="12"/>
                <w:color w:val="auto"/>
              </w:rPr>
            </w:pPr>
          </w:p>
        </w:tc>
        <w:tc>
          <w:tcPr>
            <w:tcW w:w="1040" w:type="dxa"/>
            <w:vAlign w:val="bottom"/>
          </w:tcPr>
          <w:p>
            <w:pPr>
              <w:jc w:val="right"/>
              <w:ind w:right="66"/>
              <w:spacing w:after="0" w:line="140" w:lineRule="exact"/>
              <w:rPr>
                <w:sz w:val="20"/>
                <w:szCs w:val="20"/>
                <w:color w:val="auto"/>
              </w:rPr>
            </w:pPr>
            <w:r>
              <w:rPr>
                <w:rFonts w:ascii="Arial" w:cs="Arial" w:eastAsia="Arial" w:hAnsi="Arial"/>
                <w:sz w:val="13"/>
                <w:szCs w:val="13"/>
                <w:b w:val="1"/>
                <w:bCs w:val="1"/>
                <w:color w:val="auto"/>
                <w:w w:val="98"/>
              </w:rPr>
              <w:t>Income before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6"/>
              <w:spacing w:after="0" w:line="140" w:lineRule="exact"/>
              <w:rPr>
                <w:sz w:val="20"/>
                <w:szCs w:val="20"/>
                <w:color w:val="auto"/>
              </w:rPr>
            </w:pPr>
            <w:r>
              <w:rPr>
                <w:rFonts w:ascii="Arial" w:cs="Arial" w:eastAsia="Arial" w:hAnsi="Arial"/>
                <w:sz w:val="13"/>
                <w:szCs w:val="13"/>
                <w:b w:val="1"/>
                <w:bCs w:val="1"/>
                <w:color w:val="auto"/>
                <w:w w:val="94"/>
              </w:rPr>
              <w:t>Income tax</w:t>
            </w:r>
          </w:p>
        </w:tc>
        <w:tc>
          <w:tcPr>
            <w:tcW w:w="100" w:type="dxa"/>
            <w:vAlign w:val="bottom"/>
          </w:tcPr>
          <w:p>
            <w:pPr>
              <w:spacing w:after="0"/>
              <w:rPr>
                <w:sz w:val="12"/>
                <w:szCs w:val="12"/>
                <w:color w:val="auto"/>
              </w:rPr>
            </w:pPr>
          </w:p>
        </w:tc>
        <w:tc>
          <w:tcPr>
            <w:tcW w:w="980" w:type="dxa"/>
            <w:vAlign w:val="bottom"/>
          </w:tcPr>
          <w:p>
            <w:pPr>
              <w:jc w:val="right"/>
              <w:ind w:right="57"/>
              <w:spacing w:after="0" w:line="140" w:lineRule="exact"/>
              <w:rPr>
                <w:sz w:val="20"/>
                <w:szCs w:val="20"/>
                <w:color w:val="auto"/>
              </w:rPr>
            </w:pPr>
            <w:r>
              <w:rPr>
                <w:rFonts w:ascii="Arial" w:cs="Arial" w:eastAsia="Arial" w:hAnsi="Arial"/>
                <w:sz w:val="13"/>
                <w:szCs w:val="13"/>
                <w:b w:val="1"/>
                <w:bCs w:val="1"/>
                <w:color w:val="auto"/>
              </w:rPr>
              <w:t>Effective tax</w:t>
            </w:r>
          </w:p>
        </w:tc>
      </w:tr>
      <w:tr>
        <w:trPr>
          <w:trHeight w:val="178"/>
        </w:trPr>
        <w:tc>
          <w:tcPr>
            <w:tcW w:w="4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rPr>
              <w:t>income taxes</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rPr>
              <w:t>income taxes</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rate</w:t>
            </w: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787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Adjustment – GMI restructuring</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r>
      <w:tr>
        <w:trPr>
          <w:trHeight w:val="24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ETR-adjusted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787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5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right="20" w:firstLine="162"/>
        <w:spacing w:after="0" w:line="253"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002"/>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2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4"/>
          </w:tcPr>
          <w:p>
            <w:pPr>
              <w:ind w:left="140"/>
              <w:spacing w:after="0"/>
              <w:rPr>
                <w:sz w:val="20"/>
                <w:szCs w:val="20"/>
                <w:color w:val="auto"/>
              </w:rPr>
            </w:pPr>
            <w:r>
              <w:rPr>
                <w:rFonts w:ascii="Arial" w:cs="Arial" w:eastAsia="Arial" w:hAnsi="Arial"/>
                <w:sz w:val="13"/>
                <w:szCs w:val="13"/>
                <w:b w:val="1"/>
                <w:bCs w:val="1"/>
                <w:color w:val="auto"/>
              </w:rPr>
              <w:t>March 31, 2018</w:t>
            </w:r>
          </w:p>
        </w:tc>
        <w:tc>
          <w:tcPr>
            <w:tcW w:w="240" w:type="dxa"/>
            <w:vAlign w:val="bottom"/>
          </w:tcPr>
          <w:p>
            <w:pPr>
              <w:spacing w:after="0"/>
              <w:rPr>
                <w:sz w:val="22"/>
                <w:szCs w:val="22"/>
                <w:color w:val="auto"/>
              </w:rPr>
            </w:pPr>
          </w:p>
        </w:tc>
        <w:tc>
          <w:tcPr>
            <w:tcW w:w="1400" w:type="dxa"/>
            <w:vAlign w:val="bottom"/>
          </w:tcPr>
          <w:p>
            <w:pPr>
              <w:jc w:val="right"/>
              <w:ind w:right="282"/>
              <w:spacing w:after="0"/>
              <w:rPr>
                <w:sz w:val="20"/>
                <w:szCs w:val="20"/>
                <w:color w:val="auto"/>
              </w:rPr>
            </w:pPr>
            <w:r>
              <w:rPr>
                <w:rFonts w:ascii="Arial" w:cs="Arial" w:eastAsia="Arial" w:hAnsi="Arial"/>
                <w:sz w:val="13"/>
                <w:szCs w:val="13"/>
                <w:b w:val="1"/>
                <w:bCs w:val="1"/>
                <w:color w:val="auto"/>
              </w:rPr>
              <w:t>March 31, 2017</w:t>
            </w:r>
          </w:p>
        </w:tc>
      </w:tr>
      <w:tr>
        <w:trPr>
          <w:trHeight w:val="243"/>
        </w:trPr>
        <w:tc>
          <w:tcPr>
            <w:tcW w:w="20" w:type="dxa"/>
            <w:vAlign w:val="bottom"/>
          </w:tcPr>
          <w:p>
            <w:pPr>
              <w:spacing w:after="0"/>
              <w:rPr>
                <w:sz w:val="21"/>
                <w:szCs w:val="21"/>
                <w:color w:val="auto"/>
              </w:rPr>
            </w:pPr>
          </w:p>
        </w:tc>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stockholders</w:t>
            </w: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(5.4)</w:t>
            </w: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10.1</w:t>
            </w:r>
          </w:p>
        </w:tc>
      </w:tr>
      <w:tr>
        <w:trPr>
          <w:trHeight w:val="233"/>
        </w:trPr>
        <w:tc>
          <w:tcPr>
            <w:tcW w:w="2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Arial" w:cs="Arial" w:eastAsia="Arial" w:hAnsi="Arial"/>
                <w:sz w:val="16"/>
                <w:szCs w:val="16"/>
                <w:color w:val="auto"/>
              </w:rPr>
              <w:t>Average equity</w:t>
            </w:r>
          </w:p>
        </w:tc>
        <w:tc>
          <w:tcPr>
            <w:tcW w:w="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44"/>
              <w:spacing w:after="0"/>
              <w:rPr>
                <w:sz w:val="20"/>
                <w:szCs w:val="20"/>
                <w:color w:val="auto"/>
              </w:rPr>
            </w:pPr>
            <w:r>
              <w:rPr>
                <w:rFonts w:ascii="Arial" w:cs="Arial" w:eastAsia="Arial" w:hAnsi="Arial"/>
                <w:sz w:val="16"/>
                <w:szCs w:val="16"/>
                <w:color w:val="auto"/>
              </w:rPr>
              <w:t>39.3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44.8</w:t>
            </w:r>
          </w:p>
        </w:tc>
      </w:tr>
      <w:tr>
        <w:trPr>
          <w:trHeight w:val="253"/>
        </w:trPr>
        <w:tc>
          <w:tcPr>
            <w:tcW w:w="20" w:type="dxa"/>
            <w:vAlign w:val="bottom"/>
          </w:tcPr>
          <w:p>
            <w:pPr>
              <w:spacing w:after="0"/>
              <w:rPr>
                <w:sz w:val="21"/>
                <w:szCs w:val="21"/>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399"/>
        </w:trPr>
        <w:tc>
          <w:tcPr>
            <w:tcW w:w="20" w:type="dxa"/>
            <w:vAlign w:val="bottom"/>
          </w:tcPr>
          <w:p>
            <w:pPr>
              <w:spacing w:after="0"/>
              <w:rPr>
                <w:sz w:val="24"/>
                <w:szCs w:val="24"/>
                <w:color w:val="auto"/>
              </w:rPr>
            </w:pPr>
          </w:p>
        </w:tc>
        <w:tc>
          <w:tcPr>
            <w:tcW w:w="7920" w:type="dxa"/>
            <w:vAlign w:val="bottom"/>
          </w:tcPr>
          <w:p>
            <w:pPr>
              <w:ind w:left="160"/>
              <w:spacing w:after="0"/>
              <w:rPr>
                <w:sz w:val="20"/>
                <w:szCs w:val="20"/>
                <w:color w:val="auto"/>
              </w:rPr>
            </w:pPr>
            <w:r>
              <w:rPr>
                <w:rFonts w:ascii="Arial" w:cs="Arial" w:eastAsia="Arial" w:hAnsi="Arial"/>
                <w:sz w:val="16"/>
                <w:szCs w:val="16"/>
                <w:color w:val="auto"/>
              </w:rPr>
              <w:t>The following table summarizes the calculation of ROIC-adjusted (dollars in billions):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982"/>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20" w:type="dxa"/>
            <w:vAlign w:val="bottom"/>
          </w:tcPr>
          <w:p>
            <w:pPr>
              <w:spacing w:after="0"/>
              <w:rPr>
                <w:sz w:val="22"/>
                <w:szCs w:val="22"/>
                <w:color w:val="auto"/>
              </w:rPr>
            </w:pPr>
          </w:p>
        </w:tc>
        <w:tc>
          <w:tcPr>
            <w:tcW w:w="79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March 31, 2018</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March 31, 2017</w:t>
            </w:r>
          </w:p>
        </w:tc>
      </w:tr>
      <w:tr>
        <w:trPr>
          <w:trHeight w:val="243"/>
        </w:trPr>
        <w:tc>
          <w:tcPr>
            <w:tcW w:w="20" w:type="dxa"/>
            <w:vAlign w:val="bottom"/>
          </w:tcPr>
          <w:p>
            <w:pPr>
              <w:spacing w:after="0"/>
              <w:rPr>
                <w:sz w:val="21"/>
                <w:szCs w:val="21"/>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13.7</w:t>
            </w:r>
          </w:p>
        </w:tc>
      </w:tr>
      <w:tr>
        <w:trPr>
          <w:trHeight w:val="233"/>
        </w:trPr>
        <w:tc>
          <w:tcPr>
            <w:tcW w:w="2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Arial" w:cs="Arial" w:eastAsia="Arial" w:hAnsi="Arial"/>
                <w:sz w:val="16"/>
                <w:szCs w:val="16"/>
                <w:color w:val="auto"/>
              </w:rPr>
              <w:t>Average equity</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4"/>
              <w:spacing w:after="0"/>
              <w:rPr>
                <w:sz w:val="20"/>
                <w:szCs w:val="20"/>
                <w:color w:val="auto"/>
              </w:rPr>
            </w:pPr>
            <w:r>
              <w:rPr>
                <w:rFonts w:ascii="Arial" w:cs="Arial" w:eastAsia="Arial" w:hAnsi="Arial"/>
                <w:sz w:val="16"/>
                <w:szCs w:val="16"/>
                <w:color w:val="auto"/>
              </w:rPr>
              <w:t>39.3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44.8</w:t>
            </w:r>
          </w:p>
        </w:tc>
      </w:tr>
      <w:tr>
        <w:trPr>
          <w:trHeight w:val="253"/>
        </w:trPr>
        <w:tc>
          <w:tcPr>
            <w:tcW w:w="20" w:type="dxa"/>
            <w:vAlign w:val="bottom"/>
          </w:tcPr>
          <w:p>
            <w:pPr>
              <w:spacing w:after="0"/>
              <w:rPr>
                <w:sz w:val="21"/>
                <w:szCs w:val="21"/>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capital leases)</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12.7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10.0</w:t>
            </w:r>
          </w:p>
        </w:tc>
      </w:tr>
      <w:tr>
        <w:trPr>
          <w:trHeight w:val="233"/>
        </w:trPr>
        <w:tc>
          <w:tcPr>
            <w:tcW w:w="2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104"/>
              <w:spacing w:after="0"/>
              <w:rPr>
                <w:sz w:val="20"/>
                <w:szCs w:val="20"/>
                <w:color w:val="auto"/>
              </w:rPr>
            </w:pPr>
            <w:r>
              <w:rPr>
                <w:rFonts w:ascii="Arial" w:cs="Arial" w:eastAsia="Arial" w:hAnsi="Arial"/>
                <w:sz w:val="16"/>
                <w:szCs w:val="16"/>
                <w:color w:val="auto"/>
              </w:rPr>
              <w:t>20.6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21.5</w:t>
            </w:r>
          </w:p>
        </w:tc>
      </w:tr>
      <w:tr>
        <w:trPr>
          <w:trHeight w:val="246"/>
        </w:trPr>
        <w:tc>
          <w:tcPr>
            <w:tcW w:w="20" w:type="dxa"/>
            <w:vAlign w:val="bottom"/>
          </w:tcPr>
          <w:p>
            <w:pPr>
              <w:spacing w:after="0"/>
              <w:rPr>
                <w:sz w:val="21"/>
                <w:szCs w:val="21"/>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net income tax asset</w:t>
            </w: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(26.9)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(32.4)</w:t>
            </w:r>
          </w:p>
        </w:tc>
      </w:tr>
      <w:tr>
        <w:trPr>
          <w:trHeight w:val="280"/>
        </w:trPr>
        <w:tc>
          <w:tcPr>
            <w:tcW w:w="20" w:type="dxa"/>
            <w:vAlign w:val="bottom"/>
          </w:tcPr>
          <w:p>
            <w:pPr>
              <w:spacing w:after="0"/>
              <w:rPr>
                <w:sz w:val="24"/>
                <w:szCs w:val="24"/>
                <w:color w:val="auto"/>
              </w:rPr>
            </w:pPr>
          </w:p>
        </w:tc>
        <w:tc>
          <w:tcPr>
            <w:tcW w:w="792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4"/>
              <w:spacing w:after="0"/>
              <w:rPr>
                <w:sz w:val="20"/>
                <w:szCs w:val="20"/>
                <w:color w:val="auto"/>
              </w:rPr>
            </w:pPr>
            <w:r>
              <w:rPr>
                <w:rFonts w:ascii="Arial" w:cs="Arial" w:eastAsia="Arial" w:hAnsi="Arial"/>
                <w:sz w:val="16"/>
                <w:szCs w:val="16"/>
                <w:color w:val="auto"/>
              </w:rPr>
              <w:t>45.7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43.9</w:t>
            </w:r>
          </w:p>
        </w:tc>
      </w:tr>
      <w:tr>
        <w:trPr>
          <w:trHeight w:val="227"/>
        </w:trPr>
        <w:tc>
          <w:tcPr>
            <w:tcW w:w="20" w:type="dxa"/>
            <w:vAlign w:val="bottom"/>
          </w:tcPr>
          <w:p>
            <w:pPr>
              <w:spacing w:after="0"/>
              <w:rPr>
                <w:sz w:val="19"/>
                <w:szCs w:val="19"/>
                <w:color w:val="auto"/>
              </w:rPr>
            </w:pPr>
          </w:p>
        </w:tc>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167"/>
        </w:trPr>
        <w:tc>
          <w:tcPr>
            <w:tcW w:w="7940" w:type="dxa"/>
            <w:vAlign w:val="bottom"/>
            <w:gridSpan w:val="2"/>
          </w:tcPr>
          <w:p>
            <w:pPr>
              <w:jc w:val="right"/>
              <w:ind w:right="7219"/>
              <w:spacing w:after="0"/>
              <w:rPr>
                <w:sz w:val="20"/>
                <w:szCs w:val="20"/>
                <w:color w:val="auto"/>
              </w:rPr>
            </w:pPr>
            <w:r>
              <w:rPr>
                <w:rFonts w:ascii="Arial" w:cs="Arial" w:eastAsia="Arial" w:hAnsi="Arial"/>
                <w:sz w:val="14"/>
                <w:szCs w:val="14"/>
                <w:color w:val="auto"/>
                <w:w w:val="99"/>
              </w:rPr>
              <w:t>________</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 in a preceding section.</w:t>
      </w:r>
    </w:p>
    <w:p>
      <w:pPr>
        <w:spacing w:after="0" w:line="160" w:lineRule="exact"/>
        <w:rPr>
          <w:sz w:val="20"/>
          <w:szCs w:val="20"/>
          <w:color w:val="auto"/>
        </w:rPr>
      </w:pPr>
    </w:p>
    <w:p>
      <w:pPr>
        <w:ind w:right="540" w:firstLine="162"/>
        <w:spacing w:after="0" w:line="260" w:lineRule="auto"/>
        <w:rPr>
          <w:sz w:val="20"/>
          <w:szCs w:val="20"/>
          <w:color w:val="auto"/>
        </w:rPr>
      </w:pPr>
      <w:r>
        <w:rPr>
          <w:rFonts w:ascii="Arial" w:cs="Arial" w:eastAsia="Arial" w:hAnsi="Arial"/>
          <w:sz w:val="16"/>
          <w:szCs w:val="16"/>
          <w:color w:val="auto"/>
        </w:rPr>
        <w:t>The following table reconciles Net automotive cash provided by (used in) operating activities from continuing operations under U.S. GAAP to adjusted automotive free cash flow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 2018</w:t>
            </w:r>
          </w:p>
        </w:tc>
        <w:tc>
          <w:tcPr>
            <w:tcW w:w="240" w:type="dxa"/>
            <w:vAlign w:val="bottom"/>
          </w:tcPr>
          <w:p>
            <w:pPr>
              <w:spacing w:after="0"/>
              <w:rPr>
                <w:sz w:val="22"/>
                <w:szCs w:val="22"/>
                <w:color w:val="auto"/>
              </w:rPr>
            </w:pPr>
          </w:p>
        </w:tc>
        <w:tc>
          <w:tcPr>
            <w:tcW w:w="1360" w:type="dxa"/>
            <w:vAlign w:val="bottom"/>
          </w:tcPr>
          <w:p>
            <w:pPr>
              <w:jc w:val="right"/>
              <w:ind w:right="262"/>
              <w:spacing w:after="0"/>
              <w:rPr>
                <w:sz w:val="20"/>
                <w:szCs w:val="20"/>
                <w:color w:val="auto"/>
              </w:rPr>
            </w:pPr>
            <w:r>
              <w:rPr>
                <w:rFonts w:ascii="Arial" w:cs="Arial" w:eastAsia="Arial" w:hAnsi="Arial"/>
                <w:sz w:val="13"/>
                <w:szCs w:val="13"/>
                <w:b w:val="1"/>
                <w:bCs w:val="1"/>
                <w:color w:val="auto"/>
              </w:rPr>
              <w:t>March 31, 2017</w:t>
            </w: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automotive cash provided by (used in) operating activities – continuing operations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1,090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capital expenditures – continuing operations</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automotive free cash flow – continuing operations</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Net automotive cash provided by operating activities – discontinued operations</w:t>
            </w:r>
          </w:p>
        </w:tc>
        <w:tc>
          <w:tcPr>
            <w:tcW w:w="22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307</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capital expenditures – discontinued operations</w:t>
            </w:r>
          </w:p>
        </w:tc>
        <w:tc>
          <w:tcPr>
            <w:tcW w:w="2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Adjusted automotive free cash flow</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adjusted automotive free cash flow to Core adjusted automotive free cash flow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rPr>
              <w:t>March 31, 2018</w:t>
            </w:r>
          </w:p>
        </w:tc>
        <w:tc>
          <w:tcPr>
            <w:tcW w:w="16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 2017</w:t>
            </w:r>
          </w:p>
        </w:tc>
        <w:tc>
          <w:tcPr>
            <w:tcW w:w="200" w:type="dxa"/>
            <w:vAlign w:val="bottom"/>
          </w:tcPr>
          <w:p>
            <w:pPr>
              <w:spacing w:after="0"/>
              <w:rPr>
                <w:sz w:val="22"/>
                <w:szCs w:val="22"/>
                <w:color w:val="auto"/>
              </w:rPr>
            </w:pPr>
          </w:p>
        </w:tc>
        <w:tc>
          <w:tcPr>
            <w:tcW w:w="1500" w:type="dxa"/>
            <w:vAlign w:val="bottom"/>
          </w:tcPr>
          <w:p>
            <w:pPr>
              <w:jc w:val="right"/>
              <w:ind w:right="205"/>
              <w:spacing w:after="0"/>
              <w:rPr>
                <w:sz w:val="20"/>
                <w:szCs w:val="20"/>
                <w:color w:val="auto"/>
              </w:rPr>
            </w:pPr>
            <w:r>
              <w:rPr>
                <w:rFonts w:ascii="Arial" w:cs="Arial" w:eastAsia="Arial" w:hAnsi="Arial"/>
                <w:sz w:val="13"/>
                <w:szCs w:val="13"/>
                <w:b w:val="1"/>
                <w:bCs w:val="1"/>
                <w:color w:val="auto"/>
              </w:rPr>
              <w:t>December 31, 2017</w:t>
            </w:r>
          </w:p>
        </w:tc>
        <w:tc>
          <w:tcPr>
            <w:tcW w:w="0" w:type="dxa"/>
            <w:vAlign w:val="bottom"/>
          </w:tcPr>
          <w:p>
            <w:pPr>
              <w:spacing w:after="0"/>
              <w:rPr>
                <w:sz w:val="1"/>
                <w:szCs w:val="1"/>
                <w:color w:val="auto"/>
              </w:rPr>
            </w:pPr>
          </w:p>
        </w:tc>
      </w:tr>
      <w:tr>
        <w:trPr>
          <w:trHeight w:val="257"/>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automotive free cash flow – continuing operations(a)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Net automotive cash used in operating activities – autonomous vehicle operations</w:t>
            </w:r>
          </w:p>
        </w:tc>
        <w:tc>
          <w:tcPr>
            <w:tcW w:w="160" w:type="dxa"/>
            <w:vAlign w:val="bottom"/>
          </w:tcPr>
          <w:p>
            <w:pPr>
              <w:spacing w:after="0"/>
              <w:rPr>
                <w:sz w:val="22"/>
                <w:szCs w:val="22"/>
                <w:color w:val="auto"/>
              </w:rPr>
            </w:pPr>
          </w:p>
        </w:tc>
        <w:tc>
          <w:tcPr>
            <w:tcW w:w="1120" w:type="dxa"/>
            <w:vAlign w:val="bottom"/>
          </w:tcPr>
          <w:p>
            <w:pPr>
              <w:jc w:val="right"/>
              <w:ind w:right="25"/>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25"/>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73"/>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 – autonomous vehicles operations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Core adjusted automotive free cash flow</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rPr>
              <w:t>5,719</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Refer to the reconciliation of adjusted automotive free cash flow.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2"/>
                <w:szCs w:val="12"/>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Pr>
          <w:p>
            <w:pPr>
              <w:spacing w:after="0"/>
              <w:rPr>
                <w:sz w:val="12"/>
                <w:szCs w:val="12"/>
                <w:color w:val="auto"/>
              </w:rPr>
            </w:pPr>
          </w:p>
        </w:tc>
        <w:tc>
          <w:tcPr>
            <w:tcW w:w="60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41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Three Months Ended March 31, 2018</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1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27,818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4,848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32,715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3,411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36,099</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2,064</w:t>
            </w:r>
          </w:p>
        </w:tc>
        <w:tc>
          <w:tcPr>
            <w:tcW w:w="14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8"/>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0"/>
              <w:spacing w:after="0"/>
              <w:rPr>
                <w:sz w:val="20"/>
                <w:szCs w:val="20"/>
                <w:color w:val="auto"/>
              </w:rPr>
            </w:pPr>
            <w:r>
              <w:rPr>
                <w:rFonts w:ascii="Arial" w:cs="Arial" w:eastAsia="Arial" w:hAnsi="Arial"/>
                <w:sz w:val="13"/>
                <w:szCs w:val="13"/>
                <w:color w:val="auto"/>
              </w:rPr>
              <w:t>2,252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2,272</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1,109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1,823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3,097</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8"/>
              <w:spacing w:after="0"/>
              <w:rPr>
                <w:sz w:val="20"/>
                <w:szCs w:val="20"/>
                <w:color w:val="auto"/>
              </w:rPr>
            </w:pPr>
            <w:r>
              <w:rPr>
                <w:rFonts w:ascii="Arial" w:cs="Arial" w:eastAsia="Arial" w:hAnsi="Arial"/>
                <w:sz w:val="13"/>
                <w:szCs w:val="13"/>
                <w:color w:val="auto"/>
              </w:rPr>
              <w:t>459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484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648</w:t>
            </w: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GMNA</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42"/>
        </w:trPr>
        <w:tc>
          <w:tcPr>
            <w:tcW w:w="4120" w:type="dxa"/>
            <w:vAlign w:val="bottom"/>
          </w:tcPr>
          <w:p>
            <w:pPr>
              <w:ind w:left="40"/>
              <w:spacing w:after="0"/>
              <w:rPr>
                <w:sz w:val="20"/>
                <w:szCs w:val="20"/>
                <w:color w:val="auto"/>
              </w:rPr>
            </w:pPr>
            <w:r>
              <w:rPr>
                <w:rFonts w:ascii="Arial" w:cs="Arial" w:eastAsia="Arial" w:hAnsi="Arial"/>
                <w:sz w:val="11"/>
                <w:szCs w:val="11"/>
                <w:b w:val="1"/>
                <w:bCs w:val="1"/>
                <w:color w:val="auto"/>
              </w:rPr>
              <w:t>Three Months Ended March 31, 2017</w:t>
            </w: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29,338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5,138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34,650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2,748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37,266</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1,528</w:t>
            </w:r>
          </w:p>
        </w:tc>
        <w:tc>
          <w:tcPr>
            <w:tcW w:w="14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8"/>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0"/>
              <w:spacing w:after="0"/>
              <w:rPr>
                <w:sz w:val="20"/>
                <w:szCs w:val="20"/>
                <w:color w:val="auto"/>
              </w:rPr>
            </w:pPr>
            <w:r>
              <w:rPr>
                <w:rFonts w:ascii="Arial" w:cs="Arial" w:eastAsia="Arial" w:hAnsi="Arial"/>
                <w:sz w:val="13"/>
                <w:szCs w:val="13"/>
                <w:color w:val="auto"/>
              </w:rPr>
              <w:t>1,710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1,730</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1,102</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1,428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2,722</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156"/>
        </w:trPr>
        <w:tc>
          <w:tcPr>
            <w:tcW w:w="4120" w:type="dxa"/>
            <w:vAlign w:val="bottom"/>
          </w:tcPr>
          <w:p>
            <w:pPr>
              <w:spacing w:after="0" w:line="156" w:lineRule="exact"/>
              <w:rPr>
                <w:sz w:val="20"/>
                <w:szCs w:val="20"/>
                <w:color w:val="auto"/>
              </w:rPr>
            </w:pPr>
            <w:r>
              <w:rPr>
                <w:rFonts w:ascii="Arial" w:cs="Arial" w:eastAsia="Arial" w:hAnsi="Arial"/>
                <w:sz w:val="14"/>
                <w:szCs w:val="14"/>
                <w:color w:val="auto"/>
              </w:rPr>
              <w:t>________</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Automotive China equity income of $597 million and $504 million in the three months ended March 31, 2018 and 2017</w:t>
      </w: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14"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GM presents both wholesale and retail vehicle sales data to assist in the analysis of our revenue and our market share. GM does not currently export vehicles to Cuba, Iran, North Korea, Sudan or Syria. Accordingly these countries are excluded from industry sales data and corresponding calculation of GM's market share.</w:t>
      </w:r>
    </w:p>
    <w:p>
      <w:pPr>
        <w:spacing w:after="0" w:line="174"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Wholesale vehicle sales data, which represents sales directly to dealers and others, including sales to fleet customers, is the measure that correlates to GM's revenue from the sale of vehicles, which is the largest component of Automotive net sales and revenue. Wholesale vehicle sales exclude vehicles sold by joint ventures. In the three months ended March 31, 2018, 34.9% of our wholesale vehicle sales volume was generated outside the U.S. The following table summarizes total wholesale vehicle sales of new vehicles by automotive segment (vehicles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3300" w:type="dxa"/>
            <w:vAlign w:val="bottom"/>
            <w:tcBorders>
              <w:bottom w:val="single" w:sz="8" w:color="auto"/>
            </w:tcBorders>
            <w:gridSpan w:val="3"/>
          </w:tcPr>
          <w:p>
            <w:pPr>
              <w:jc w:val="right"/>
              <w:ind w:right="943"/>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120" w:type="dxa"/>
            <w:vAlign w:val="bottom"/>
          </w:tcPr>
          <w:p>
            <w:pPr>
              <w:spacing w:after="0"/>
              <w:rPr>
                <w:sz w:val="22"/>
                <w:szCs w:val="22"/>
                <w:color w:val="auto"/>
              </w:rPr>
            </w:pPr>
          </w:p>
        </w:tc>
        <w:tc>
          <w:tcPr>
            <w:tcW w:w="1720" w:type="dxa"/>
            <w:vAlign w:val="bottom"/>
            <w:gridSpan w:val="2"/>
          </w:tcPr>
          <w:p>
            <w:pPr>
              <w:ind w:left="340"/>
              <w:spacing w:after="0"/>
              <w:rPr>
                <w:sz w:val="20"/>
                <w:szCs w:val="20"/>
                <w:color w:val="auto"/>
              </w:rPr>
            </w:pPr>
            <w:r>
              <w:rPr>
                <w:rFonts w:ascii="Arial" w:cs="Arial" w:eastAsia="Arial" w:hAnsi="Arial"/>
                <w:sz w:val="13"/>
                <w:szCs w:val="13"/>
                <w:b w:val="1"/>
                <w:bCs w:val="1"/>
                <w:color w:val="auto"/>
              </w:rPr>
              <w:t>March 31, 2018</w:t>
            </w:r>
          </w:p>
        </w:tc>
        <w:tc>
          <w:tcPr>
            <w:tcW w:w="1580" w:type="dxa"/>
            <w:vAlign w:val="bottom"/>
          </w:tcPr>
          <w:p>
            <w:pPr>
              <w:jc w:val="right"/>
              <w:ind w:right="263"/>
              <w:spacing w:after="0"/>
              <w:rPr>
                <w:sz w:val="20"/>
                <w:szCs w:val="20"/>
                <w:color w:val="auto"/>
              </w:rPr>
            </w:pPr>
            <w:r>
              <w:rPr>
                <w:rFonts w:ascii="Arial" w:cs="Arial" w:eastAsia="Arial" w:hAnsi="Arial"/>
                <w:sz w:val="13"/>
                <w:szCs w:val="13"/>
                <w:b w:val="1"/>
                <w:bCs w:val="1"/>
                <w:color w:val="auto"/>
              </w:rPr>
              <w:t>March 31, 2017</w:t>
            </w: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GMNA(a)</w:t>
            </w:r>
          </w:p>
        </w:tc>
        <w:tc>
          <w:tcPr>
            <w:tcW w:w="16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893</w:t>
            </w:r>
          </w:p>
        </w:tc>
        <w:tc>
          <w:tcPr>
            <w:tcW w:w="12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940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GMI(b)</w:t>
            </w: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299</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1,159</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1,239</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19"/>
        </w:trPr>
        <w:tc>
          <w:tcPr>
            <w:tcW w:w="8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303</w:t>
            </w:r>
          </w:p>
        </w:tc>
      </w:tr>
      <w:tr>
        <w:trPr>
          <w:trHeight w:val="383"/>
        </w:trPr>
        <w:tc>
          <w:tcPr>
            <w:tcW w:w="8120" w:type="dxa"/>
            <w:vAlign w:val="bottom"/>
          </w:tcPr>
          <w:p>
            <w:pPr>
              <w:spacing w:after="0"/>
              <w:rPr>
                <w:sz w:val="20"/>
                <w:szCs w:val="20"/>
                <w:color w:val="auto"/>
              </w:rPr>
            </w:pPr>
            <w:r>
              <w:rPr>
                <w:rFonts w:ascii="Arial" w:cs="Arial" w:eastAsia="Arial" w:hAnsi="Arial"/>
                <w:sz w:val="14"/>
                <w:szCs w:val="14"/>
                <w:color w:val="auto"/>
              </w:rPr>
              <w:t>__________</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Wholesale vehicle sales related to transactions with the European Business were insignificant for the three months ended March 31,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Wholesale vehicle sales include 48 vehicles related to transactions with the European Business for the three months ended March 31, 2017.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5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Retail vehicle sales data, which represents sales to end customers based upon the good faith estimates of management, including sales to fleet customers, does not correlate directly to the revenue GM recognizes during the period. However retail vehicle sales data is indicative of the underlying demand for GM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6" w:lineRule="exact"/>
        <w:rPr>
          <w:sz w:val="20"/>
          <w:szCs w:val="20"/>
          <w:color w:val="auto"/>
        </w:rPr>
      </w:pPr>
    </w:p>
    <w:p>
      <w:pPr>
        <w:jc w:val="both"/>
        <w:ind w:firstLine="162"/>
        <w:spacing w:after="0" w:line="249" w:lineRule="auto"/>
        <w:rPr>
          <w:sz w:val="20"/>
          <w:szCs w:val="20"/>
          <w:color w:val="auto"/>
        </w:rPr>
      </w:pPr>
      <w:r>
        <w:rPr>
          <w:rFonts w:ascii="Arial" w:cs="Arial" w:eastAsia="Arial" w:hAnsi="Arial"/>
          <w:sz w:val="16"/>
          <w:szCs w:val="16"/>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by geographic region (vehicles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330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720" w:type="dxa"/>
            <w:vAlign w:val="bottom"/>
            <w:gridSpan w:val="2"/>
          </w:tcPr>
          <w:p>
            <w:pPr>
              <w:ind w:left="340"/>
              <w:spacing w:after="0"/>
              <w:rPr>
                <w:sz w:val="20"/>
                <w:szCs w:val="20"/>
                <w:color w:val="auto"/>
              </w:rPr>
            </w:pPr>
            <w:r>
              <w:rPr>
                <w:rFonts w:ascii="Arial" w:cs="Arial" w:eastAsia="Arial" w:hAnsi="Arial"/>
                <w:sz w:val="13"/>
                <w:szCs w:val="13"/>
                <w:b w:val="1"/>
                <w:bCs w:val="1"/>
                <w:color w:val="auto"/>
              </w:rPr>
              <w:t>March 31, 2018</w:t>
            </w:r>
          </w:p>
        </w:tc>
        <w:tc>
          <w:tcPr>
            <w:tcW w:w="1580" w:type="dxa"/>
            <w:vAlign w:val="bottom"/>
          </w:tcPr>
          <w:p>
            <w:pPr>
              <w:jc w:val="right"/>
              <w:ind w:right="260"/>
              <w:spacing w:after="0"/>
              <w:rPr>
                <w:sz w:val="20"/>
                <w:szCs w:val="20"/>
                <w:color w:val="auto"/>
              </w:rPr>
            </w:pPr>
            <w:r>
              <w:rPr>
                <w:rFonts w:ascii="Arial" w:cs="Arial" w:eastAsia="Arial" w:hAnsi="Arial"/>
                <w:sz w:val="13"/>
                <w:szCs w:val="13"/>
                <w:b w:val="1"/>
                <w:bCs w:val="1"/>
                <w:color w:val="auto"/>
              </w:rPr>
              <w:t>March 31, 2017</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Cars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Chevrolet – Trucks</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Crossovers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GMC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United States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Canada, Mexico and 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North America(a)</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color w:val="auto"/>
              </w:rPr>
              <w:t>Asia/Pacific, Middle East and Africa</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Wuling</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Baojun</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Asia/Pacific, Middle East and Africa(a)(b)(c)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South America(a)(d)</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in GM markets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2,095</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Europe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Worldwide</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2,096</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2,344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2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Sales of Opel/Vauxhall outside of Europe were insignificant in the three months ended March 31, 2018 and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use estimated vehicle registrations data as the basis for calculating industry volume and market share in China.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Industry and GM sales in India and South Africa. As of December 31, 2017 we have ceased sales of Chevrolet for the domestic markets in India and South Africa.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Chevrolet.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64" w:lineRule="exact"/>
        <w:rPr>
          <w:sz w:val="20"/>
          <w:szCs w:val="20"/>
          <w:color w:val="auto"/>
        </w:rPr>
      </w:pPr>
    </w:p>
    <w:p>
      <w:pPr>
        <w:ind w:right="20" w:firstLine="162"/>
        <w:spacing w:after="0" w:line="260" w:lineRule="auto"/>
        <w:rPr>
          <w:sz w:val="20"/>
          <w:szCs w:val="20"/>
          <w:color w:val="auto"/>
        </w:rPr>
      </w:pPr>
      <w:r>
        <w:rPr>
          <w:rFonts w:ascii="Arial" w:cs="Arial" w:eastAsia="Arial" w:hAnsi="Arial"/>
          <w:sz w:val="16"/>
          <w:szCs w:val="16"/>
          <w:color w:val="auto"/>
        </w:rPr>
        <w:t>The vehicle sales at GM's China joint ventures presented in the following table are included in GM's retail vehicle sales on the preceding page (vehicles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bottom w:val="single" w:sz="8" w:color="auto"/>
            </w:tcBorders>
            <w:gridSpan w:val="5"/>
          </w:tcPr>
          <w:p>
            <w:pPr>
              <w:jc w:val="right"/>
              <w:ind w:right="941"/>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4"/>
          </w:tcPr>
          <w:p>
            <w:pPr>
              <w:ind w:left="340"/>
              <w:spacing w:after="0"/>
              <w:rPr>
                <w:sz w:val="20"/>
                <w:szCs w:val="20"/>
                <w:color w:val="auto"/>
              </w:rPr>
            </w:pPr>
            <w:r>
              <w:rPr>
                <w:rFonts w:ascii="Arial" w:cs="Arial" w:eastAsia="Arial" w:hAnsi="Arial"/>
                <w:sz w:val="13"/>
                <w:szCs w:val="13"/>
                <w:b w:val="1"/>
                <w:bCs w:val="1"/>
                <w:color w:val="auto"/>
              </w:rPr>
              <w:t>March 31, 2018</w:t>
            </w:r>
          </w:p>
        </w:tc>
        <w:tc>
          <w:tcPr>
            <w:tcW w:w="1580" w:type="dxa"/>
            <w:vAlign w:val="bottom"/>
          </w:tcPr>
          <w:p>
            <w:pPr>
              <w:jc w:val="right"/>
              <w:ind w:right="261"/>
              <w:spacing w:after="0"/>
              <w:rPr>
                <w:sz w:val="20"/>
                <w:szCs w:val="20"/>
                <w:color w:val="auto"/>
              </w:rPr>
            </w:pPr>
            <w:r>
              <w:rPr>
                <w:rFonts w:ascii="Arial" w:cs="Arial" w:eastAsia="Arial" w:hAnsi="Arial"/>
                <w:sz w:val="13"/>
                <w:szCs w:val="13"/>
                <w:b w:val="1"/>
                <w:bCs w:val="1"/>
                <w:color w:val="auto"/>
              </w:rPr>
              <w:t>March 31, 2017</w:t>
            </w:r>
          </w:p>
        </w:tc>
      </w:tr>
      <w:tr>
        <w:trPr>
          <w:trHeight w:val="257"/>
        </w:trPr>
        <w:tc>
          <w:tcPr>
            <w:tcW w:w="81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SAIC General Motors Sales Co., Ltd.(a)</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386</w:t>
            </w:r>
          </w:p>
        </w:tc>
      </w:tr>
      <w:tr>
        <w:trPr>
          <w:trHeight w:val="25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SAIC GM Wuling Automobile Co., Ltd. and FAW-GM Light Duty Commercial Vehicle Co., Ltd.(a)</w:t>
            </w:r>
          </w:p>
        </w:tc>
        <w:tc>
          <w:tcPr>
            <w:tcW w:w="1540" w:type="dxa"/>
            <w:vAlign w:val="bottom"/>
          </w:tcPr>
          <w:p>
            <w:pPr>
              <w:jc w:val="right"/>
              <w:spacing w:after="0"/>
              <w:rPr>
                <w:sz w:val="20"/>
                <w:szCs w:val="20"/>
                <w:color w:val="auto"/>
              </w:rPr>
            </w:pPr>
            <w:r>
              <w:rPr>
                <w:rFonts w:ascii="Arial" w:cs="Arial" w:eastAsia="Arial" w:hAnsi="Arial"/>
                <w:sz w:val="16"/>
                <w:szCs w:val="16"/>
                <w:color w:val="auto"/>
              </w:rPr>
              <w:t>529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527</w:t>
            </w:r>
          </w:p>
        </w:tc>
      </w:tr>
      <w:tr>
        <w:trPr>
          <w:trHeight w:val="634"/>
        </w:trPr>
        <w:tc>
          <w:tcPr>
            <w:tcW w:w="8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right"/>
              <w:ind w:right="981"/>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0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March 31, 2018</w:t>
            </w:r>
          </w:p>
        </w:tc>
        <w:tc>
          <w:tcPr>
            <w:tcW w:w="120" w:type="dxa"/>
            <w:vAlign w:val="bottom"/>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March 31, 2017</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Market Share</w:t>
            </w: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8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Cars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60"/>
        </w:trPr>
        <w:tc>
          <w:tcPr>
            <w:tcW w:w="8120" w:type="dxa"/>
            <w:vAlign w:val="bottom"/>
            <w:gridSpan w:val="2"/>
          </w:tcPr>
          <w:p>
            <w:pPr>
              <w:ind w:left="200"/>
              <w:spacing w:after="0"/>
              <w:rPr>
                <w:sz w:val="20"/>
                <w:szCs w:val="20"/>
                <w:color w:val="auto"/>
              </w:rPr>
            </w:pPr>
            <w:r>
              <w:rPr>
                <w:rFonts w:ascii="Arial" w:cs="Arial" w:eastAsia="Arial" w:hAnsi="Arial"/>
                <w:sz w:val="16"/>
                <w:szCs w:val="16"/>
                <w:color w:val="auto"/>
              </w:rPr>
              <w:t>United States – Trucks</w:t>
            </w:r>
          </w:p>
        </w:tc>
        <w:tc>
          <w:tcPr>
            <w:tcW w:w="1540" w:type="dxa"/>
            <w:vAlign w:val="bottom"/>
          </w:tcPr>
          <w:p>
            <w:pPr>
              <w:jc w:val="right"/>
              <w:spacing w:after="0"/>
              <w:rPr>
                <w:sz w:val="20"/>
                <w:szCs w:val="20"/>
                <w:color w:val="auto"/>
              </w:rPr>
            </w:pPr>
            <w:r>
              <w:rPr>
                <w:rFonts w:ascii="Arial" w:cs="Arial" w:eastAsia="Arial" w:hAnsi="Arial"/>
                <w:sz w:val="16"/>
                <w:szCs w:val="16"/>
                <w:color w:val="auto"/>
              </w:rPr>
              <w:t>24.8%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80"/>
        </w:trPr>
        <w:tc>
          <w:tcPr>
            <w:tcW w:w="8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Crossovers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60"/>
        </w:trPr>
        <w:tc>
          <w:tcPr>
            <w:tcW w:w="8120" w:type="dxa"/>
            <w:vAlign w:val="bottom"/>
            <w:gridSpan w:val="2"/>
          </w:tcPr>
          <w:p>
            <w:pPr>
              <w:ind w:left="200"/>
              <w:spacing w:after="0"/>
              <w:rPr>
                <w:sz w:val="20"/>
                <w:szCs w:val="20"/>
                <w:color w:val="auto"/>
              </w:rPr>
            </w:pPr>
            <w:r>
              <w:rPr>
                <w:rFonts w:ascii="Arial" w:cs="Arial" w:eastAsia="Arial" w:hAnsi="Arial"/>
                <w:sz w:val="16"/>
                <w:szCs w:val="16"/>
                <w:color w:val="auto"/>
              </w:rPr>
              <w:t>Total United States</w:t>
            </w:r>
          </w:p>
        </w:tc>
        <w:tc>
          <w:tcPr>
            <w:tcW w:w="1540" w:type="dxa"/>
            <w:vAlign w:val="bottom"/>
          </w:tcPr>
          <w:p>
            <w:pPr>
              <w:jc w:val="right"/>
              <w:spacing w:after="0"/>
              <w:rPr>
                <w:sz w:val="20"/>
                <w:szCs w:val="20"/>
                <w:color w:val="auto"/>
              </w:rPr>
            </w:pPr>
            <w:r>
              <w:rPr>
                <w:rFonts w:ascii="Arial" w:cs="Arial" w:eastAsia="Arial" w:hAnsi="Arial"/>
                <w:sz w:val="16"/>
                <w:szCs w:val="16"/>
                <w:color w:val="auto"/>
              </w:rPr>
              <w:t>17.0%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80"/>
        </w:trPr>
        <w:tc>
          <w:tcPr>
            <w:tcW w:w="8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North America</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60"/>
        </w:trPr>
        <w:tc>
          <w:tcPr>
            <w:tcW w:w="8120" w:type="dxa"/>
            <w:vAlign w:val="bottom"/>
            <w:gridSpan w:val="2"/>
          </w:tcPr>
          <w:p>
            <w:pPr>
              <w:ind w:left="200"/>
              <w:spacing w:after="0"/>
              <w:rPr>
                <w:sz w:val="20"/>
                <w:szCs w:val="20"/>
                <w:color w:val="auto"/>
              </w:rPr>
            </w:pPr>
            <w:r>
              <w:rPr>
                <w:rFonts w:ascii="Arial" w:cs="Arial" w:eastAsia="Arial" w:hAnsi="Arial"/>
                <w:sz w:val="16"/>
                <w:szCs w:val="16"/>
                <w:color w:val="auto"/>
              </w:rPr>
              <w:t>Total Asia/Pacific, Middle East and Africa(a)</w:t>
            </w:r>
          </w:p>
        </w:tc>
        <w:tc>
          <w:tcPr>
            <w:tcW w:w="1540" w:type="dxa"/>
            <w:vAlign w:val="bottom"/>
          </w:tcPr>
          <w:p>
            <w:pPr>
              <w:jc w:val="right"/>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80"/>
        </w:trPr>
        <w:tc>
          <w:tcPr>
            <w:tcW w:w="8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South America</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Total GM Market</w:t>
            </w:r>
          </w:p>
        </w:tc>
        <w:tc>
          <w:tcPr>
            <w:tcW w:w="1540" w:type="dxa"/>
            <w:vAlign w:val="bottom"/>
          </w:tcPr>
          <w:p>
            <w:pPr>
              <w:jc w:val="right"/>
              <w:spacing w:after="0"/>
              <w:rPr>
                <w:sz w:val="20"/>
                <w:szCs w:val="20"/>
                <w:color w:val="auto"/>
              </w:rPr>
            </w:pPr>
            <w:r>
              <w:rPr>
                <w:rFonts w:ascii="Arial" w:cs="Arial" w:eastAsia="Arial" w:hAnsi="Arial"/>
                <w:sz w:val="16"/>
                <w:szCs w:val="16"/>
                <w:color w:val="auto"/>
              </w:rPr>
              <w:t>11.4%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8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Europe</w:t>
            </w:r>
          </w:p>
        </w:tc>
        <w:tc>
          <w:tcPr>
            <w:tcW w:w="172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Total Worldwide</w:t>
            </w:r>
          </w:p>
        </w:tc>
        <w:tc>
          <w:tcPr>
            <w:tcW w:w="1540" w:type="dxa"/>
            <w:vAlign w:val="bottom"/>
          </w:tcPr>
          <w:p>
            <w:pPr>
              <w:jc w:val="right"/>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172"/>
        </w:trPr>
        <w:tc>
          <w:tcPr>
            <w:tcW w:w="8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United States fleet sales as a percentage of retail vehicle sales</w:t>
            </w:r>
          </w:p>
        </w:tc>
        <w:tc>
          <w:tcPr>
            <w:tcW w:w="1540" w:type="dxa"/>
            <w:vAlign w:val="bottom"/>
          </w:tcPr>
          <w:p>
            <w:pPr>
              <w:jc w:val="right"/>
              <w:spacing w:after="0"/>
              <w:rPr>
                <w:sz w:val="20"/>
                <w:szCs w:val="20"/>
                <w:color w:val="auto"/>
              </w:rPr>
            </w:pPr>
            <w:r>
              <w:rPr>
                <w:rFonts w:ascii="Arial" w:cs="Arial" w:eastAsia="Arial" w:hAnsi="Arial"/>
                <w:sz w:val="16"/>
                <w:szCs w:val="16"/>
                <w:color w:val="auto"/>
              </w:rPr>
              <w:t>23.0%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172"/>
        </w:trPr>
        <w:tc>
          <w:tcPr>
            <w:tcW w:w="8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51"/>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North America capacity two shift utilization</w:t>
            </w:r>
          </w:p>
        </w:tc>
        <w:tc>
          <w:tcPr>
            <w:tcW w:w="1540" w:type="dxa"/>
            <w:vAlign w:val="bottom"/>
          </w:tcPr>
          <w:p>
            <w:pPr>
              <w:jc w:val="right"/>
              <w:spacing w:after="0"/>
              <w:rPr>
                <w:sz w:val="20"/>
                <w:szCs w:val="20"/>
                <w:color w:val="auto"/>
              </w:rPr>
            </w:pPr>
            <w:r>
              <w:rPr>
                <w:rFonts w:ascii="Arial" w:cs="Arial" w:eastAsia="Arial" w:hAnsi="Arial"/>
                <w:sz w:val="16"/>
                <w:szCs w:val="16"/>
                <w:color w:val="auto"/>
              </w:rPr>
              <w:t>99.0%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106.0%</w:t>
            </w:r>
          </w:p>
        </w:tc>
      </w:tr>
      <w:tr>
        <w:trPr>
          <w:trHeight w:val="186"/>
        </w:trPr>
        <w:tc>
          <w:tcPr>
            <w:tcW w:w="8020" w:type="dxa"/>
            <w:vAlign w:val="bottom"/>
          </w:tcPr>
          <w:p>
            <w:pPr>
              <w:spacing w:after="0"/>
              <w:rPr>
                <w:sz w:val="20"/>
                <w:szCs w:val="20"/>
                <w:color w:val="auto"/>
              </w:rPr>
            </w:pPr>
            <w:r>
              <w:rPr>
                <w:rFonts w:ascii="Arial" w:cs="Arial" w:eastAsia="Arial" w:hAnsi="Arial"/>
                <w:sz w:val="14"/>
                <w:szCs w:val="14"/>
                <w:color w:val="auto"/>
              </w:rPr>
              <w:t>_______</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use estimated vehicle registrations data as the basis for calculating industry volume and market share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5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Three Months Ended March 31, 2018</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6"/>
          </w:tcPr>
          <w:p>
            <w:pPr>
              <w:ind w:left="100"/>
              <w:spacing w:after="0"/>
              <w:rPr>
                <w:sz w:val="20"/>
                <w:szCs w:val="20"/>
                <w:color w:val="auto"/>
              </w:rPr>
            </w:pPr>
            <w:r>
              <w:rPr>
                <w:rFonts w:ascii="Arial" w:cs="Arial" w:eastAsia="Arial" w:hAnsi="Arial"/>
                <w:sz w:val="11"/>
                <w:szCs w:val="11"/>
                <w:b w:val="1"/>
                <w:bCs w:val="1"/>
                <w:color w:val="auto"/>
              </w:rPr>
              <w:t>Three Months Ended March 31, 2017</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Combined</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21"/>
                <w:szCs w:val="21"/>
                <w:color w:val="auto"/>
              </w:rPr>
            </w:pPr>
          </w:p>
        </w:tc>
        <w:tc>
          <w:tcPr>
            <w:tcW w:w="740" w:type="dxa"/>
            <w:vAlign w:val="bottom"/>
          </w:tcPr>
          <w:p>
            <w:pPr>
              <w:jc w:val="right"/>
              <w:ind w:right="113"/>
              <w:spacing w:after="0"/>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32,715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32,691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34,650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34,519</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180"/>
              <w:spacing w:after="0"/>
              <w:rPr>
                <w:sz w:val="20"/>
                <w:szCs w:val="20"/>
                <w:color w:val="auto"/>
              </w:rPr>
            </w:pPr>
            <w:r>
              <w:rPr>
                <w:rFonts w:ascii="Arial" w:cs="Arial" w:eastAsia="Arial" w:hAnsi="Arial"/>
                <w:sz w:val="14"/>
                <w:szCs w:val="14"/>
                <w:color w:val="auto"/>
              </w:rPr>
              <w:t>GM Financial</w:t>
            </w:r>
          </w:p>
        </w:tc>
        <w:tc>
          <w:tcPr>
            <w:tcW w:w="14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vMerge w:val="restart"/>
          </w:tcPr>
          <w:p>
            <w:pPr>
              <w:jc w:val="right"/>
              <w:ind w:right="55"/>
              <w:spacing w:after="0"/>
              <w:rPr>
                <w:sz w:val="20"/>
                <w:szCs w:val="20"/>
                <w:color w:val="auto"/>
              </w:rPr>
            </w:pPr>
            <w:r>
              <w:rPr>
                <w:rFonts w:ascii="Arial" w:cs="Arial" w:eastAsia="Arial" w:hAnsi="Arial"/>
                <w:sz w:val="14"/>
                <w:szCs w:val="14"/>
                <w:color w:val="auto"/>
              </w:rPr>
              <w:t>3,411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4"/>
                <w:szCs w:val="14"/>
                <w:color w:val="auto"/>
              </w:rPr>
              <w:t>3,408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4"/>
                <w:szCs w:val="14"/>
                <w:color w:val="auto"/>
              </w:rPr>
              <w:t>2,748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net sales and revenue</w:t>
            </w: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32,715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vMerge w:val="restart"/>
            <w:shd w:val="clear" w:color="auto" w:fill="CCEEFF"/>
          </w:tcPr>
          <w:p>
            <w:pPr>
              <w:jc w:val="right"/>
              <w:ind w:right="55"/>
              <w:spacing w:after="0"/>
              <w:rPr>
                <w:sz w:val="20"/>
                <w:szCs w:val="20"/>
                <w:color w:val="auto"/>
              </w:rPr>
            </w:pPr>
            <w:r>
              <w:rPr>
                <w:rFonts w:ascii="Arial" w:cs="Arial" w:eastAsia="Arial" w:hAnsi="Arial"/>
                <w:sz w:val="14"/>
                <w:szCs w:val="14"/>
                <w:color w:val="auto"/>
              </w:rPr>
              <w:t>3,411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36,099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34,650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2,748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37,266</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1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Automotive cost of sales</w:t>
      </w:r>
    </w:p>
    <w:p>
      <w:pPr>
        <w:spacing w:after="0" w:line="109" w:lineRule="exact"/>
        <w:rPr>
          <w:sz w:val="20"/>
          <w:szCs w:val="20"/>
          <w:color w:val="auto"/>
        </w:rPr>
      </w:pPr>
    </w:p>
    <w:p>
      <w:pPr>
        <w:ind w:left="340" w:right="340" w:hanging="161"/>
        <w:spacing w:after="0" w:line="258" w:lineRule="auto"/>
        <w:rPr>
          <w:sz w:val="20"/>
          <w:szCs w:val="20"/>
          <w:color w:val="auto"/>
        </w:rPr>
      </w:pPr>
      <w:r>
        <w:rPr>
          <w:rFonts w:ascii="Arial" w:cs="Arial" w:eastAsia="Arial" w:hAnsi="Arial"/>
          <w:sz w:val="14"/>
          <w:szCs w:val="14"/>
          <w:color w:val="auto"/>
        </w:rPr>
        <w:t>GM Financial interest, operating and other expenses</w:t>
      </w:r>
    </w:p>
    <w:p>
      <w:pPr>
        <w:spacing w:after="0" w:line="32" w:lineRule="exact"/>
        <w:rPr>
          <w:sz w:val="20"/>
          <w:szCs w:val="20"/>
          <w:color w:val="auto"/>
        </w:rPr>
      </w:pPr>
    </w:p>
    <w:p>
      <w:pPr>
        <w:ind w:left="340" w:right="1020" w:hanging="161"/>
        <w:spacing w:after="0" w:line="258" w:lineRule="auto"/>
        <w:rPr>
          <w:sz w:val="20"/>
          <w:szCs w:val="20"/>
          <w:color w:val="auto"/>
        </w:rPr>
      </w:pPr>
      <w:r>
        <w:rPr>
          <w:rFonts w:ascii="Arial" w:cs="Arial" w:eastAsia="Arial" w:hAnsi="Arial"/>
          <w:sz w:val="14"/>
          <w:szCs w:val="14"/>
          <w:color w:val="auto"/>
        </w:rPr>
        <w:t>Automotive selling, general and administrative expense</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jc w:val="center"/>
        <w:ind w:right="128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jc w:val="center"/>
        <w:ind w:right="1300"/>
        <w:spacing w:after="0"/>
        <w:rPr>
          <w:sz w:val="20"/>
          <w:szCs w:val="20"/>
          <w:color w:val="auto"/>
        </w:rPr>
      </w:pPr>
      <w:r>
        <w:rPr>
          <w:rFonts w:ascii="Arial" w:cs="Arial" w:eastAsia="Arial" w:hAnsi="Arial"/>
          <w:sz w:val="14"/>
          <w:szCs w:val="14"/>
          <w:color w:val="auto"/>
        </w:rPr>
        <w:t>Automotive interest expense</w:t>
      </w:r>
    </w:p>
    <w:p>
      <w:pPr>
        <w:spacing w:after="0" w:line="109" w:lineRule="exact"/>
        <w:rPr>
          <w:sz w:val="20"/>
          <w:szCs w:val="20"/>
          <w:color w:val="auto"/>
        </w:rPr>
      </w:pPr>
    </w:p>
    <w:p>
      <w:pPr>
        <w:ind w:left="200" w:right="600" w:hanging="161"/>
        <w:spacing w:after="0" w:line="258" w:lineRule="auto"/>
        <w:rPr>
          <w:sz w:val="20"/>
          <w:szCs w:val="20"/>
          <w:color w:val="auto"/>
        </w:rPr>
      </w:pPr>
      <w:r>
        <w:rPr>
          <w:rFonts w:ascii="Arial" w:cs="Arial" w:eastAsia="Arial" w:hAnsi="Arial"/>
          <w:sz w:val="14"/>
          <w:szCs w:val="14"/>
          <w:color w:val="auto"/>
        </w:rPr>
        <w:t>Interest income and other non-operating income, net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continuing operations</w:t>
      </w:r>
    </w:p>
    <w:p>
      <w:pPr>
        <w:spacing w:after="0" w:line="109" w:lineRule="exact"/>
        <w:rPr>
          <w:sz w:val="20"/>
          <w:szCs w:val="20"/>
          <w:color w:val="auto"/>
        </w:rPr>
      </w:pPr>
    </w:p>
    <w:p>
      <w:pPr>
        <w:ind w:left="200" w:right="140" w:hanging="161"/>
        <w:spacing w:after="0" w:line="258" w:lineRule="auto"/>
        <w:rPr>
          <w:sz w:val="20"/>
          <w:szCs w:val="20"/>
          <w:color w:val="auto"/>
        </w:rPr>
      </w:pPr>
      <w:r>
        <w:rPr>
          <w:rFonts w:ascii="Arial" w:cs="Arial" w:eastAsia="Arial" w:hAnsi="Arial"/>
          <w:sz w:val="14"/>
          <w:szCs w:val="14"/>
          <w:color w:val="auto"/>
        </w:rPr>
        <w:t>(Income) loss from discontinued operations, net of tax</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w:t>
      </w:r>
    </w:p>
    <w:p>
      <w:pPr>
        <w:spacing w:after="0" w:line="127" w:lineRule="exact"/>
        <w:rPr>
          <w:sz w:val="20"/>
          <w:szCs w:val="20"/>
          <w:color w:val="auto"/>
        </w:rPr>
      </w:pPr>
    </w:p>
    <w:p>
      <w:pPr>
        <w:ind w:left="200" w:right="200" w:hanging="161"/>
        <w:spacing w:after="0" w:line="249" w:lineRule="auto"/>
        <w:rPr>
          <w:sz w:val="20"/>
          <w:szCs w:val="20"/>
          <w:color w:val="auto"/>
        </w:rPr>
      </w:pPr>
      <w:r>
        <w:rPr>
          <w:rFonts w:ascii="Arial" w:cs="Arial" w:eastAsia="Arial" w:hAnsi="Arial"/>
          <w:sz w:val="14"/>
          <w:szCs w:val="14"/>
          <w:color w:val="auto"/>
        </w:rPr>
        <w:t>Net (income) loss attributable to noncontrolling interests</w:t>
      </w:r>
    </w:p>
    <w:p>
      <w:pPr>
        <w:ind w:left="40"/>
        <w:spacing w:after="0"/>
        <w:tabs>
          <w:tab w:leader="none" w:pos="3100" w:val="left"/>
        </w:tabs>
        <w:rPr>
          <w:sz w:val="20"/>
          <w:szCs w:val="20"/>
          <w:color w:val="auto"/>
        </w:rPr>
      </w:pPr>
      <w:r>
        <w:rPr>
          <w:rFonts w:ascii="Arial" w:cs="Arial" w:eastAsia="Arial" w:hAnsi="Arial"/>
          <w:sz w:val="14"/>
          <w:szCs w:val="14"/>
          <w:b w:val="1"/>
          <w:bCs w:val="1"/>
          <w:color w:val="auto"/>
        </w:rPr>
        <w:t>Net income attributable to stockholders</w:t>
      </w:r>
      <w:r>
        <w:rPr>
          <w:sz w:val="20"/>
          <w:szCs w:val="20"/>
          <w:color w:val="auto"/>
        </w:rPr>
        <w:tab/>
      </w:r>
      <w:r>
        <w:rPr>
          <w:rFonts w:ascii="Arial" w:cs="Arial" w:eastAsia="Arial" w:hAnsi="Arial"/>
          <w:sz w:val="21"/>
          <w:szCs w:val="21"/>
          <w:color w:val="auto"/>
          <w:vertAlign w:val="subscript"/>
        </w:rPr>
        <w:t>$</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attributable to common</w:t>
      </w:r>
    </w:p>
    <w:p>
      <w:pPr>
        <w:spacing w:after="0" w:line="19"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4"/>
          <w:szCs w:val="14"/>
          <w:b w:val="1"/>
          <w:bCs w:val="1"/>
          <w:color w:val="auto"/>
        </w:rPr>
        <w:t>stockholders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jc w:val="right"/>
              <w:ind w:right="168"/>
              <w:spacing w:after="0"/>
              <w:rPr>
                <w:sz w:val="20"/>
                <w:szCs w:val="20"/>
                <w:color w:val="auto"/>
              </w:rPr>
            </w:pPr>
            <w:r>
              <w:rPr>
                <w:rFonts w:ascii="Arial" w:cs="Arial" w:eastAsia="Arial" w:hAnsi="Arial"/>
                <w:sz w:val="14"/>
                <w:szCs w:val="14"/>
                <w:color w:val="auto"/>
                <w:w w:val="97"/>
              </w:rPr>
              <w:t>30,209</w:t>
            </w:r>
          </w:p>
        </w:tc>
        <w:tc>
          <w:tcPr>
            <w:tcW w:w="3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30,184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29,893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29,761</w:t>
            </w:r>
          </w:p>
        </w:tc>
      </w:tr>
      <w:tr>
        <w:trPr>
          <w:trHeight w:val="378"/>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3,020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2,566</w:t>
            </w:r>
          </w:p>
        </w:tc>
      </w:tr>
      <w:tr>
        <w:trPr>
          <w:trHeight w:val="384"/>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2,372</w:t>
            </w:r>
          </w:p>
        </w:tc>
        <w:tc>
          <w:tcPr>
            <w:tcW w:w="3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2,372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2,356</w:t>
            </w:r>
          </w:p>
        </w:tc>
      </w:tr>
      <w:tr>
        <w:trPr>
          <w:trHeight w:val="250"/>
        </w:trPr>
        <w:tc>
          <w:tcPr>
            <w:tcW w:w="680" w:type="dxa"/>
            <w:vAlign w:val="bottom"/>
          </w:tcPr>
          <w:p>
            <w:pPr>
              <w:jc w:val="right"/>
              <w:ind w:right="168"/>
              <w:spacing w:after="0"/>
              <w:rPr>
                <w:sz w:val="20"/>
                <w:szCs w:val="20"/>
                <w:color w:val="auto"/>
              </w:rPr>
            </w:pPr>
            <w:r>
              <w:rPr>
                <w:rFonts w:ascii="Arial" w:cs="Arial" w:eastAsia="Arial" w:hAnsi="Arial"/>
                <w:sz w:val="14"/>
                <w:szCs w:val="14"/>
                <w:color w:val="auto"/>
                <w:w w:val="97"/>
              </w:rPr>
              <w:t>32,581</w:t>
            </w:r>
          </w:p>
        </w:tc>
        <w:tc>
          <w:tcPr>
            <w:tcW w:w="3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3,020</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35,570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32,249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34,683</w:t>
            </w:r>
          </w:p>
        </w:tc>
      </w:tr>
      <w:tr>
        <w:trPr>
          <w:trHeight w:val="244"/>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134</w:t>
            </w:r>
          </w:p>
        </w:tc>
        <w:tc>
          <w:tcPr>
            <w:tcW w:w="34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2,583</w:t>
            </w:r>
          </w:p>
        </w:tc>
      </w:tr>
      <w:tr>
        <w:trPr>
          <w:trHeight w:val="270"/>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152</w:t>
            </w:r>
          </w:p>
        </w:tc>
        <w:tc>
          <w:tcPr>
            <w:tcW w:w="3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378"/>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549</w:t>
            </w:r>
          </w:p>
        </w:tc>
        <w:tc>
          <w:tcPr>
            <w:tcW w:w="3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482</w:t>
            </w:r>
          </w:p>
        </w:tc>
      </w:tr>
      <w:tr>
        <w:trPr>
          <w:trHeight w:val="276"/>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596</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w:t>
            </w:r>
          </w:p>
        </w:tc>
      </w:tr>
      <w:tr>
        <w:trPr>
          <w:trHeight w:val="244"/>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1,127</w:t>
            </w:r>
          </w:p>
        </w:tc>
        <w:tc>
          <w:tcPr>
            <w:tcW w:w="34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3,473</w:t>
            </w:r>
          </w:p>
        </w:tc>
      </w:tr>
      <w:tr>
        <w:trPr>
          <w:trHeight w:val="276"/>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397</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w:t>
            </w:r>
          </w:p>
        </w:tc>
      </w:tr>
      <w:tr>
        <w:trPr>
          <w:trHeight w:val="244"/>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730</w:t>
            </w:r>
          </w:p>
        </w:tc>
        <w:tc>
          <w:tcPr>
            <w:tcW w:w="34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2,686</w:t>
            </w:r>
          </w:p>
        </w:tc>
      </w:tr>
      <w:tr>
        <w:trPr>
          <w:trHeight w:val="384"/>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64</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r>
      <w:tr>
        <w:trPr>
          <w:trHeight w:val="244"/>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666</w:t>
            </w:r>
          </w:p>
        </w:tc>
        <w:tc>
          <w:tcPr>
            <w:tcW w:w="34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2,617</w:t>
            </w:r>
          </w:p>
        </w:tc>
      </w:tr>
      <w:tr>
        <w:trPr>
          <w:trHeight w:val="384"/>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37"/>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672</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0"/>
                <w:szCs w:val="20"/>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2,403</w:t>
            </w:r>
          </w:p>
        </w:tc>
        <w:tc>
          <w:tcPr>
            <w:tcW w:w="100" w:type="dxa"/>
            <w:vAlign w:val="bottom"/>
          </w:tcPr>
          <w:p>
            <w:pPr>
              <w:spacing w:after="0"/>
              <w:rPr>
                <w:sz w:val="20"/>
                <w:szCs w:val="20"/>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0"/>
                <w:szCs w:val="20"/>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2,608</w:t>
            </w:r>
          </w:p>
        </w:tc>
      </w:tr>
      <w:tr>
        <w:trPr>
          <w:trHeight w:val="20"/>
        </w:trPr>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672</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4"/>
                <w:szCs w:val="24"/>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2,403</w:t>
            </w:r>
          </w:p>
        </w:tc>
        <w:tc>
          <w:tcPr>
            <w:tcW w:w="100" w:type="dxa"/>
            <w:vAlign w:val="bottom"/>
          </w:tcPr>
          <w:p>
            <w:pPr>
              <w:spacing w:after="0"/>
              <w:rPr>
                <w:sz w:val="24"/>
                <w:szCs w:val="24"/>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-2907665</wp:posOffset>
            </wp:positionV>
            <wp:extent cx="7246620" cy="2915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5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280"/>
            <w:col w:w="794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7"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(loss) per share (in millions,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2018</w:t>
            </w:r>
          </w:p>
        </w:tc>
        <w:tc>
          <w:tcPr>
            <w:tcW w:w="180" w:type="dxa"/>
            <w:vAlign w:val="bottom"/>
          </w:tcPr>
          <w:p>
            <w:pPr>
              <w:spacing w:after="0"/>
              <w:rPr>
                <w:sz w:val="22"/>
                <w:szCs w:val="22"/>
                <w:color w:val="auto"/>
              </w:rPr>
            </w:pPr>
          </w:p>
        </w:tc>
        <w:tc>
          <w:tcPr>
            <w:tcW w:w="1180" w:type="dxa"/>
            <w:vAlign w:val="bottom"/>
          </w:tcPr>
          <w:p>
            <w:pPr>
              <w:jc w:val="right"/>
              <w:ind w:right="160"/>
              <w:spacing w:after="0"/>
              <w:rPr>
                <w:sz w:val="20"/>
                <w:szCs w:val="20"/>
                <w:color w:val="auto"/>
              </w:rPr>
            </w:pPr>
            <w:r>
              <w:rPr>
                <w:rFonts w:ascii="Arial" w:cs="Arial" w:eastAsia="Arial" w:hAnsi="Arial"/>
                <w:sz w:val="13"/>
                <w:szCs w:val="13"/>
                <w:b w:val="1"/>
                <w:bCs w:val="1"/>
                <w:color w:val="auto"/>
                <w:w w:val="99"/>
              </w:rPr>
              <w:t>March 31, 2017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2,677</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cumulative dividends on GM Financial preferred stock</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 attributable to common stockholders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2,677</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Loss from discontinued operations, net of tax</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r>
      <w:tr>
        <w:trPr>
          <w:trHeight w:val="243"/>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2,608</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3"/>
        </w:trPr>
        <w:tc>
          <w:tcPr>
            <w:tcW w:w="8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1,505</w:t>
            </w:r>
          </w:p>
        </w:tc>
      </w:tr>
      <w:tr>
        <w:trPr>
          <w:trHeight w:val="162"/>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earnings per common share –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Basic loss per common share – 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0.05</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1.73</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49"/>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 attributable to common stockholders – diluted(a)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2,677</w:t>
            </w:r>
          </w:p>
        </w:tc>
      </w:tr>
      <w:tr>
        <w:trPr>
          <w:trHeight w:val="237"/>
        </w:trPr>
        <w:tc>
          <w:tcPr>
            <w:tcW w:w="8580" w:type="dxa"/>
            <w:vAlign w:val="bottom"/>
          </w:tcPr>
          <w:p>
            <w:pPr>
              <w:ind w:left="180"/>
              <w:spacing w:after="0"/>
              <w:rPr>
                <w:sz w:val="20"/>
                <w:szCs w:val="20"/>
                <w:color w:val="auto"/>
              </w:rPr>
            </w:pPr>
            <w:r>
              <w:rPr>
                <w:rFonts w:ascii="Arial" w:cs="Arial" w:eastAsia="Arial" w:hAnsi="Arial"/>
                <w:sz w:val="14"/>
                <w:szCs w:val="14"/>
                <w:color w:val="auto"/>
              </w:rPr>
              <w:t>Loss from discontinued operations, net of tax –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69</w:t>
            </w:r>
          </w:p>
        </w:tc>
      </w:tr>
      <w:tr>
        <w:trPr>
          <w:trHeight w:val="249"/>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attributable to common stockholders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2,608</w:t>
            </w:r>
          </w:p>
        </w:tc>
      </w:tr>
      <w:tr>
        <w:trPr>
          <w:trHeight w:val="162"/>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diluted</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1,532</w:t>
            </w:r>
          </w:p>
        </w:tc>
      </w:tr>
      <w:tr>
        <w:trPr>
          <w:trHeight w:val="162"/>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per common share –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r>
      <w:tr>
        <w:trPr>
          <w:trHeight w:val="237"/>
        </w:trPr>
        <w:tc>
          <w:tcPr>
            <w:tcW w:w="8580" w:type="dxa"/>
            <w:vAlign w:val="bottom"/>
          </w:tcPr>
          <w:p>
            <w:pPr>
              <w:ind w:left="180"/>
              <w:spacing w:after="0"/>
              <w:rPr>
                <w:sz w:val="20"/>
                <w:szCs w:val="20"/>
                <w:color w:val="auto"/>
              </w:rPr>
            </w:pPr>
            <w:r>
              <w:rPr>
                <w:rFonts w:ascii="Arial" w:cs="Arial" w:eastAsia="Arial" w:hAnsi="Arial"/>
                <w:sz w:val="14"/>
                <w:szCs w:val="14"/>
                <w:color w:val="auto"/>
              </w:rPr>
              <w:t>Diluted loss per common share – 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0.05</w:t>
            </w:r>
          </w:p>
        </w:tc>
      </w:tr>
      <w:tr>
        <w:trPr>
          <w:trHeight w:val="249"/>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r>
      <w:tr>
        <w:trPr>
          <w:trHeight w:val="258"/>
        </w:trPr>
        <w:tc>
          <w:tcPr>
            <w:tcW w:w="8580" w:type="dxa"/>
            <w:vAlign w:val="bottom"/>
          </w:tcPr>
          <w:p>
            <w:pPr>
              <w:ind w:left="180"/>
              <w:spacing w:after="0"/>
              <w:rPr>
                <w:sz w:val="20"/>
                <w:szCs w:val="20"/>
                <w:color w:val="auto"/>
              </w:rPr>
            </w:pPr>
            <w:r>
              <w:rPr>
                <w:rFonts w:ascii="Arial" w:cs="Arial" w:eastAsia="Arial" w:hAnsi="Arial"/>
                <w:sz w:val="14"/>
                <w:szCs w:val="14"/>
                <w:color w:val="auto"/>
              </w:rPr>
              <w:t>Potentially dilutive securities(b)</w:t>
            </w:r>
          </w:p>
        </w:tc>
        <w:tc>
          <w:tcPr>
            <w:tcW w:w="1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179"/>
        </w:trPr>
        <w:tc>
          <w:tcPr>
            <w:tcW w:w="8580" w:type="dxa"/>
            <w:vAlign w:val="bottom"/>
          </w:tcPr>
          <w:p>
            <w:pPr>
              <w:spacing w:after="0"/>
              <w:rPr>
                <w:sz w:val="20"/>
                <w:szCs w:val="20"/>
                <w:color w:val="auto"/>
              </w:rPr>
            </w:pPr>
            <w:r>
              <w:rPr>
                <w:rFonts w:ascii="Arial" w:cs="Arial" w:eastAsia="Arial" w:hAnsi="Arial"/>
                <w:sz w:val="14"/>
                <w:szCs w:val="14"/>
                <w:color w:val="auto"/>
              </w:rPr>
              <w:t>__________</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1"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and Restricted Stock Units were excluded from the computation of diluted earnings per share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Combining Balance Sheet Information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except per share amounts) (Unaudited)</w:t>
      </w:r>
    </w:p>
    <w:p>
      <w:pPr>
        <w:sectPr>
          <w:pgSz w:w="11900" w:h="16838" w:orient="portrait"/>
          <w:cols w:equalWidth="0" w:num="1">
            <w:col w:w="11420"/>
          </w:cols>
          <w:pgMar w:left="240" w:top="337" w:right="239" w:bottom="7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70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net(a)</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 and intangible assets,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jc w:val="center"/>
        <w:ind w:left="700"/>
        <w:spacing w:after="0"/>
        <w:rPr>
          <w:sz w:val="20"/>
          <w:szCs w:val="20"/>
          <w:color w:val="auto"/>
        </w:rPr>
      </w:pPr>
      <w:r>
        <w:rPr>
          <w:rFonts w:ascii="Arial" w:cs="Arial" w:eastAsia="Arial" w:hAnsi="Arial"/>
          <w:sz w:val="13"/>
          <w:szCs w:val="13"/>
          <w:b w:val="1"/>
          <w:bCs w:val="1"/>
          <w:color w:val="auto"/>
        </w:rPr>
        <w:t>LIABILITIES AND EQUITY</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ind w:left="560"/>
              <w:spacing w:after="0"/>
              <w:rPr>
                <w:sz w:val="20"/>
                <w:szCs w:val="20"/>
                <w:color w:val="auto"/>
              </w:rPr>
            </w:pPr>
            <w:r>
              <w:rPr>
                <w:rFonts w:ascii="Arial" w:cs="Arial" w:eastAsia="Arial" w:hAnsi="Arial"/>
                <w:sz w:val="11"/>
                <w:szCs w:val="11"/>
                <w:b w:val="1"/>
                <w:bCs w:val="1"/>
                <w:color w:val="auto"/>
              </w:rPr>
              <w:t>March 31, 2018</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ind w:left="420"/>
              <w:spacing w:after="0"/>
              <w:rPr>
                <w:sz w:val="20"/>
                <w:szCs w:val="20"/>
                <w:color w:val="auto"/>
              </w:rPr>
            </w:pPr>
            <w:r>
              <w:rPr>
                <w:rFonts w:ascii="Arial" w:cs="Arial" w:eastAsia="Arial" w:hAnsi="Arial"/>
                <w:sz w:val="11"/>
                <w:szCs w:val="11"/>
                <w:b w:val="1"/>
                <w:bCs w:val="1"/>
                <w:color w:val="auto"/>
              </w:rPr>
              <w:t>December 31, 2017</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20"/>
              <w:spacing w:after="0"/>
              <w:rPr>
                <w:sz w:val="20"/>
                <w:szCs w:val="20"/>
                <w:color w:val="auto"/>
              </w:rPr>
            </w:pPr>
            <w:r>
              <w:rPr>
                <w:rFonts w:ascii="Arial" w:cs="Arial" w:eastAsia="Arial" w:hAnsi="Arial"/>
                <w:sz w:val="9"/>
                <w:szCs w:val="9"/>
                <w:b w:val="1"/>
                <w:bCs w:val="1"/>
                <w:color w:val="auto"/>
              </w:rPr>
              <w:t>Reclassifications /</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9"/>
                <w:szCs w:val="9"/>
                <w:b w:val="1"/>
                <w:bCs w:val="1"/>
                <w:color w:val="auto"/>
              </w:rPr>
              <w:t>Reclassifications /</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5"/>
        </w:trPr>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b w:val="1"/>
                <w:bCs w:val="1"/>
                <w:color w:val="auto"/>
                <w:w w:val="99"/>
              </w:rPr>
              <w:t>GM Financial</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9"/>
                <w:szCs w:val="9"/>
                <w:b w:val="1"/>
                <w:bCs w:val="1"/>
                <w:color w:val="auto"/>
              </w:rPr>
              <w:t>Eliminations</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9"/>
                <w:szCs w:val="9"/>
                <w:b w:val="1"/>
                <w:bCs w:val="1"/>
                <w:color w:val="auto"/>
              </w:rPr>
              <w:t>Combined</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9"/>
                <w:szCs w:val="9"/>
                <w:b w:val="1"/>
                <w:bCs w:val="1"/>
                <w:color w:val="auto"/>
                <w:w w:val="96"/>
              </w:rPr>
              <w:t>GM Financial</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9"/>
                <w:szCs w:val="9"/>
                <w:b w:val="1"/>
                <w:bCs w:val="1"/>
                <w:color w:val="auto"/>
              </w:rPr>
              <w:t>Eliminations</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9"/>
                <w:szCs w:val="9"/>
                <w:b w:val="1"/>
                <w:bCs w:val="1"/>
                <w:color w:val="auto"/>
              </w:rPr>
              <w:t>Combined</w:t>
            </w:r>
          </w:p>
        </w:tc>
      </w:tr>
      <w:tr>
        <w:trPr>
          <w:trHeight w:val="794"/>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10,078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4,178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14,256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11,247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4,265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15,512</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7,110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7,110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8,313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8,313</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10,126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1,433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(790)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10,769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7,759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806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8,164</w:t>
            </w:r>
          </w:p>
        </w:tc>
      </w:tr>
      <w:tr>
        <w:trPr>
          <w:trHeight w:val="270"/>
        </w:trPr>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21,571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(414)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21,157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20,901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20,521</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11,461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11,461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10,663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10,663</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789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789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1,106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1,106</w:t>
            </w:r>
          </w:p>
        </w:tc>
      </w:tr>
      <w:tr>
        <w:trPr>
          <w:trHeight w:val="280"/>
        </w:trPr>
        <w:tc>
          <w:tcPr>
            <w:tcW w:w="140" w:type="dxa"/>
            <w:vAlign w:val="bottom"/>
          </w:tcPr>
          <w:p>
            <w:pPr>
              <w:spacing w:after="0"/>
              <w:rPr>
                <w:sz w:val="24"/>
                <w:szCs w:val="24"/>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1,642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4,251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5,893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1,396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3,069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4,465</w:t>
            </w:r>
          </w:p>
        </w:tc>
      </w:tr>
      <w:tr>
        <w:trPr>
          <w:trHeight w:val="241"/>
        </w:trPr>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41,206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31,433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3"/>
                <w:szCs w:val="13"/>
                <w:color w:val="auto"/>
              </w:rPr>
              <w:t>(1,204)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71,435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40,484</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29,041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68,744</w:t>
            </w:r>
          </w:p>
        </w:tc>
      </w:tr>
      <w:tr>
        <w:trPr>
          <w:trHeight w:val="540"/>
        </w:trPr>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22,202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22,146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21,271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21,208</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8,602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1,281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9,883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7,886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9,073</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37,057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37,321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35,994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36,253</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4,421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1,369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5,790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4,482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5,849</w:t>
            </w:r>
          </w:p>
        </w:tc>
      </w:tr>
      <w:tr>
        <w:trPr>
          <w:trHeight w:val="270"/>
        </w:trPr>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43,444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43,444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42,882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42,882</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23,278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23,538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23,229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23,544</w:t>
            </w:r>
          </w:p>
        </w:tc>
      </w:tr>
      <w:tr>
        <w:trPr>
          <w:trHeight w:val="280"/>
        </w:trPr>
        <w:tc>
          <w:tcPr>
            <w:tcW w:w="140" w:type="dxa"/>
            <w:vAlign w:val="bottom"/>
          </w:tcPr>
          <w:p>
            <w:pPr>
              <w:spacing w:after="0"/>
              <w:rPr>
                <w:sz w:val="24"/>
                <w:szCs w:val="24"/>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4,212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957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5,169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4,929</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77,570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69,777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147,291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75,591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68,210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143,738</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118,776</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101,210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(1,260)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218,726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116,075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97,251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212,482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-3103880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-2760980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-2417445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-2074545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-1731645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-1388745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2860" w:space="680"/>
            <w:col w:w="7880"/>
          </w:cols>
          <w:pgMar w:left="240" w:top="337" w:right="239" w:bottom="777"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trade)(a)</w:t>
      </w:r>
    </w:p>
    <w:p>
      <w:pPr>
        <w:spacing w:after="0" w:line="121" w:lineRule="exact"/>
        <w:rPr>
          <w:sz w:val="20"/>
          <w:szCs w:val="20"/>
          <w:color w:val="auto"/>
        </w:rPr>
      </w:pPr>
    </w:p>
    <w:p>
      <w:pPr>
        <w:ind w:left="340" w:hanging="161"/>
        <w:spacing w:after="0" w:line="433" w:lineRule="auto"/>
        <w:rPr>
          <w:sz w:val="20"/>
          <w:szCs w:val="20"/>
          <w:color w:val="auto"/>
        </w:rPr>
      </w:pPr>
      <w:r>
        <w:rPr>
          <w:rFonts w:ascii="Arial" w:cs="Arial" w:eastAsia="Arial" w:hAnsi="Arial"/>
          <w:sz w:val="13"/>
          <w:szCs w:val="13"/>
          <w:color w:val="auto"/>
        </w:rPr>
        <w:t>Short-term debt and current portion of long-term debt Automotive(b)</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$0.01 par value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$0.01 par value</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Additional paid-in capital(c)</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interests(c)</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 and Equity</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26,121</w:t>
            </w: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708</w:t>
            </w:r>
          </w:p>
        </w:tc>
        <w:tc>
          <w:tcPr>
            <w:tcW w:w="120" w:type="dxa"/>
            <w:vAlign w:val="bottom"/>
          </w:tcPr>
          <w:p>
            <w:pPr>
              <w:spacing w:after="0"/>
              <w:rPr>
                <w:sz w:val="13"/>
                <w:szCs w:val="13"/>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(790)</w:t>
            </w:r>
          </w:p>
        </w:tc>
        <w:tc>
          <w:tcPr>
            <w:tcW w:w="12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26,039</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23,696</w:t>
            </w:r>
          </w:p>
        </w:tc>
        <w:tc>
          <w:tcPr>
            <w:tcW w:w="120" w:type="dxa"/>
            <w:vAlign w:val="bottom"/>
          </w:tcPr>
          <w:p>
            <w:pPr>
              <w:spacing w:after="0"/>
              <w:rPr>
                <w:sz w:val="13"/>
                <w:szCs w:val="1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13"/>
                <w:szCs w:val="13"/>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3"/>
                <w:szCs w:val="13"/>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23,929</w:t>
            </w:r>
          </w:p>
        </w:tc>
      </w:tr>
      <w:tr>
        <w:trPr>
          <w:trHeight w:val="54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4,755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2,895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2,515</w:t>
            </w:r>
          </w:p>
        </w:tc>
      </w:tr>
      <w:tr>
        <w:trPr>
          <w:trHeight w:val="270"/>
        </w:trPr>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25,006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25,006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24,450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24,450</w:t>
            </w:r>
          </w:p>
        </w:tc>
      </w:tr>
      <w:tr>
        <w:trPr>
          <w:trHeight w:val="28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23,255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4,075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27,330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22,544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3,452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25,996</w:t>
            </w:r>
          </w:p>
        </w:tc>
      </w:tr>
      <w:tr>
        <w:trPr>
          <w:trHeight w:val="241"/>
        </w:trPr>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54,131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29,789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(1,204)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82,716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49,135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28,536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76,890</w:t>
            </w:r>
          </w:p>
        </w:tc>
      </w:tr>
      <w:tr>
        <w:trPr>
          <w:trHeight w:val="81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11,013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10,957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11,050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10,987</w:t>
            </w:r>
          </w:p>
        </w:tc>
      </w:tr>
      <w:tr>
        <w:trPr>
          <w:trHeight w:val="270"/>
        </w:trPr>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58,514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58,514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56,267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56,267</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5,927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5,927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5,998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5,998</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13,206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13,209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13,743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13,746</w:t>
            </w:r>
          </w:p>
        </w:tc>
      </w:tr>
      <w:tr>
        <w:trPr>
          <w:trHeight w:val="28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10,241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1,704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11,945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10,689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1,705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12,394</w:t>
            </w:r>
          </w:p>
        </w:tc>
      </w:tr>
      <w:tr>
        <w:trPr>
          <w:trHeight w:val="250"/>
        </w:trPr>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40,387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60,221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100,552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41,480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57,975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99,392</w:t>
            </w:r>
          </w:p>
        </w:tc>
      </w:tr>
      <w:tr>
        <w:trPr>
          <w:trHeight w:val="241"/>
        </w:trPr>
        <w:tc>
          <w:tcPr>
            <w:tcW w:w="180" w:type="dxa"/>
            <w:vAlign w:val="bottom"/>
          </w:tcPr>
          <w:p>
            <w:pPr>
              <w:spacing w:after="0"/>
              <w:rPr>
                <w:sz w:val="20"/>
                <w:szCs w:val="20"/>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94,518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90,010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(1,260)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183,268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90,615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86,511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176,282</w:t>
            </w:r>
          </w:p>
        </w:tc>
      </w:tr>
      <w:tr>
        <w:trPr>
          <w:trHeight w:val="81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70"/>
        </w:trPr>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25,337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25,337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25,371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25,371</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6,100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10,928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17,028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7,128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10,499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17,627</w:t>
            </w:r>
          </w:p>
        </w:tc>
      </w:tr>
      <w:tr>
        <w:trPr>
          <w:trHeight w:val="280"/>
        </w:trPr>
        <w:tc>
          <w:tcPr>
            <w:tcW w:w="18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(7,398)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(683)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(7,267)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(8,011)</w:t>
            </w:r>
          </w:p>
        </w:tc>
      </w:tr>
      <w:tr>
        <w:trPr>
          <w:trHeight w:val="241"/>
        </w:trPr>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24,053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11,200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34,298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25,246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10,740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35,001</w:t>
            </w:r>
          </w:p>
        </w:tc>
      </w:tr>
      <w:tr>
        <w:trPr>
          <w:trHeight w:val="280"/>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955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1,160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1,199</w:t>
            </w:r>
          </w:p>
        </w:tc>
      </w:tr>
      <w:tr>
        <w:trPr>
          <w:trHeight w:val="250"/>
        </w:trPr>
        <w:tc>
          <w:tcPr>
            <w:tcW w:w="18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24,258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11,200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35,458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25,460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10,740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36,200</w:t>
            </w:r>
          </w:p>
        </w:tc>
      </w:tr>
      <w:tr>
        <w:trPr>
          <w:trHeight w:val="237"/>
        </w:trPr>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118,776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101,210</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(1,260)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218,726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116,075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97,251</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212,482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-4476115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-4133215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-3789680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-3446780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-3103880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-2760980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-2417445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-2074545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-1731645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-1388745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3120" w:space="420"/>
            <w:col w:w="7880"/>
          </w:cols>
          <w:pgMar w:left="240" w:top="337" w:right="239" w:bottom="777" w:gutter="0" w:footer="0" w:header="0"/>
          <w:type w:val="continuous"/>
        </w:sectPr>
      </w:pPr>
    </w:p>
    <w:p>
      <w:pPr>
        <w:ind w:left="340" w:hanging="332"/>
        <w:spacing w:after="0" w:line="230" w:lineRule="auto"/>
        <w:tabs>
          <w:tab w:leader="none" w:pos="3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Eliminations include GM Financial accounts receivable of $658 million offset by Automotive accounts payable and Automotive accounts receivable of $132 million offset by GM Financial accounts payable at March 31, 2018 and GM Financial accounts receivable of $309 million offset by Automotive accounts payable and Automotive accounts receivable of $92 million offset by GM Financial accounts payable at December 31, 2017.</w:t>
      </w:r>
    </w:p>
    <w:p>
      <w:pPr>
        <w:ind w:left="340" w:hanging="332"/>
        <w:spacing w:after="0" w:line="230" w:lineRule="auto"/>
        <w:tabs>
          <w:tab w:leader="none" w:pos="3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Eliminations include GM Financial loan receivable of $470 million and $443 million offset by an Automotive loan payable at March 31, 2018 and December 31, 2017.</w:t>
      </w:r>
    </w:p>
    <w:p>
      <w:pPr>
        <w:ind w:left="340" w:hanging="332"/>
        <w:spacing w:after="0"/>
        <w:tabs>
          <w:tab w:leader="none" w:pos="3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Reclassification of GM Financial Cumulative Perpetual Preferred Stock, Series A. The preferred stock is classified as noncontrolling interests in our condensed consolidated balance sheet.</w:t>
      </w:r>
    </w:p>
    <w:p>
      <w:pPr>
        <w:sectPr>
          <w:pgSz w:w="11900" w:h="16838" w:orient="portrait"/>
          <w:cols w:equalWidth="0" w:num="1">
            <w:col w:w="11420"/>
          </w:cols>
          <w:pgMar w:left="240" w:top="337" w:right="239" w:bottom="777"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574" w:right="1440" w:bottom="1440" w:gutter="0" w:footer="0" w:header="0"/>
        </w:sectPr>
      </w:pPr>
    </w:p>
    <w:bookmarkStart w:id="20" w:name="page21"/>
    <w:bookmarkEnd w:id="20"/>
    <w:p>
      <w:pPr>
        <w:jc w:val="center"/>
        <w:ind w:right="-11"/>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Combining Cash Flow Information</w:t>
      </w:r>
    </w:p>
    <w:p>
      <w:pPr>
        <w:spacing w:after="0" w:line="25" w:lineRule="exact"/>
        <w:rPr>
          <w:sz w:val="20"/>
          <w:szCs w:val="20"/>
          <w:color w:val="auto"/>
        </w:rPr>
      </w:pPr>
    </w:p>
    <w:p>
      <w:pPr>
        <w:jc w:val="center"/>
        <w:ind w:right="-11"/>
        <w:spacing w:after="0"/>
        <w:rPr>
          <w:sz w:val="20"/>
          <w:szCs w:val="20"/>
          <w:color w:val="auto"/>
        </w:rPr>
      </w:pPr>
      <w:r>
        <w:rPr>
          <w:rFonts w:ascii="Arial" w:cs="Arial" w:eastAsia="Arial" w:hAnsi="Arial"/>
          <w:sz w:val="16"/>
          <w:szCs w:val="16"/>
          <w:i w:val="1"/>
          <w:iCs w:val="1"/>
          <w:color w:val="auto"/>
        </w:rPr>
        <w:t>(In millions) (Unaudited)</w:t>
      </w:r>
    </w:p>
    <w:p>
      <w:pPr>
        <w:spacing w:after="0" w:line="276" w:lineRule="exact"/>
        <w:rPr>
          <w:sz w:val="20"/>
          <w:szCs w:val="20"/>
          <w:color w:val="auto"/>
        </w:rPr>
      </w:pPr>
    </w:p>
    <w:tbl>
      <w:tblPr>
        <w:tblLayout w:type="fixed"/>
        <w:tblInd w:w="3492" w:type="dxa"/>
        <w:tblCellMar>
          <w:top w:w="0" w:type="dxa"/>
          <w:left w:w="0" w:type="dxa"/>
          <w:bottom w:w="0" w:type="dxa"/>
          <w:right w:w="0" w:type="dxa"/>
        </w:tblCellMar>
      </w:tblPr>
      <w:tr>
        <w:trPr>
          <w:trHeight w:val="125"/>
        </w:trPr>
        <w:tc>
          <w:tcPr>
            <w:tcW w:w="7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gridSpan w:val="2"/>
          </w:tcPr>
          <w:p>
            <w:pPr>
              <w:ind w:left="400"/>
              <w:spacing w:after="0"/>
              <w:rPr>
                <w:sz w:val="20"/>
                <w:szCs w:val="20"/>
                <w:color w:val="auto"/>
              </w:rPr>
            </w:pPr>
            <w:r>
              <w:rPr>
                <w:rFonts w:ascii="Arial" w:cs="Arial" w:eastAsia="Arial" w:hAnsi="Arial"/>
                <w:sz w:val="9"/>
                <w:szCs w:val="9"/>
                <w:b w:val="1"/>
                <w:bCs w:val="1"/>
                <w:color w:val="auto"/>
              </w:rPr>
              <w:t>Three Months Ended March 31, 2018</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2"/>
          </w:tcPr>
          <w:p>
            <w:pPr>
              <w:ind w:left="420"/>
              <w:spacing w:after="0"/>
              <w:rPr>
                <w:sz w:val="20"/>
                <w:szCs w:val="20"/>
                <w:color w:val="auto"/>
              </w:rPr>
            </w:pPr>
            <w:r>
              <w:rPr>
                <w:rFonts w:ascii="Arial" w:cs="Arial" w:eastAsia="Arial" w:hAnsi="Arial"/>
                <w:sz w:val="9"/>
                <w:szCs w:val="9"/>
                <w:b w:val="1"/>
                <w:bCs w:val="1"/>
                <w:color w:val="auto"/>
              </w:rPr>
              <w:t>Three Months Ended March 31, 2017</w:t>
            </w:r>
          </w:p>
        </w:tc>
        <w:tc>
          <w:tcPr>
            <w:tcW w:w="820" w:type="dxa"/>
            <w:vAlign w:val="bottom"/>
            <w:tcBorders>
              <w:bottom w:val="single" w:sz="8" w:color="auto"/>
            </w:tcBorders>
          </w:tcPr>
          <w:p>
            <w:pPr>
              <w:spacing w:after="0"/>
              <w:rPr>
                <w:sz w:val="10"/>
                <w:szCs w:val="10"/>
                <w:color w:val="auto"/>
              </w:rPr>
            </w:pPr>
          </w:p>
        </w:tc>
      </w:tr>
      <w:tr>
        <w:trPr>
          <w:trHeight w:val="256"/>
        </w:trPr>
        <w:tc>
          <w:tcPr>
            <w:tcW w:w="780" w:type="dxa"/>
            <w:vAlign w:val="bottom"/>
          </w:tcPr>
          <w:p>
            <w:pPr>
              <w:ind w:left="140"/>
              <w:spacing w:after="0"/>
              <w:rPr>
                <w:sz w:val="20"/>
                <w:szCs w:val="20"/>
                <w:color w:val="auto"/>
              </w:rPr>
            </w:pPr>
            <w:r>
              <w:rPr>
                <w:rFonts w:ascii="Arial" w:cs="Arial" w:eastAsia="Arial" w:hAnsi="Arial"/>
                <w:sz w:val="9"/>
                <w:szCs w:val="9"/>
                <w:b w:val="1"/>
                <w:bCs w:val="1"/>
                <w:color w:val="auto"/>
              </w:rPr>
              <w:t>Automotive</w:t>
            </w:r>
          </w:p>
        </w:tc>
        <w:tc>
          <w:tcPr>
            <w:tcW w:w="800" w:type="dxa"/>
            <w:vAlign w:val="bottom"/>
          </w:tcPr>
          <w:p>
            <w:pPr>
              <w:ind w:left="140"/>
              <w:spacing w:after="0"/>
              <w:rPr>
                <w:sz w:val="20"/>
                <w:szCs w:val="20"/>
                <w:color w:val="auto"/>
              </w:rPr>
            </w:pPr>
            <w:r>
              <w:rPr>
                <w:rFonts w:ascii="Arial" w:cs="Arial" w:eastAsia="Arial" w:hAnsi="Arial"/>
                <w:sz w:val="9"/>
                <w:szCs w:val="9"/>
                <w:b w:val="1"/>
                <w:bCs w:val="1"/>
                <w:color w:val="auto"/>
              </w:rPr>
              <w:t>GM Financial</w:t>
            </w:r>
          </w:p>
        </w:tc>
        <w:tc>
          <w:tcPr>
            <w:tcW w:w="1500" w:type="dxa"/>
            <w:vAlign w:val="bottom"/>
          </w:tcPr>
          <w:p>
            <w:pPr>
              <w:ind w:left="80"/>
              <w:spacing w:after="0"/>
              <w:rPr>
                <w:sz w:val="20"/>
                <w:szCs w:val="20"/>
                <w:color w:val="auto"/>
              </w:rPr>
            </w:pPr>
            <w:r>
              <w:rPr>
                <w:rFonts w:ascii="Arial" w:cs="Arial" w:eastAsia="Arial" w:hAnsi="Arial"/>
                <w:sz w:val="9"/>
                <w:szCs w:val="9"/>
                <w:b w:val="1"/>
                <w:bCs w:val="1"/>
                <w:color w:val="auto"/>
              </w:rPr>
              <w:t>Reclassification/Eliminations</w:t>
            </w:r>
          </w:p>
        </w:tc>
        <w:tc>
          <w:tcPr>
            <w:tcW w:w="920" w:type="dxa"/>
            <w:vAlign w:val="bottom"/>
            <w:gridSpan w:val="2"/>
          </w:tcPr>
          <w:p>
            <w:pPr>
              <w:ind w:left="160"/>
              <w:spacing w:after="0"/>
              <w:rPr>
                <w:sz w:val="20"/>
                <w:szCs w:val="20"/>
                <w:color w:val="auto"/>
              </w:rPr>
            </w:pPr>
            <w:r>
              <w:rPr>
                <w:rFonts w:ascii="Arial" w:cs="Arial" w:eastAsia="Arial" w:hAnsi="Arial"/>
                <w:sz w:val="9"/>
                <w:szCs w:val="9"/>
                <w:b w:val="1"/>
                <w:bCs w:val="1"/>
                <w:color w:val="auto"/>
              </w:rPr>
              <w:t>Combined</w:t>
            </w:r>
          </w:p>
        </w:tc>
        <w:tc>
          <w:tcPr>
            <w:tcW w:w="780" w:type="dxa"/>
            <w:vAlign w:val="bottom"/>
          </w:tcPr>
          <w:p>
            <w:pPr>
              <w:ind w:left="140"/>
              <w:spacing w:after="0"/>
              <w:rPr>
                <w:sz w:val="20"/>
                <w:szCs w:val="20"/>
                <w:color w:val="auto"/>
              </w:rPr>
            </w:pPr>
            <w:r>
              <w:rPr>
                <w:rFonts w:ascii="Arial" w:cs="Arial" w:eastAsia="Arial" w:hAnsi="Arial"/>
                <w:sz w:val="9"/>
                <w:szCs w:val="9"/>
                <w:b w:val="1"/>
                <w:bCs w:val="1"/>
                <w:color w:val="auto"/>
              </w:rPr>
              <w:t>Automotive</w:t>
            </w:r>
          </w:p>
        </w:tc>
        <w:tc>
          <w:tcPr>
            <w:tcW w:w="800" w:type="dxa"/>
            <w:vAlign w:val="bottom"/>
          </w:tcPr>
          <w:p>
            <w:pPr>
              <w:ind w:left="160"/>
              <w:spacing w:after="0"/>
              <w:rPr>
                <w:sz w:val="20"/>
                <w:szCs w:val="20"/>
                <w:color w:val="auto"/>
              </w:rPr>
            </w:pPr>
            <w:r>
              <w:rPr>
                <w:rFonts w:ascii="Arial" w:cs="Arial" w:eastAsia="Arial" w:hAnsi="Arial"/>
                <w:sz w:val="9"/>
                <w:szCs w:val="9"/>
                <w:b w:val="1"/>
                <w:bCs w:val="1"/>
                <w:color w:val="auto"/>
              </w:rPr>
              <w:t>GM Financial</w:t>
            </w:r>
          </w:p>
        </w:tc>
        <w:tc>
          <w:tcPr>
            <w:tcW w:w="1520" w:type="dxa"/>
            <w:vAlign w:val="bottom"/>
          </w:tcPr>
          <w:p>
            <w:pPr>
              <w:ind w:left="100"/>
              <w:spacing w:after="0"/>
              <w:rPr>
                <w:sz w:val="20"/>
                <w:szCs w:val="20"/>
                <w:color w:val="auto"/>
              </w:rPr>
            </w:pPr>
            <w:r>
              <w:rPr>
                <w:rFonts w:ascii="Arial" w:cs="Arial" w:eastAsia="Arial" w:hAnsi="Arial"/>
                <w:sz w:val="9"/>
                <w:szCs w:val="9"/>
                <w:b w:val="1"/>
                <w:bCs w:val="1"/>
                <w:color w:val="auto"/>
              </w:rPr>
              <w:t>Reclassification/Eliminations</w:t>
            </w:r>
          </w:p>
        </w:tc>
        <w:tc>
          <w:tcPr>
            <w:tcW w:w="820" w:type="dxa"/>
            <w:vAlign w:val="bottom"/>
          </w:tcPr>
          <w:p>
            <w:pPr>
              <w:ind w:left="160"/>
              <w:spacing w:after="0"/>
              <w:rPr>
                <w:sz w:val="20"/>
                <w:szCs w:val="20"/>
                <w:color w:val="auto"/>
              </w:rPr>
            </w:pPr>
            <w:r>
              <w:rPr>
                <w:rFonts w:ascii="Arial" w:cs="Arial" w:eastAsia="Arial" w:hAnsi="Arial"/>
                <w:sz w:val="9"/>
                <w:szCs w:val="9"/>
                <w:b w:val="1"/>
                <w:bCs w:val="1"/>
                <w:color w:val="auto"/>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9525</wp:posOffset>
            </wp:positionV>
            <wp:extent cx="5034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ind w:left="32"/>
        <w:spacing w:after="0"/>
        <w:rPr>
          <w:sz w:val="20"/>
          <w:szCs w:val="20"/>
          <w:color w:val="auto"/>
        </w:rPr>
      </w:pPr>
      <w:r>
        <w:rPr>
          <w:rFonts w:ascii="Arial" w:cs="Arial" w:eastAsia="Arial" w:hAnsi="Arial"/>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p>
      <w:pPr>
        <w:spacing w:after="0" w:line="150" w:lineRule="exact"/>
        <w:rPr>
          <w:sz w:val="20"/>
          <w:szCs w:val="20"/>
          <w:color w:val="auto"/>
        </w:rPr>
      </w:pPr>
    </w:p>
    <w:tbl>
      <w:tblPr>
        <w:tblLayout w:type="fixed"/>
        <w:tblInd w:w="32" w:type="dxa"/>
        <w:tblCellMar>
          <w:top w:w="0" w:type="dxa"/>
          <w:left w:w="0" w:type="dxa"/>
          <w:bottom w:w="0" w:type="dxa"/>
          <w:right w:w="0" w:type="dxa"/>
        </w:tblCellMar>
      </w:tblPr>
      <w:tr>
        <w:trPr>
          <w:trHeight w:val="152"/>
        </w:trPr>
        <w:tc>
          <w:tcPr>
            <w:tcW w:w="3460" w:type="dxa"/>
            <w:vAlign w:val="bottom"/>
          </w:tcPr>
          <w:p>
            <w:pPr>
              <w:ind w:left="140"/>
              <w:spacing w:after="0"/>
              <w:rPr>
                <w:sz w:val="20"/>
                <w:szCs w:val="20"/>
                <w:color w:val="auto"/>
              </w:rPr>
            </w:pPr>
            <w:r>
              <w:rPr>
                <w:rFonts w:ascii="Arial" w:cs="Arial" w:eastAsia="Arial" w:hAnsi="Arial"/>
                <w:sz w:val="13"/>
                <w:szCs w:val="13"/>
                <w:color w:val="auto"/>
              </w:rPr>
              <w:t>Income from continuing operations</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730</w:t>
            </w:r>
          </w:p>
        </w:tc>
        <w:tc>
          <w:tcPr>
            <w:tcW w:w="120" w:type="dxa"/>
            <w:vAlign w:val="bottom"/>
          </w:tcPr>
          <w:p>
            <w:pPr>
              <w:spacing w:after="0"/>
              <w:rPr>
                <w:sz w:val="13"/>
                <w:szCs w:val="13"/>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ind w:right="57"/>
              <w:spacing w:after="0"/>
              <w:rPr>
                <w:sz w:val="20"/>
                <w:szCs w:val="20"/>
                <w:color w:val="auto"/>
              </w:rPr>
            </w:pPr>
            <w:r>
              <w:rPr>
                <w:rFonts w:ascii="Arial" w:cs="Arial" w:eastAsia="Arial" w:hAnsi="Arial"/>
                <w:sz w:val="13"/>
                <w:szCs w:val="13"/>
                <w:color w:val="auto"/>
              </w:rPr>
              <w:t>374</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3"/>
                <w:szCs w:val="13"/>
                <w:color w:val="auto"/>
              </w:rPr>
              <w:t>Depreciation, amortization and impairment charges</w:t>
            </w:r>
          </w:p>
        </w:tc>
        <w:tc>
          <w:tcPr>
            <w:tcW w:w="200" w:type="dxa"/>
            <w:vAlign w:val="bottom"/>
          </w:tcPr>
          <w:p>
            <w:pPr>
              <w:spacing w:after="0"/>
              <w:rPr>
                <w:sz w:val="16"/>
                <w:szCs w:val="16"/>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1,758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3"/>
                <w:szCs w:val="13"/>
                <w:color w:val="auto"/>
              </w:rPr>
              <w:t>1,823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3"/>
                <w:szCs w:val="13"/>
                <w:color w:val="auto"/>
              </w:rPr>
              <w:t>Foreign currency remeasurement and transaction losses</w:t>
            </w:r>
          </w:p>
        </w:tc>
        <w:tc>
          <w:tcPr>
            <w:tcW w:w="200" w:type="dxa"/>
            <w:vAlign w:val="bottom"/>
          </w:tcPr>
          <w:p>
            <w:pPr>
              <w:spacing w:after="0"/>
              <w:rPr>
                <w:sz w:val="16"/>
                <w:szCs w:val="16"/>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3"/>
                <w:szCs w:val="13"/>
                <w:color w:val="auto"/>
              </w:rPr>
              <w:t>Undistributed earnings of nonconsolidated affiliates, net</w:t>
            </w:r>
          </w:p>
        </w:tc>
        <w:tc>
          <w:tcPr>
            <w:tcW w:w="2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(52)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3"/>
                <w:szCs w:val="13"/>
                <w:color w:val="auto"/>
              </w:rPr>
              <w:t>Pension contributions and OPEB payments</w:t>
            </w:r>
          </w:p>
        </w:tc>
        <w:tc>
          <w:tcPr>
            <w:tcW w:w="2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3"/>
                <w:szCs w:val="13"/>
                <w:color w:val="auto"/>
              </w:rPr>
              <w:t>Pension and OPEB income, net</w:t>
            </w:r>
          </w:p>
        </w:tc>
        <w:tc>
          <w:tcPr>
            <w:tcW w:w="2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3"/>
                <w:szCs w:val="13"/>
                <w:color w:val="auto"/>
              </w:rPr>
              <w:t>Provision for deferred taxes</w:t>
            </w:r>
          </w:p>
        </w:tc>
        <w:tc>
          <w:tcPr>
            <w:tcW w:w="200" w:type="dxa"/>
            <w:vAlign w:val="bottom"/>
          </w:tcPr>
          <w:p>
            <w:pPr>
              <w:spacing w:after="0"/>
              <w:rPr>
                <w:sz w:val="16"/>
                <w:szCs w:val="16"/>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3"/>
                <w:szCs w:val="13"/>
                <w:color w:val="auto"/>
              </w:rPr>
              <w:t>47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3"/>
                <w:szCs w:val="13"/>
                <w:color w:val="auto"/>
              </w:rPr>
              <w:t>Change in other operating assets and liabilities(a)(b)</w:t>
            </w:r>
          </w:p>
        </w:tc>
        <w:tc>
          <w:tcPr>
            <w:tcW w:w="2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(2,960)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(528)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460" w:type="dxa"/>
            <w:vAlign w:val="bottom"/>
          </w:tcPr>
          <w:p>
            <w:pPr>
              <w:ind w:left="140"/>
              <w:spacing w:after="0" w:line="143" w:lineRule="exact"/>
              <w:rPr>
                <w:sz w:val="20"/>
                <w:szCs w:val="20"/>
                <w:color w:val="auto"/>
              </w:rPr>
            </w:pPr>
            <w:r>
              <w:rPr>
                <w:rFonts w:ascii="Arial" w:cs="Arial" w:eastAsia="Arial" w:hAnsi="Arial"/>
                <w:sz w:val="13"/>
                <w:szCs w:val="13"/>
                <w:color w:val="auto"/>
              </w:rPr>
              <w:t>Net cash provided by (used in) operating activities –</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60" w:type="dxa"/>
            <w:vAlign w:val="bottom"/>
          </w:tcPr>
          <w:p>
            <w:pPr>
              <w:ind w:left="300"/>
              <w:spacing w:after="0"/>
              <w:rPr>
                <w:sz w:val="20"/>
                <w:szCs w:val="20"/>
                <w:color w:val="auto"/>
              </w:rPr>
            </w:pPr>
            <w:r>
              <w:rPr>
                <w:rFonts w:ascii="Arial" w:cs="Arial" w:eastAsia="Arial" w:hAnsi="Arial"/>
                <w:sz w:val="13"/>
                <w:szCs w:val="13"/>
                <w:color w:val="auto"/>
              </w:rPr>
              <w:t>continuing operations</w:t>
            </w: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(1,212)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1,669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140"/>
              <w:spacing w:after="0"/>
              <w:rPr>
                <w:sz w:val="20"/>
                <w:szCs w:val="20"/>
                <w:color w:val="auto"/>
              </w:rPr>
            </w:pPr>
            <w:r>
              <w:rPr>
                <w:rFonts w:ascii="Arial" w:cs="Arial" w:eastAsia="Arial" w:hAnsi="Arial"/>
                <w:sz w:val="13"/>
                <w:szCs w:val="13"/>
                <w:color w:val="auto"/>
              </w:rPr>
              <w:t>Net cash provided by operating activities – discontinued</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300"/>
              <w:spacing w:after="0"/>
              <w:rPr>
                <w:sz w:val="20"/>
                <w:szCs w:val="20"/>
                <w:color w:val="auto"/>
              </w:rPr>
            </w:pPr>
            <w:r>
              <w:rPr>
                <w:rFonts w:ascii="Arial" w:cs="Arial" w:eastAsia="Arial" w:hAnsi="Arial"/>
                <w:sz w:val="13"/>
                <w:szCs w:val="13"/>
                <w:color w:val="auto"/>
              </w:rPr>
              <w:t>operations</w:t>
            </w:r>
          </w:p>
        </w:tc>
        <w:tc>
          <w:tcPr>
            <w:tcW w:w="2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60" w:type="dxa"/>
            <w:vAlign w:val="bottom"/>
          </w:tcPr>
          <w:p>
            <w:pPr>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(1,212)</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1,669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2"/>
        <w:spacing w:after="0"/>
        <w:rPr>
          <w:sz w:val="20"/>
          <w:szCs w:val="20"/>
          <w:color w:val="auto"/>
        </w:rPr>
      </w:pPr>
      <w:r>
        <w:rPr>
          <w:rFonts w:ascii="Arial" w:cs="Arial" w:eastAsia="Arial" w:hAnsi="Arial"/>
          <w:sz w:val="13"/>
          <w:szCs w:val="13"/>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6</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1,110</w:t>
            </w:r>
          </w:p>
        </w:tc>
        <w:tc>
          <w:tcPr>
            <w:tcW w:w="100" w:type="dxa"/>
            <w:vAlign w:val="bottom"/>
          </w:tcPr>
          <w:p>
            <w:pPr>
              <w:spacing w:after="0"/>
              <w:rPr>
                <w:sz w:val="13"/>
                <w:szCs w:val="1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2,505</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3"/>
                <w:szCs w:val="13"/>
                <w:color w:val="auto"/>
              </w:rPr>
            </w:pPr>
          </w:p>
        </w:tc>
        <w:tc>
          <w:tcPr>
            <w:tcW w:w="480" w:type="dxa"/>
            <w:vAlign w:val="bottom"/>
          </w:tcPr>
          <w:p>
            <w:pPr>
              <w:jc w:val="right"/>
              <w:ind w:right="337"/>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2,686</w:t>
            </w:r>
          </w:p>
        </w:tc>
      </w:tr>
      <w:tr>
        <w:trPr>
          <w:trHeight w:val="27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3,581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1,428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2,743</w:t>
            </w:r>
          </w:p>
        </w:tc>
      </w:tr>
      <w:tr>
        <w:trPr>
          <w:trHeight w:val="27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144</w:t>
            </w:r>
          </w:p>
        </w:tc>
      </w:tr>
      <w:tr>
        <w:trPr>
          <w:trHeight w:val="27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(648)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(555)</w:t>
            </w:r>
          </w:p>
        </w:tc>
      </w:tr>
      <w:tr>
        <w:trPr>
          <w:trHeight w:val="27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(382)</w:t>
            </w:r>
          </w:p>
        </w:tc>
      </w:tr>
      <w:tr>
        <w:trPr>
          <w:trHeight w:val="27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27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1,036</w:t>
            </w:r>
          </w:p>
        </w:tc>
      </w:tr>
      <w:tr>
        <w:trPr>
          <w:trHeight w:val="280"/>
        </w:trPr>
        <w:tc>
          <w:tcPr>
            <w:tcW w:w="440" w:type="dxa"/>
            <w:vAlign w:val="bottom"/>
          </w:tcPr>
          <w:p>
            <w:pPr>
              <w:jc w:val="right"/>
              <w:ind w:right="137"/>
              <w:spacing w:after="0"/>
              <w:rPr>
                <w:sz w:val="20"/>
                <w:szCs w:val="20"/>
                <w:color w:val="auto"/>
              </w:rPr>
            </w:pPr>
            <w:r>
              <w:rPr>
                <w:rFonts w:ascii="Arial" w:cs="Arial" w:eastAsia="Arial" w:hAnsi="Arial"/>
                <w:sz w:val="13"/>
                <w:szCs w:val="13"/>
                <w:color w:val="auto"/>
                <w:w w:val="94"/>
              </w:rPr>
              <w:t>(15)</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(3,503)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(2,768)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(3,674)</w:t>
            </w:r>
          </w:p>
        </w:tc>
      </w:tr>
      <w:tr>
        <w:trPr>
          <w:trHeight w:val="295"/>
        </w:trPr>
        <w:tc>
          <w:tcPr>
            <w:tcW w:w="440" w:type="dxa"/>
            <w:vAlign w:val="bottom"/>
          </w:tcPr>
          <w:p>
            <w:pPr>
              <w:jc w:val="right"/>
              <w:ind w:right="137"/>
              <w:spacing w:after="0"/>
              <w:rPr>
                <w:sz w:val="20"/>
                <w:szCs w:val="20"/>
                <w:color w:val="auto"/>
              </w:rPr>
            </w:pPr>
            <w:r>
              <w:rPr>
                <w:rFonts w:ascii="Arial" w:cs="Arial" w:eastAsia="Arial" w:hAnsi="Arial"/>
                <w:sz w:val="13"/>
                <w:szCs w:val="13"/>
                <w:color w:val="auto"/>
              </w:rPr>
              <w:t>(9)</w:t>
            </w:r>
          </w:p>
        </w:tc>
        <w:tc>
          <w:tcPr>
            <w:tcW w:w="240" w:type="dxa"/>
            <w:vAlign w:val="bottom"/>
          </w:tcPr>
          <w:p>
            <w:pPr>
              <w:spacing w:after="0"/>
              <w:rPr>
                <w:sz w:val="24"/>
                <w:szCs w:val="24"/>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1,332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1,798</w:t>
            </w:r>
          </w:p>
        </w:tc>
      </w:tr>
      <w:tr>
        <w:trPr>
          <w:trHeight w:val="334"/>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243</w:t>
            </w:r>
          </w:p>
        </w:tc>
      </w:tr>
      <w:tr>
        <w:trPr>
          <w:trHeight w:val="241"/>
        </w:trPr>
        <w:tc>
          <w:tcPr>
            <w:tcW w:w="440" w:type="dxa"/>
            <w:vAlign w:val="bottom"/>
          </w:tcPr>
          <w:p>
            <w:pPr>
              <w:jc w:val="right"/>
              <w:ind w:right="137"/>
              <w:spacing w:after="0"/>
              <w:rPr>
                <w:sz w:val="20"/>
                <w:szCs w:val="20"/>
                <w:color w:val="auto"/>
              </w:rPr>
            </w:pPr>
            <w:r>
              <w:rPr>
                <w:rFonts w:ascii="Arial" w:cs="Arial" w:eastAsia="Arial" w:hAnsi="Arial"/>
                <w:sz w:val="13"/>
                <w:szCs w:val="13"/>
                <w:color w:val="auto"/>
              </w:rPr>
              <w:t>(9)</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-1601470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-1258570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-915670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181610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-160655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-572135</wp:posOffset>
            </wp:positionV>
            <wp:extent cx="72466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5372" w:space="720"/>
            <w:col w:w="5320"/>
          </w:cols>
          <w:pgMar w:left="248" w:top="337" w:right="239" w:bottom="1440" w:gutter="0" w:footer="0" w:header="0"/>
          <w:type w:val="continuous"/>
        </w:sectPr>
      </w:pPr>
    </w:p>
    <w:p>
      <w:pPr>
        <w:ind w:left="172"/>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2"/>
          <w:szCs w:val="12"/>
          <w:color w:val="auto"/>
        </w:rPr>
        <w:t>Available-for-sale marketable securities, acquisitions</w:t>
      </w:r>
    </w:p>
    <w:p>
      <w:pPr>
        <w:spacing w:after="0" w:line="132" w:lineRule="exact"/>
        <w:rPr>
          <w:sz w:val="20"/>
          <w:szCs w:val="20"/>
          <w:color w:val="auto"/>
        </w:rPr>
      </w:pPr>
    </w:p>
    <w:p>
      <w:pPr>
        <w:ind w:left="172"/>
        <w:spacing w:after="0"/>
        <w:rPr>
          <w:sz w:val="20"/>
          <w:szCs w:val="20"/>
          <w:color w:val="auto"/>
        </w:rPr>
      </w:pPr>
      <w:r>
        <w:rPr>
          <w:rFonts w:ascii="Arial" w:cs="Arial" w:eastAsia="Arial" w:hAnsi="Arial"/>
          <w:sz w:val="12"/>
          <w:szCs w:val="12"/>
          <w:color w:val="auto"/>
        </w:rPr>
        <w:t>Available-for-sale marketable securities, liquidations</w:t>
      </w:r>
    </w:p>
    <w:p>
      <w:pPr>
        <w:spacing w:after="0" w:line="132"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Purchases of finance receivables, net(a)(b)</w:t>
      </w:r>
    </w:p>
    <w:p>
      <w:pPr>
        <w:spacing w:after="0" w:line="121" w:lineRule="exact"/>
        <w:rPr>
          <w:sz w:val="20"/>
          <w:szCs w:val="20"/>
          <w:color w:val="auto"/>
        </w:rPr>
      </w:pPr>
    </w:p>
    <w:p>
      <w:pPr>
        <w:ind w:left="332" w:right="340" w:hanging="161"/>
        <w:spacing w:after="0" w:line="230" w:lineRule="auto"/>
        <w:rPr>
          <w:sz w:val="20"/>
          <w:szCs w:val="20"/>
          <w:color w:val="auto"/>
        </w:rPr>
      </w:pPr>
      <w:r>
        <w:rPr>
          <w:rFonts w:ascii="Arial" w:cs="Arial" w:eastAsia="Arial" w:hAnsi="Arial"/>
          <w:sz w:val="13"/>
          <w:szCs w:val="13"/>
          <w:color w:val="auto"/>
        </w:rPr>
        <w:t>Principal collections and recoveries on finance receivables(b)</w:t>
      </w:r>
    </w:p>
    <w:p>
      <w:pPr>
        <w:spacing w:after="0" w:line="38"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Purchases of leased vehicles, net</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Proceeds from termination of leased vehicles</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3"/>
          <w:szCs w:val="13"/>
          <w:color w:val="auto"/>
        </w:rPr>
        <w:t>Other investing activities</w:t>
      </w:r>
    </w:p>
    <w:p>
      <w:pPr>
        <w:spacing w:after="0" w:line="121" w:lineRule="exact"/>
        <w:rPr>
          <w:sz w:val="20"/>
          <w:szCs w:val="20"/>
          <w:color w:val="auto"/>
        </w:rPr>
      </w:pPr>
    </w:p>
    <w:p>
      <w:pPr>
        <w:ind w:left="332" w:right="220" w:hanging="161"/>
        <w:spacing w:after="0" w:line="230" w:lineRule="auto"/>
        <w:rPr>
          <w:sz w:val="20"/>
          <w:szCs w:val="20"/>
          <w:color w:val="auto"/>
        </w:rPr>
      </w:pPr>
      <w:r>
        <w:rPr>
          <w:rFonts w:ascii="Arial" w:cs="Arial" w:eastAsia="Arial" w:hAnsi="Arial"/>
          <w:sz w:val="13"/>
          <w:szCs w:val="13"/>
          <w:color w:val="auto"/>
        </w:rPr>
        <w:t>Net cash used in investing activities – continuing operations</w:t>
      </w:r>
    </w:p>
    <w:p>
      <w:pPr>
        <w:spacing w:after="0" w:line="38" w:lineRule="exact"/>
        <w:rPr>
          <w:sz w:val="20"/>
          <w:szCs w:val="20"/>
          <w:color w:val="auto"/>
        </w:rPr>
      </w:pPr>
    </w:p>
    <w:p>
      <w:pPr>
        <w:ind w:left="332" w:right="60" w:hanging="161"/>
        <w:spacing w:after="0" w:line="230" w:lineRule="auto"/>
        <w:rPr>
          <w:sz w:val="20"/>
          <w:szCs w:val="20"/>
          <w:color w:val="auto"/>
        </w:rPr>
      </w:pPr>
      <w:r>
        <w:rPr>
          <w:rFonts w:ascii="Arial" w:cs="Arial" w:eastAsia="Arial" w:hAnsi="Arial"/>
          <w:sz w:val="13"/>
          <w:szCs w:val="13"/>
          <w:color w:val="auto"/>
        </w:rPr>
        <w:t>Net cash provided by (used in) investing activities – discontinued operations</w:t>
      </w:r>
    </w:p>
    <w:p>
      <w:pPr>
        <w:spacing w:after="0" w:line="22" w:lineRule="exact"/>
        <w:rPr>
          <w:sz w:val="20"/>
          <w:szCs w:val="20"/>
          <w:color w:val="auto"/>
        </w:rPr>
      </w:pPr>
    </w:p>
    <w:p>
      <w:pPr>
        <w:ind w:left="32"/>
        <w:spacing w:after="0"/>
        <w:rPr>
          <w:sz w:val="20"/>
          <w:szCs w:val="20"/>
          <w:color w:val="auto"/>
        </w:rPr>
      </w:pPr>
      <w:r>
        <w:rPr>
          <w:rFonts w:ascii="Arial" w:cs="Arial" w:eastAsia="Arial" w:hAnsi="Arial"/>
          <w:sz w:val="13"/>
          <w:szCs w:val="13"/>
          <w:b w:val="1"/>
          <w:bCs w:val="1"/>
          <w:color w:val="auto"/>
        </w:rPr>
        <w:t>Net cash used in investing activities</w:t>
      </w:r>
    </w:p>
    <w:p>
      <w:pPr>
        <w:spacing w:after="0" w:line="121" w:lineRule="exact"/>
        <w:rPr>
          <w:sz w:val="20"/>
          <w:szCs w:val="20"/>
          <w:color w:val="auto"/>
        </w:rPr>
      </w:pPr>
    </w:p>
    <w:p>
      <w:pPr>
        <w:ind w:left="32"/>
        <w:spacing w:after="0"/>
        <w:rPr>
          <w:sz w:val="20"/>
          <w:szCs w:val="20"/>
          <w:color w:val="auto"/>
        </w:rPr>
      </w:pPr>
      <w:r>
        <w:rPr>
          <w:rFonts w:ascii="Arial" w:cs="Arial" w:eastAsia="Arial" w:hAnsi="Arial"/>
          <w:sz w:val="13"/>
          <w:szCs w:val="13"/>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920" w:val="left"/>
        </w:tabs>
        <w:rPr>
          <w:sz w:val="20"/>
          <w:szCs w:val="20"/>
          <w:color w:val="auto"/>
        </w:rPr>
      </w:pPr>
      <w:r>
        <w:rPr>
          <w:rFonts w:ascii="Arial" w:cs="Arial" w:eastAsia="Arial" w:hAnsi="Arial"/>
          <w:sz w:val="12"/>
          <w:szCs w:val="12"/>
          <w:color w:val="auto"/>
        </w:rPr>
        <w:t>(2,252)</w:t>
      </w:r>
      <w:r>
        <w:rPr>
          <w:sz w:val="20"/>
          <w:szCs w:val="20"/>
          <w:color w:val="auto"/>
        </w:rPr>
        <w:tab/>
      </w:r>
      <w:r>
        <w:rPr>
          <w:rFonts w:ascii="Arial" w:cs="Arial" w:eastAsia="Arial" w:hAnsi="Arial"/>
          <w:sz w:val="12"/>
          <w:szCs w:val="12"/>
          <w:color w:val="auto"/>
        </w:rPr>
        <w:t>(20)</w:t>
      </w:r>
    </w:p>
    <w:p>
      <w:pPr>
        <w:spacing w:after="0" w:line="132" w:lineRule="exact"/>
        <w:rPr>
          <w:sz w:val="20"/>
          <w:szCs w:val="20"/>
          <w:color w:val="auto"/>
        </w:rPr>
      </w:pPr>
    </w:p>
    <w:p>
      <w:pPr>
        <w:ind w:left="1000" w:hanging="898"/>
        <w:spacing w:after="0"/>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color w:val="auto"/>
        </w:rPr>
        <w:t>2,062</w:t>
      </w:r>
      <w:r>
        <w:rPr>
          <w:rFonts w:ascii="Arial" w:cs="Arial" w:eastAsia="Arial" w:hAnsi="Arial"/>
          <w:sz w:val="12"/>
          <w:szCs w:val="12"/>
          <w:color w:val="auto"/>
        </w:rPr>
        <w:t>—</w:t>
      </w:r>
    </w:p>
    <w:p>
      <w:pPr>
        <w:spacing w:after="0" w:line="120" w:lineRule="exact"/>
        <w:rPr>
          <w:rFonts w:ascii="Arial" w:cs="Arial" w:eastAsia="Arial" w:hAnsi="Arial"/>
          <w:sz w:val="13"/>
          <w:szCs w:val="13"/>
          <w:color w:val="auto"/>
        </w:rPr>
      </w:pPr>
    </w:p>
    <w:p>
      <w:pPr>
        <w:ind w:left="2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(5,073)</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3,608</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(4,496)</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2,379</w:t>
      </w:r>
    </w:p>
    <w:p>
      <w:pPr>
        <w:spacing w:after="0" w:line="121" w:lineRule="exact"/>
        <w:rPr>
          <w:sz w:val="20"/>
          <w:szCs w:val="20"/>
          <w:color w:val="auto"/>
        </w:rPr>
      </w:pPr>
    </w:p>
    <w:p>
      <w:pPr>
        <w:ind w:left="1000" w:hanging="828"/>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t>
      </w:r>
    </w:p>
    <w:p>
      <w:pPr>
        <w:spacing w:after="0" w:line="17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(1,144)</w:t>
      </w:r>
      <w:r>
        <w:rPr>
          <w:rFonts w:ascii="Arial" w:cs="Arial" w:eastAsia="Arial" w:hAnsi="Arial"/>
          <w:sz w:val="12"/>
          <w:szCs w:val="12"/>
          <w:color w:val="auto"/>
        </w:rPr>
        <w:t>(3,602)</w:t>
      </w:r>
    </w:p>
    <w:p>
      <w:pPr>
        <w:spacing w:after="0" w:line="175"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3"/>
          <w:szCs w:val="13"/>
          <w:color w:val="auto"/>
        </w:rPr>
        <w:t>166</w:t>
      </w:r>
      <w:r>
        <w:rPr>
          <w:sz w:val="20"/>
          <w:szCs w:val="20"/>
          <w:color w:val="auto"/>
        </w:rPr>
        <w:tab/>
      </w:r>
      <w:r>
        <w:rPr>
          <w:rFonts w:ascii="Arial" w:cs="Arial" w:eastAsia="Arial" w:hAnsi="Arial"/>
          <w:sz w:val="13"/>
          <w:szCs w:val="13"/>
          <w:color w:val="auto"/>
        </w:rPr>
        <w:t>—</w:t>
      </w:r>
    </w:p>
    <w:p>
      <w:pPr>
        <w:spacing w:after="0" w:line="121" w:lineRule="exact"/>
        <w:rPr>
          <w:sz w:val="20"/>
          <w:szCs w:val="20"/>
          <w:color w:val="auto"/>
        </w:rPr>
      </w:pPr>
    </w:p>
    <w:p>
      <w:pPr>
        <w:ind w:left="760" w:hanging="658"/>
        <w:spacing w:after="0"/>
        <w:tabs>
          <w:tab w:leader="none" w:pos="7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(3,602)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4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13"/>
                <w:szCs w:val="1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(1,710)</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(1,730)</w:t>
            </w:r>
          </w:p>
        </w:tc>
      </w:tr>
      <w:tr>
        <w:trPr>
          <w:trHeight w:val="270"/>
        </w:trPr>
        <w:tc>
          <w:tcPr>
            <w:tcW w:w="14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(1,316)</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(1,316)</w:t>
            </w:r>
          </w:p>
        </w:tc>
      </w:tr>
      <w:tr>
        <w:trPr>
          <w:trHeight w:val="270"/>
        </w:trPr>
        <w:tc>
          <w:tcPr>
            <w:tcW w:w="14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2,062</w:t>
            </w:r>
          </w:p>
        </w:tc>
        <w:tc>
          <w:tcPr>
            <w:tcW w:w="10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2,914</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2,914</w:t>
            </w:r>
          </w:p>
        </w:tc>
      </w:tr>
      <w:tr>
        <w:trPr>
          <w:trHeight w:val="270"/>
        </w:trPr>
        <w:tc>
          <w:tcPr>
            <w:tcW w:w="1280" w:type="dxa"/>
            <w:vAlign w:val="bottom"/>
          </w:tcPr>
          <w:p>
            <w:pPr>
              <w:jc w:val="right"/>
              <w:ind w:right="77"/>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(4,925)</w:t>
            </w: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(6,026)</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(5,402)</w:t>
            </w:r>
          </w:p>
        </w:tc>
      </w:tr>
      <w:tr>
        <w:trPr>
          <w:trHeight w:val="324"/>
        </w:trPr>
        <w:tc>
          <w:tcPr>
            <w:tcW w:w="1280" w:type="dxa"/>
            <w:vAlign w:val="bottom"/>
          </w:tcPr>
          <w:p>
            <w:pPr>
              <w:jc w:val="right"/>
              <w:ind w:right="17"/>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3,478</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2,810</w:t>
            </w:r>
          </w:p>
        </w:tc>
        <w:tc>
          <w:tcPr>
            <w:tcW w:w="120" w:type="dxa"/>
            <w:vAlign w:val="bottom"/>
          </w:tcPr>
          <w:p>
            <w:pPr>
              <w:spacing w:after="0"/>
              <w:rPr>
                <w:sz w:val="24"/>
                <w:szCs w:val="24"/>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2,808</w:t>
            </w:r>
          </w:p>
        </w:tc>
      </w:tr>
      <w:tr>
        <w:trPr>
          <w:trHeight w:val="270"/>
        </w:trPr>
        <w:tc>
          <w:tcPr>
            <w:tcW w:w="14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(4,496)</w:t>
            </w: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(4,727)</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(4,727)</w:t>
            </w:r>
          </w:p>
        </w:tc>
      </w:tr>
      <w:tr>
        <w:trPr>
          <w:trHeight w:val="270"/>
        </w:trPr>
        <w:tc>
          <w:tcPr>
            <w:tcW w:w="14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2,379</w:t>
            </w: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1,079</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1,079</w:t>
            </w:r>
          </w:p>
        </w:tc>
      </w:tr>
      <w:tr>
        <w:trPr>
          <w:trHeight w:val="280"/>
        </w:trPr>
        <w:tc>
          <w:tcPr>
            <w:tcW w:w="14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95"/>
        </w:trPr>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4"/>
                <w:szCs w:val="24"/>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(4,728)</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(6,884)</w:t>
            </w:r>
          </w:p>
        </w:tc>
        <w:tc>
          <w:tcPr>
            <w:tcW w:w="120" w:type="dxa"/>
            <w:vAlign w:val="bottom"/>
          </w:tcPr>
          <w:p>
            <w:pPr>
              <w:spacing w:after="0"/>
              <w:rPr>
                <w:sz w:val="24"/>
                <w:szCs w:val="24"/>
                <w:color w:val="auto"/>
              </w:rPr>
            </w:pPr>
          </w:p>
        </w:tc>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622</w:t>
            </w:r>
          </w:p>
        </w:tc>
        <w:tc>
          <w:tcPr>
            <w:tcW w:w="10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(6,373)</w:t>
            </w:r>
          </w:p>
        </w:tc>
      </w:tr>
      <w:tr>
        <w:trPr>
          <w:trHeight w:val="334"/>
        </w:trPr>
        <w:tc>
          <w:tcPr>
            <w:tcW w:w="14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(293)</w:t>
            </w:r>
          </w:p>
        </w:tc>
        <w:tc>
          <w:tcPr>
            <w:tcW w:w="120" w:type="dxa"/>
            <w:vAlign w:val="bottom"/>
          </w:tcPr>
          <w:p>
            <w:pPr>
              <w:spacing w:after="0"/>
              <w:rPr>
                <w:sz w:val="24"/>
                <w:szCs w:val="24"/>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(432)</w:t>
            </w:r>
          </w:p>
        </w:tc>
      </w:tr>
      <w:tr>
        <w:trPr>
          <w:trHeight w:val="241"/>
        </w:trPr>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(4,562)</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(7,177)</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-1635760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-1292860</wp:posOffset>
            </wp:positionV>
            <wp:extent cx="724662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-915670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181610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-160655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-572135</wp:posOffset>
            </wp:positionV>
            <wp:extent cx="724662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3">
            <w:col w:w="3092" w:space="700"/>
            <w:col w:w="1160" w:space="180"/>
            <w:col w:w="6280"/>
          </w:cols>
          <w:pgMar w:left="248" w:top="337" w:right="239" w:bottom="1440" w:gutter="0" w:footer="0" w:header="0"/>
          <w:type w:val="continuous"/>
        </w:sectPr>
      </w:pPr>
    </w:p>
    <w:p>
      <w:pPr>
        <w:ind w:left="172"/>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332" w:right="20" w:hanging="161"/>
        <w:spacing w:after="0" w:line="230" w:lineRule="auto"/>
        <w:rPr>
          <w:sz w:val="20"/>
          <w:szCs w:val="20"/>
          <w:color w:val="auto"/>
        </w:rPr>
      </w:pPr>
      <w:r>
        <w:rPr>
          <w:rFonts w:ascii="Arial" w:cs="Arial" w:eastAsia="Arial" w:hAnsi="Arial"/>
          <w:sz w:val="13"/>
          <w:szCs w:val="13"/>
          <w:color w:val="auto"/>
        </w:rPr>
        <w:t>Proceeds from issuance of debt (original maturities greater than three months)</w:t>
      </w:r>
    </w:p>
    <w:p>
      <w:pPr>
        <w:spacing w:after="0" w:line="38" w:lineRule="exact"/>
        <w:rPr>
          <w:sz w:val="20"/>
          <w:szCs w:val="20"/>
          <w:color w:val="auto"/>
        </w:rPr>
      </w:pPr>
    </w:p>
    <w:p>
      <w:pPr>
        <w:ind w:left="332" w:right="180" w:hanging="161"/>
        <w:spacing w:after="0" w:line="230" w:lineRule="auto"/>
        <w:rPr>
          <w:sz w:val="20"/>
          <w:szCs w:val="20"/>
          <w:color w:val="auto"/>
        </w:rPr>
      </w:pPr>
      <w:r>
        <w:rPr>
          <w:rFonts w:ascii="Arial" w:cs="Arial" w:eastAsia="Arial" w:hAnsi="Arial"/>
          <w:sz w:val="13"/>
          <w:szCs w:val="13"/>
          <w:color w:val="auto"/>
        </w:rPr>
        <w:t>Payments on debt (original maturities greater than three months)</w:t>
      </w:r>
    </w:p>
    <w:p>
      <w:pPr>
        <w:spacing w:after="0" w:line="38" w:lineRule="exact"/>
        <w:rPr>
          <w:sz w:val="20"/>
          <w:szCs w:val="20"/>
          <w:color w:val="auto"/>
        </w:rPr>
      </w:pPr>
    </w:p>
    <w:p>
      <w:pPr>
        <w:ind w:left="172"/>
        <w:spacing w:after="0"/>
        <w:rPr>
          <w:sz w:val="20"/>
          <w:szCs w:val="20"/>
          <w:color w:val="auto"/>
        </w:rPr>
      </w:pPr>
      <w:r>
        <w:rPr>
          <w:rFonts w:ascii="Arial" w:cs="Arial" w:eastAsia="Arial" w:hAnsi="Arial"/>
          <w:sz w:val="13"/>
          <w:szCs w:val="13"/>
          <w:color w:val="auto"/>
        </w:rPr>
        <w:t>Payments to purchase common stock</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72"/>
        <w:spacing w:after="0"/>
        <w:rPr>
          <w:sz w:val="20"/>
          <w:szCs w:val="20"/>
          <w:color w:val="auto"/>
        </w:rPr>
      </w:pPr>
      <w:r>
        <w:rPr>
          <w:rFonts w:ascii="Arial" w:cs="Arial" w:eastAsia="Arial" w:hAnsi="Arial"/>
          <w:sz w:val="13"/>
          <w:szCs w:val="13"/>
          <w:color w:val="auto"/>
        </w:rPr>
        <w:t>Other financing activities</w:t>
      </w:r>
    </w:p>
    <w:p>
      <w:pPr>
        <w:spacing w:after="0" w:line="121" w:lineRule="exact"/>
        <w:rPr>
          <w:sz w:val="20"/>
          <w:szCs w:val="20"/>
          <w:color w:val="auto"/>
        </w:rPr>
      </w:pPr>
    </w:p>
    <w:p>
      <w:pPr>
        <w:ind w:left="332" w:right="420" w:hanging="161"/>
        <w:spacing w:after="0" w:line="230" w:lineRule="auto"/>
        <w:rPr>
          <w:sz w:val="20"/>
          <w:szCs w:val="20"/>
          <w:color w:val="auto"/>
        </w:rPr>
      </w:pPr>
      <w:r>
        <w:rPr>
          <w:rFonts w:ascii="Arial" w:cs="Arial" w:eastAsia="Arial" w:hAnsi="Arial"/>
          <w:sz w:val="13"/>
          <w:szCs w:val="13"/>
          <w:color w:val="auto"/>
        </w:rPr>
        <w:t>Net cash provided by (used in) financing activities – continuing operations</w:t>
      </w:r>
    </w:p>
    <w:p>
      <w:pPr>
        <w:spacing w:after="0" w:line="38" w:lineRule="exact"/>
        <w:rPr>
          <w:sz w:val="20"/>
          <w:szCs w:val="20"/>
          <w:color w:val="auto"/>
        </w:rPr>
      </w:pPr>
    </w:p>
    <w:p>
      <w:pPr>
        <w:ind w:left="332" w:right="440" w:hanging="161"/>
        <w:spacing w:after="0" w:line="230" w:lineRule="auto"/>
        <w:rPr>
          <w:sz w:val="20"/>
          <w:szCs w:val="20"/>
          <w:color w:val="auto"/>
        </w:rPr>
      </w:pPr>
      <w:r>
        <w:rPr>
          <w:rFonts w:ascii="Arial" w:cs="Arial" w:eastAsia="Arial" w:hAnsi="Arial"/>
          <w:sz w:val="13"/>
          <w:szCs w:val="13"/>
          <w:color w:val="auto"/>
        </w:rPr>
        <w:t>Net cash used in financing activities – discontinued operations</w:t>
      </w:r>
    </w:p>
    <w:p>
      <w:pPr>
        <w:spacing w:after="0" w:line="238" w:lineRule="exact"/>
        <w:rPr>
          <w:sz w:val="20"/>
          <w:szCs w:val="20"/>
          <w:color w:val="auto"/>
        </w:rPr>
      </w:pPr>
    </w:p>
    <w:p>
      <w:pPr>
        <w:ind w:left="32"/>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56" w:lineRule="exact"/>
        <w:rPr>
          <w:sz w:val="20"/>
          <w:szCs w:val="20"/>
          <w:color w:val="auto"/>
        </w:rPr>
      </w:pPr>
    </w:p>
    <w:p>
      <w:pPr>
        <w:ind w:left="332" w:hanging="161"/>
        <w:spacing w:after="0" w:line="230" w:lineRule="auto"/>
        <w:rPr>
          <w:sz w:val="20"/>
          <w:szCs w:val="20"/>
          <w:color w:val="auto"/>
        </w:rPr>
      </w:pPr>
      <w:r>
        <w:rPr>
          <w:rFonts w:ascii="Arial" w:cs="Arial" w:eastAsia="Arial" w:hAnsi="Arial"/>
          <w:sz w:val="13"/>
          <w:szCs w:val="13"/>
          <w:color w:val="auto"/>
        </w:rPr>
        <w:t>Effect of exchange rate changes on cash, cash equivalents and restricted cash</w:t>
      </w:r>
    </w:p>
    <w:p>
      <w:pPr>
        <w:spacing w:after="0" w:line="38" w:lineRule="exact"/>
        <w:rPr>
          <w:sz w:val="20"/>
          <w:szCs w:val="20"/>
          <w:color w:val="auto"/>
        </w:rPr>
      </w:pPr>
    </w:p>
    <w:p>
      <w:pPr>
        <w:ind w:left="172"/>
        <w:spacing w:after="0"/>
        <w:rPr>
          <w:sz w:val="20"/>
          <w:szCs w:val="20"/>
          <w:color w:val="auto"/>
        </w:rPr>
      </w:pPr>
      <w:r>
        <w:rPr>
          <w:rFonts w:ascii="Arial" w:cs="Arial" w:eastAsia="Arial" w:hAnsi="Arial"/>
          <w:sz w:val="13"/>
          <w:szCs w:val="13"/>
          <w:color w:val="auto"/>
        </w:rPr>
        <w:t>Net transactions with Automotive/GM Financial</w:t>
      </w:r>
    </w:p>
    <w:p>
      <w:pPr>
        <w:spacing w:after="0" w:line="121" w:lineRule="exact"/>
        <w:rPr>
          <w:sz w:val="20"/>
          <w:szCs w:val="20"/>
          <w:color w:val="auto"/>
        </w:rPr>
      </w:pPr>
    </w:p>
    <w:p>
      <w:pPr>
        <w:ind w:left="332" w:right="260" w:hanging="161"/>
        <w:spacing w:after="0" w:line="230" w:lineRule="auto"/>
        <w:rPr>
          <w:sz w:val="20"/>
          <w:szCs w:val="20"/>
          <w:color w:val="auto"/>
        </w:rPr>
      </w:pPr>
      <w:r>
        <w:rPr>
          <w:rFonts w:ascii="Arial" w:cs="Arial" w:eastAsia="Arial" w:hAnsi="Arial"/>
          <w:sz w:val="13"/>
          <w:szCs w:val="13"/>
          <w:color w:val="auto"/>
        </w:rPr>
        <w:t>Net increase (decrease) in cash, cash equivalents and restricted cash</w:t>
      </w:r>
    </w:p>
    <w:p>
      <w:pPr>
        <w:spacing w:after="0" w:line="38" w:lineRule="exact"/>
        <w:rPr>
          <w:sz w:val="20"/>
          <w:szCs w:val="20"/>
          <w:color w:val="auto"/>
        </w:rPr>
      </w:pPr>
    </w:p>
    <w:p>
      <w:pPr>
        <w:ind w:left="192" w:right="160" w:hanging="161"/>
        <w:spacing w:after="0" w:line="230" w:lineRule="auto"/>
        <w:rPr>
          <w:sz w:val="20"/>
          <w:szCs w:val="20"/>
          <w:color w:val="auto"/>
        </w:rPr>
      </w:pPr>
      <w:r>
        <w:rPr>
          <w:rFonts w:ascii="Arial" w:cs="Arial" w:eastAsia="Arial" w:hAnsi="Arial"/>
          <w:sz w:val="13"/>
          <w:szCs w:val="13"/>
          <w:color w:val="auto"/>
        </w:rPr>
        <w:t>Cash, cash equivalents and restricted cash at beginning of period</w:t>
      </w:r>
    </w:p>
    <w:p>
      <w:pPr>
        <w:spacing w:after="0" w:line="22" w:lineRule="exact"/>
        <w:rPr>
          <w:sz w:val="20"/>
          <w:szCs w:val="20"/>
          <w:color w:val="auto"/>
        </w:rPr>
      </w:pPr>
    </w:p>
    <w:p>
      <w:pPr>
        <w:ind w:left="192" w:right="280" w:hanging="161"/>
        <w:spacing w:after="0" w:line="246" w:lineRule="auto"/>
        <w:rPr>
          <w:sz w:val="20"/>
          <w:szCs w:val="20"/>
          <w:color w:val="auto"/>
        </w:rPr>
      </w:pPr>
      <w:r>
        <w:rPr>
          <w:rFonts w:ascii="Arial" w:cs="Arial" w:eastAsia="Arial" w:hAnsi="Arial"/>
          <w:sz w:val="13"/>
          <w:szCs w:val="13"/>
          <w:b w:val="1"/>
          <w:bCs w:val="1"/>
          <w:color w:val="auto"/>
        </w:rPr>
        <w:t>Cash, cash equivalents and restricted cash at end of period</w:t>
      </w:r>
    </w:p>
    <w:p>
      <w:pPr>
        <w:spacing w:after="0" w:line="34" w:lineRule="exact"/>
        <w:rPr>
          <w:sz w:val="20"/>
          <w:szCs w:val="20"/>
          <w:color w:val="auto"/>
        </w:rPr>
      </w:pPr>
    </w:p>
    <w:p>
      <w:pPr>
        <w:ind w:left="192" w:right="300" w:hanging="161"/>
        <w:spacing w:after="0" w:line="230" w:lineRule="auto"/>
        <w:rPr>
          <w:sz w:val="20"/>
          <w:szCs w:val="20"/>
          <w:color w:val="auto"/>
        </w:rPr>
      </w:pPr>
      <w:r>
        <w:rPr>
          <w:rFonts w:ascii="Arial" w:cs="Arial" w:eastAsia="Arial" w:hAnsi="Arial"/>
          <w:sz w:val="13"/>
          <w:szCs w:val="13"/>
          <w:color w:val="auto"/>
        </w:rPr>
        <w:t>Cash, cash equivalents and restricted cash – continuing operations at end of period</w:t>
      </w:r>
    </w:p>
    <w:p>
      <w:pPr>
        <w:spacing w:after="0" w:line="38" w:lineRule="exact"/>
        <w:rPr>
          <w:sz w:val="20"/>
          <w:szCs w:val="20"/>
          <w:color w:val="auto"/>
        </w:rPr>
      </w:pPr>
    </w:p>
    <w:p>
      <w:pPr>
        <w:ind w:left="192" w:right="180" w:hanging="161"/>
        <w:spacing w:after="0" w:line="230" w:lineRule="auto"/>
        <w:rPr>
          <w:sz w:val="20"/>
          <w:szCs w:val="20"/>
          <w:color w:val="auto"/>
        </w:rPr>
      </w:pPr>
      <w:r>
        <w:rPr>
          <w:rFonts w:ascii="Arial" w:cs="Arial" w:eastAsia="Arial" w:hAnsi="Arial"/>
          <w:sz w:val="13"/>
          <w:szCs w:val="13"/>
          <w:color w:val="auto"/>
        </w:rPr>
        <w:t>Cash, cash equivalents and restricted cash – discontinued operations at end of period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260" w:hanging="766"/>
        <w:spacing w:after="0"/>
        <w:tabs>
          <w:tab w:leader="none" w:pos="1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23</w:t>
      </w:r>
    </w:p>
    <w:p>
      <w:pPr>
        <w:spacing w:after="0" w:line="174"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3"/>
          <w:szCs w:val="13"/>
          <w:color w:val="auto"/>
        </w:rPr>
        <w:t>1,871</w:t>
      </w:r>
      <w:r>
        <w:rPr>
          <w:rFonts w:ascii="Arial" w:cs="Arial" w:eastAsia="Arial" w:hAnsi="Arial"/>
          <w:sz w:val="12"/>
          <w:szCs w:val="12"/>
          <w:color w:val="auto"/>
        </w:rPr>
        <w:t>9,463</w:t>
      </w:r>
    </w:p>
    <w:p>
      <w:pPr>
        <w:spacing w:after="0" w:line="175" w:lineRule="exact"/>
        <w:rPr>
          <w:sz w:val="20"/>
          <w:szCs w:val="20"/>
          <w:color w:val="auto"/>
        </w:rPr>
      </w:pPr>
    </w:p>
    <w:p>
      <w:pPr>
        <w:ind w:left="1040" w:hanging="658"/>
        <w:spacing w:after="0"/>
        <w:tabs>
          <w:tab w:leader="none" w:pos="10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(6,652)</w:t>
      </w:r>
    </w:p>
    <w:p>
      <w:pPr>
        <w:spacing w:after="0" w:line="121" w:lineRule="exact"/>
        <w:rPr>
          <w:sz w:val="20"/>
          <w:szCs w:val="20"/>
          <w:color w:val="auto"/>
        </w:rPr>
      </w:pPr>
    </w:p>
    <w:p>
      <w:pPr>
        <w:ind w:left="1280" w:hanging="898"/>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t>
      </w:r>
    </w:p>
    <w:p>
      <w:pPr>
        <w:spacing w:after="0" w:line="121" w:lineRule="exact"/>
        <w:rPr>
          <w:sz w:val="20"/>
          <w:szCs w:val="20"/>
          <w:color w:val="auto"/>
        </w:rPr>
      </w:pPr>
    </w:p>
    <w:p>
      <w:pPr>
        <w:ind w:left="1220" w:hanging="838"/>
        <w:spacing w:after="0"/>
        <w:tabs>
          <w:tab w:leader="none" w:pos="1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(30)</w:t>
      </w:r>
    </w:p>
    <w:p>
      <w:pPr>
        <w:spacing w:after="0" w:line="121" w:lineRule="exact"/>
        <w:rPr>
          <w:sz w:val="20"/>
          <w:szCs w:val="20"/>
          <w:color w:val="auto"/>
        </w:rPr>
      </w:pPr>
    </w:p>
    <w:p>
      <w:pPr>
        <w:ind w:left="1220" w:hanging="838"/>
        <w:spacing w:after="0"/>
        <w:tabs>
          <w:tab w:leader="none" w:pos="12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(40)</w:t>
      </w:r>
    </w:p>
    <w:p>
      <w:pPr>
        <w:spacing w:after="0" w:line="175"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2,764</w:t>
      </w:r>
    </w:p>
    <w:p>
      <w:pPr>
        <w:spacing w:after="0" w:line="310"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121"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2,764</w:t>
      </w:r>
    </w:p>
    <w:p>
      <w:pPr>
        <w:spacing w:after="0" w:line="175" w:lineRule="exact"/>
        <w:rPr>
          <w:sz w:val="20"/>
          <w:szCs w:val="20"/>
          <w:color w:val="auto"/>
        </w:rPr>
      </w:pPr>
    </w:p>
    <w:p>
      <w:pPr>
        <w:ind w:left="1340" w:hanging="846"/>
        <w:spacing w:after="0"/>
        <w:tabs>
          <w:tab w:leader="none" w:pos="1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8</w:t>
      </w:r>
    </w:p>
    <w:p>
      <w:pPr>
        <w:spacing w:after="0" w:line="120" w:lineRule="exact"/>
        <w:rPr>
          <w:rFonts w:ascii="Arial" w:cs="Arial" w:eastAsia="Arial" w:hAnsi="Arial"/>
          <w:sz w:val="13"/>
          <w:szCs w:val="13"/>
          <w:color w:val="auto"/>
        </w:rPr>
      </w:pPr>
    </w:p>
    <w:p>
      <w:pPr>
        <w:ind w:left="50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12065</wp:posOffset>
            </wp:positionV>
            <wp:extent cx="977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55" w:lineRule="exact"/>
        <w:rPr>
          <w:sz w:val="20"/>
          <w:szCs w:val="20"/>
          <w:color w:val="auto"/>
        </w:rPr>
      </w:pPr>
    </w:p>
    <w:p>
      <w:pPr>
        <w:ind w:left="280"/>
        <w:spacing w:after="0"/>
        <w:tabs>
          <w:tab w:leader="none" w:pos="1180" w:val="left"/>
        </w:tabs>
        <w:rPr>
          <w:sz w:val="20"/>
          <w:szCs w:val="20"/>
          <w:color w:val="auto"/>
        </w:rPr>
      </w:pPr>
      <w:r>
        <w:rPr>
          <w:rFonts w:ascii="Arial" w:cs="Arial" w:eastAsia="Arial" w:hAnsi="Arial"/>
          <w:sz w:val="13"/>
          <w:szCs w:val="13"/>
          <w:color w:val="auto"/>
        </w:rPr>
        <w:t>(1,140)</w:t>
      </w:r>
      <w:r>
        <w:rPr>
          <w:sz w:val="20"/>
          <w:szCs w:val="20"/>
          <w:color w:val="auto"/>
        </w:rPr>
        <w:tab/>
      </w:r>
      <w:r>
        <w:rPr>
          <w:rFonts w:ascii="Arial" w:cs="Arial" w:eastAsia="Arial" w:hAnsi="Arial"/>
          <w:sz w:val="13"/>
          <w:szCs w:val="13"/>
          <w:color w:val="auto"/>
        </w:rPr>
        <w:t>839</w:t>
      </w:r>
    </w:p>
    <w:p>
      <w:pPr>
        <w:spacing w:after="0" w:line="175" w:lineRule="exact"/>
        <w:rPr>
          <w:sz w:val="20"/>
          <w:szCs w:val="20"/>
          <w:color w:val="auto"/>
        </w:rPr>
      </w:pPr>
    </w:p>
    <w:p>
      <w:pPr>
        <w:ind w:left="240"/>
        <w:spacing w:after="0"/>
        <w:tabs>
          <w:tab w:leader="none" w:pos="1060" w:val="left"/>
        </w:tabs>
        <w:rPr>
          <w:sz w:val="20"/>
          <w:szCs w:val="20"/>
          <w:color w:val="auto"/>
        </w:rPr>
      </w:pPr>
      <w:r>
        <w:rPr>
          <w:rFonts w:ascii="Arial" w:cs="Arial" w:eastAsia="Arial" w:hAnsi="Arial"/>
          <w:sz w:val="13"/>
          <w:szCs w:val="13"/>
          <w:color w:val="auto"/>
        </w:rPr>
        <w:t>11,281</w:t>
      </w:r>
      <w:r>
        <w:rPr>
          <w:sz w:val="20"/>
          <w:szCs w:val="20"/>
          <w:color w:val="auto"/>
        </w:rPr>
        <w:tab/>
      </w:r>
      <w:r>
        <w:rPr>
          <w:rFonts w:ascii="Arial" w:cs="Arial" w:eastAsia="Arial" w:hAnsi="Arial"/>
          <w:sz w:val="13"/>
          <w:szCs w:val="13"/>
          <w:color w:val="auto"/>
        </w:rPr>
        <w:t>6,567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12065</wp:posOffset>
            </wp:positionV>
            <wp:extent cx="9779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41" w:lineRule="exact"/>
        <w:rPr>
          <w:sz w:val="20"/>
          <w:szCs w:val="20"/>
          <w:color w:val="auto"/>
        </w:rPr>
      </w:pPr>
    </w:p>
    <w:p>
      <w:pPr>
        <w:spacing w:after="0"/>
        <w:tabs>
          <w:tab w:leader="none" w:pos="220" w:val="left"/>
          <w:tab w:leader="none" w:pos="860" w:val="left"/>
          <w:tab w:leader="none" w:pos="1060" w:val="left"/>
          <w:tab w:leader="none" w:pos="1620" w:val="left"/>
        </w:tabs>
        <w:rPr>
          <w:sz w:val="20"/>
          <w:szCs w:val="20"/>
          <w:color w:val="auto"/>
        </w:rPr>
      </w:pPr>
      <w:r>
        <w:rPr>
          <w:rFonts w:ascii="Arial" w:cs="Arial" w:eastAsia="Arial" w:hAnsi="Arial"/>
          <w:sz w:val="13"/>
          <w:szCs w:val="13"/>
          <w:color w:val="auto"/>
        </w:rPr>
        <w:t>$</w:t>
        <w:tab/>
        <w:t>10,141</w:t>
      </w:r>
      <w:r>
        <w:rPr>
          <w:sz w:val="20"/>
          <w:szCs w:val="20"/>
          <w:color w:val="auto"/>
        </w:rPr>
        <w:tab/>
      </w:r>
      <w:r>
        <w:rPr>
          <w:rFonts w:ascii="Arial" w:cs="Arial" w:eastAsia="Arial" w:hAnsi="Arial"/>
          <w:sz w:val="13"/>
          <w:szCs w:val="13"/>
          <w:color w:val="auto"/>
        </w:rPr>
        <w:t>$</w:t>
        <w:tab/>
        <w:t>7,406</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12065</wp:posOffset>
            </wp:positionV>
            <wp:extent cx="9779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68" w:lineRule="exact"/>
        <w:rPr>
          <w:sz w:val="20"/>
          <w:szCs w:val="20"/>
          <w:color w:val="auto"/>
        </w:rPr>
      </w:pPr>
    </w:p>
    <w:p>
      <w:pPr>
        <w:spacing w:after="0"/>
        <w:tabs>
          <w:tab w:leader="none" w:pos="220" w:val="left"/>
          <w:tab w:leader="none" w:pos="860" w:val="left"/>
          <w:tab w:leader="none" w:pos="1060" w:val="left"/>
          <w:tab w:leader="none" w:pos="1620" w:val="left"/>
        </w:tabs>
        <w:rPr>
          <w:sz w:val="20"/>
          <w:szCs w:val="20"/>
          <w:color w:val="auto"/>
        </w:rPr>
      </w:pPr>
      <w:r>
        <w:rPr>
          <w:rFonts w:ascii="Arial" w:cs="Arial" w:eastAsia="Arial" w:hAnsi="Arial"/>
          <w:sz w:val="13"/>
          <w:szCs w:val="13"/>
          <w:color w:val="auto"/>
        </w:rPr>
        <w:t>$</w:t>
        <w:tab/>
        <w:t>10,141</w:t>
      </w:r>
      <w:r>
        <w:rPr>
          <w:sz w:val="20"/>
          <w:szCs w:val="20"/>
          <w:color w:val="auto"/>
        </w:rPr>
        <w:tab/>
      </w:r>
      <w:r>
        <w:rPr>
          <w:rFonts w:ascii="Arial" w:cs="Arial" w:eastAsia="Arial" w:hAnsi="Arial"/>
          <w:sz w:val="13"/>
          <w:szCs w:val="13"/>
          <w:color w:val="auto"/>
        </w:rPr>
        <w:t>$</w:t>
        <w:tab/>
        <w:t>7,406</w:t>
      </w:r>
      <w:r>
        <w:rPr>
          <w:sz w:val="20"/>
          <w:szCs w:val="20"/>
          <w:color w:val="auto"/>
        </w:rPr>
        <w:tab/>
      </w:r>
      <w:r>
        <w:rPr>
          <w:rFonts w:ascii="Arial" w:cs="Arial" w:eastAsia="Arial" w:hAnsi="Arial"/>
          <w:sz w:val="13"/>
          <w:szCs w:val="13"/>
          <w:color w:val="auto"/>
        </w:rPr>
        <w:t>$</w:t>
      </w:r>
    </w:p>
    <w:p>
      <w:pPr>
        <w:spacing w:after="0" w:line="175" w:lineRule="exact"/>
        <w:rPr>
          <w:sz w:val="20"/>
          <w:szCs w:val="20"/>
          <w:color w:val="auto"/>
        </w:rPr>
      </w:pPr>
    </w:p>
    <w:p>
      <w:pPr>
        <w:spacing w:after="0"/>
        <w:tabs>
          <w:tab w:leader="none" w:pos="480" w:val="left"/>
          <w:tab w:leader="none" w:pos="860" w:val="left"/>
          <w:tab w:leader="none" w:pos="1260" w:val="left"/>
          <w:tab w:leader="none" w:pos="16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(360)</w:t>
            </w:r>
          </w:p>
        </w:tc>
      </w:tr>
      <w:tr>
        <w:trPr>
          <w:trHeight w:val="324"/>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11,334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11,023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11,280</w:t>
            </w:r>
          </w:p>
        </w:tc>
      </w:tr>
      <w:tr>
        <w:trPr>
          <w:trHeight w:val="324"/>
        </w:trPr>
        <w:tc>
          <w:tcPr>
            <w:tcW w:w="440" w:type="dxa"/>
            <w:vAlign w:val="bottom"/>
          </w:tcPr>
          <w:p>
            <w:pPr>
              <w:jc w:val="right"/>
              <w:ind w:right="137"/>
              <w:spacing w:after="0"/>
              <w:rPr>
                <w:sz w:val="20"/>
                <w:szCs w:val="20"/>
                <w:color w:val="auto"/>
              </w:rPr>
            </w:pPr>
            <w:r>
              <w:rPr>
                <w:rFonts w:ascii="Arial" w:cs="Arial" w:eastAsia="Arial" w:hAnsi="Arial"/>
                <w:sz w:val="13"/>
                <w:szCs w:val="13"/>
                <w:color w:val="auto"/>
                <w:w w:val="94"/>
              </w:rPr>
              <w:t>(14)</w:t>
            </w:r>
          </w:p>
        </w:tc>
        <w:tc>
          <w:tcPr>
            <w:tcW w:w="2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(6,832)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(4,971)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(5,141)</w:t>
            </w:r>
          </w:p>
        </w:tc>
      </w:tr>
      <w:tr>
        <w:trPr>
          <w:trHeight w:val="27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(573)</w:t>
            </w:r>
          </w:p>
        </w:tc>
      </w:tr>
      <w:tr>
        <w:trPr>
          <w:trHeight w:val="28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295"/>
        </w:trPr>
        <w:tc>
          <w:tcPr>
            <w:tcW w:w="440" w:type="dxa"/>
            <w:vAlign w:val="bottom"/>
          </w:tcPr>
          <w:p>
            <w:pPr>
              <w:jc w:val="right"/>
              <w:ind w:right="137"/>
              <w:spacing w:after="0"/>
              <w:rPr>
                <w:sz w:val="20"/>
                <w:szCs w:val="20"/>
                <w:color w:val="auto"/>
              </w:rPr>
            </w:pPr>
            <w:r>
              <w:rPr>
                <w:rFonts w:ascii="Arial" w:cs="Arial" w:eastAsia="Arial" w:hAnsi="Arial"/>
                <w:sz w:val="13"/>
                <w:szCs w:val="13"/>
                <w:color w:val="auto"/>
              </w:rPr>
              <w:t>(9)</w:t>
            </w: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3,769</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5,665</w:t>
            </w: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5,062</w:t>
            </w:r>
          </w:p>
        </w:tc>
      </w:tr>
      <w:tr>
        <w:trPr>
          <w:trHeight w:val="469"/>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241"/>
        </w:trPr>
        <w:tc>
          <w:tcPr>
            <w:tcW w:w="440" w:type="dxa"/>
            <w:vAlign w:val="bottom"/>
          </w:tcPr>
          <w:p>
            <w:pPr>
              <w:jc w:val="right"/>
              <w:ind w:right="137"/>
              <w:spacing w:after="0"/>
              <w:rPr>
                <w:sz w:val="20"/>
                <w:szCs w:val="20"/>
                <w:color w:val="auto"/>
              </w:rPr>
            </w:pPr>
            <w:r>
              <w:rPr>
                <w:rFonts w:ascii="Arial" w:cs="Arial" w:eastAsia="Arial" w:hAnsi="Arial"/>
                <w:sz w:val="13"/>
                <w:szCs w:val="13"/>
                <w:color w:val="auto"/>
              </w:rPr>
              <w:t>(9)</w:t>
            </w: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3,769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5,655</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5,047</w:t>
            </w:r>
          </w:p>
        </w:tc>
      </w:tr>
      <w:tr>
        <w:trPr>
          <w:trHeight w:val="324"/>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103</w:t>
            </w:r>
          </w:p>
        </w:tc>
      </w:tr>
      <w:tr>
        <w:trPr>
          <w:trHeight w:val="280"/>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95"/>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386</w:t>
            </w:r>
          </w:p>
        </w:tc>
      </w:tr>
      <w:tr>
        <w:trPr>
          <w:trHeight w:val="334"/>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17,848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9,858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5,302</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15,160</w:t>
            </w:r>
          </w:p>
        </w:tc>
      </w:tr>
      <w:tr>
        <w:trPr>
          <w:trHeight w:val="291"/>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17,547</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10,219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5,327</w:t>
            </w:r>
          </w:p>
        </w:tc>
        <w:tc>
          <w:tcPr>
            <w:tcW w:w="120" w:type="dxa"/>
            <w:vAlign w:val="bottom"/>
          </w:tcPr>
          <w:p>
            <w:pPr>
              <w:spacing w:after="0"/>
              <w:rPr>
                <w:sz w:val="24"/>
                <w:szCs w:val="24"/>
                <w:color w:val="auto"/>
              </w:rPr>
            </w:pP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15,546</w:t>
            </w:r>
          </w:p>
        </w:tc>
      </w:tr>
      <w:tr>
        <w:trPr>
          <w:trHeight w:val="20"/>
        </w:trPr>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17,547</w:t>
            </w:r>
          </w:p>
        </w:tc>
        <w:tc>
          <w:tcPr>
            <w:tcW w:w="100" w:type="dxa"/>
            <w:vAlign w:val="bottom"/>
          </w:tcPr>
          <w:p>
            <w:pPr>
              <w:spacing w:after="0"/>
              <w:rPr>
                <w:sz w:val="23"/>
                <w:szCs w:val="2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10,218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4,737</w:t>
            </w:r>
          </w:p>
        </w:tc>
        <w:tc>
          <w:tcPr>
            <w:tcW w:w="120" w:type="dxa"/>
            <w:vAlign w:val="bottom"/>
          </w:tcPr>
          <w:p>
            <w:pPr>
              <w:spacing w:after="0"/>
              <w:rPr>
                <w:sz w:val="23"/>
                <w:szCs w:val="23"/>
                <w:color w:val="auto"/>
              </w:rPr>
            </w:pP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14,955</w:t>
            </w:r>
          </w:p>
        </w:tc>
      </w:tr>
      <w:tr>
        <w:trPr>
          <w:trHeight w:val="324"/>
        </w:trPr>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590</w:t>
            </w:r>
          </w:p>
        </w:tc>
        <w:tc>
          <w:tcPr>
            <w:tcW w:w="120" w:type="dxa"/>
            <w:vAlign w:val="bottom"/>
          </w:tcPr>
          <w:p>
            <w:pPr>
              <w:spacing w:after="0"/>
              <w:rPr>
                <w:sz w:val="24"/>
                <w:szCs w:val="24"/>
                <w:color w:val="auto"/>
              </w:rPr>
            </w:pP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-2785110</wp:posOffset>
            </wp:positionV>
            <wp:extent cx="724662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-2407285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-1189990</wp:posOffset>
            </wp:positionV>
            <wp:extent cx="7246620" cy="995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99504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-1567180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-2064385</wp:posOffset>
            </wp:positionV>
            <wp:extent cx="724662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3">
            <w:col w:w="3452" w:space="60"/>
            <w:col w:w="1860" w:space="720"/>
            <w:col w:w="5320"/>
          </w:cols>
          <w:pgMar w:left="248" w:top="337" w:right="239" w:bottom="1440" w:gutter="0" w:footer="0" w:header="0"/>
          <w:type w:val="continuous"/>
        </w:sectPr>
      </w:pPr>
    </w:p>
    <w:p>
      <w:pPr>
        <w:ind w:left="332" w:hanging="332"/>
        <w:spacing w:after="0" w:line="230" w:lineRule="auto"/>
        <w:tabs>
          <w:tab w:leader="none" w:pos="332"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Reclassifications of $13 million and $493 million in the three months ended March 31, 2018 and 2017 for purchases/collections of wholesale finance receivables resulting from vehicles sold by GM to dealers that have arranged their inventory floor plan financing through GM Financial.</w:t>
      </w:r>
    </w:p>
    <w:p>
      <w:pPr>
        <w:ind w:left="332" w:right="20" w:hanging="332"/>
        <w:spacing w:after="0" w:line="238" w:lineRule="auto"/>
        <w:tabs>
          <w:tab w:leader="none" w:pos="332" w:val="left"/>
        </w:tabs>
        <w:numPr>
          <w:ilvl w:val="0"/>
          <w:numId w:val="23"/>
        </w:numPr>
        <w:rPr>
          <w:rFonts w:ascii="Arial" w:cs="Arial" w:eastAsia="Arial" w:hAnsi="Arial"/>
          <w:sz w:val="11"/>
          <w:szCs w:val="11"/>
          <w:color w:val="auto"/>
        </w:rPr>
      </w:pPr>
      <w:r>
        <w:rPr>
          <w:rFonts w:ascii="Arial" w:cs="Arial" w:eastAsia="Arial" w:hAnsi="Arial"/>
          <w:sz w:val="11"/>
          <w:szCs w:val="11"/>
          <w:color w:val="auto"/>
        </w:rPr>
        <w:t>Eliminations include $161 million and $131 million in Purchase of finance receivables, net in the three months ended March 31, 2018 and 2017 and $129 million in Principal collections and recoveries on finance receivables in the three months ended March 31, 2018 related to the re-timing of cash receipts and payments between Automotive and GM Financial.</w:t>
      </w: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13</w:t>
      </w:r>
    </w:p>
    <w:sectPr>
      <w:pgSz w:w="11900" w:h="16838" w:orient="portrait"/>
      <w:cols w:equalWidth="0" w:num="1">
        <w:col w:w="11412"/>
      </w:cols>
      <w:pgMar w:left="248"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914"/>
    </w:lvl>
  </w:abstractNum>
  <w:abstractNum w:abstractNumId="13">
    <w:nsid w:val="3F2DBA31"/>
    <w:multiLevelType w:val="hybridMultilevel"/>
    <w:lvl w:ilvl="0">
      <w:lvlJc w:val="left"/>
      <w:lvlText w:val="\emdash "/>
      <w:numFmt w:val="bullet"/>
      <w:start w:val="1"/>
    </w:lvl>
  </w:abstractNum>
  <w:abstractNum w:abstractNumId="14">
    <w:nsid w:val="7C83E458"/>
    <w:multiLevelType w:val="hybridMultilevel"/>
    <w:lvl w:ilvl="0">
      <w:lvlJc w:val="left"/>
      <w:lvlText w:val="(%1)"/>
      <w:numFmt w:val="decimal"/>
      <w:start w:val="40"/>
    </w:lvl>
  </w:abstractNum>
  <w:abstractNum w:abstractNumId="15">
    <w:nsid w:val="257130A3"/>
    <w:multiLevelType w:val="hybridMultilevel"/>
    <w:lvl w:ilvl="0">
      <w:lvlJc w:val="left"/>
      <w:lvlText w:val="(%1)"/>
      <w:numFmt w:val="decimal"/>
      <w:start w:val="978"/>
    </w:lvl>
  </w:abstractNum>
  <w:abstractNum w:abstractNumId="16">
    <w:nsid w:val="62BBD95A"/>
    <w:multiLevelType w:val="hybridMultilevel"/>
    <w:lvl w:ilvl="0">
      <w:lvlJc w:val="left"/>
      <w:lvlText w:val="%1"/>
      <w:numFmt w:val="decimal"/>
      <w:start w:val="97"/>
    </w:lvl>
  </w:abstractNum>
  <w:abstractNum w:abstractNumId="17">
    <w:nsid w:val="436C6125"/>
    <w:multiLevelType w:val="hybridMultilevel"/>
    <w:lvl w:ilvl="0">
      <w:lvlJc w:val="left"/>
      <w:lvlText w:val="(%1)"/>
      <w:numFmt w:val="decimal"/>
      <w:start w:val="166"/>
    </w:lvl>
  </w:abstractNum>
  <w:abstractNum w:abstractNumId="18">
    <w:nsid w:val="628C895D"/>
    <w:multiLevelType w:val="hybridMultilevel"/>
    <w:lvl w:ilvl="0">
      <w:lvlJc w:val="left"/>
      <w:lvlText w:val="(%1)"/>
      <w:numFmt w:val="decimal"/>
      <w:start w:val="100"/>
    </w:lvl>
  </w:abstractNum>
  <w:abstractNum w:abstractNumId="19">
    <w:nsid w:val="333AB105"/>
    <w:multiLevelType w:val="hybridMultilevel"/>
    <w:lvl w:ilvl="0">
      <w:lvlJc w:val="left"/>
      <w:lvlText w:val="(%1)"/>
      <w:numFmt w:val="decimal"/>
      <w:start w:val="536"/>
    </w:lvl>
  </w:abstractNum>
  <w:abstractNum w:abstractNumId="20">
    <w:nsid w:val="721DA317"/>
    <w:multiLevelType w:val="hybridMultilevel"/>
    <w:lvl w:ilvl="0">
      <w:lvlJc w:val="left"/>
      <w:lvlText w:val="(%1)"/>
      <w:numFmt w:val="decimal"/>
      <w:start w:val="152"/>
    </w:lvl>
  </w:abstractNum>
  <w:abstractNum w:abstractNumId="21">
    <w:nsid w:val="2443A858"/>
    <w:multiLevelType w:val="hybridMultilevel"/>
    <w:lvl w:ilvl="0">
      <w:lvlJc w:val="left"/>
      <w:lvlText w:val="%1"/>
      <w:numFmt w:val="decimal"/>
      <w:start w:val="36"/>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2019-12-28T23:09:00Z</dcterms:created>
  <dcterms:modified xsi:type="dcterms:W3CDTF">2019-12-28T23:09:00Z</dcterms:modified>
</cp:coreProperties>
</file>