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October 30, 2013</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October 30, 2013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October 30, 2013 a news release was issued on the subject of 2013 third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Charts furnished to securities analysts in connection with GM's 2013 third quarter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1"/>
        </w:trPr>
        <w:tc>
          <w:tcPr>
            <w:tcW w:w="218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5720" w:type="dxa"/>
            <w:vAlign w:val="bottom"/>
            <w:gridSpan w:val="5"/>
          </w:tcPr>
          <w:p>
            <w:pPr>
              <w:ind w:left="1360"/>
              <w:spacing w:after="0"/>
              <w:rPr>
                <w:sz w:val="20"/>
                <w:szCs w:val="20"/>
                <w:color w:val="auto"/>
              </w:rPr>
            </w:pPr>
            <w:r>
              <w:rPr>
                <w:rFonts w:ascii="Arial" w:cs="Arial" w:eastAsia="Arial" w:hAnsi="Arial"/>
                <w:sz w:val="16"/>
                <w:szCs w:val="16"/>
                <w:color w:val="auto"/>
                <w:w w:val="93"/>
              </w:rPr>
              <w:t>News Release Dated October 30, 2013 and Financial Statements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218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5720" w:type="dxa"/>
            <w:vAlign w:val="bottom"/>
            <w:gridSpan w:val="5"/>
          </w:tcPr>
          <w:p>
            <w:pPr>
              <w:ind w:left="1360"/>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340"/>
          </w:cols>
          <w:pgMar w:left="240" w:top="726" w:right="31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THOMAS S. TIMKO</w:t>
            </w:r>
          </w:p>
        </w:tc>
        <w:tc>
          <w:tcPr>
            <w:tcW w:w="0" w:type="dxa"/>
            <w:vAlign w:val="bottom"/>
          </w:tcPr>
          <w:p>
            <w:pPr>
              <w:spacing w:after="0"/>
              <w:rPr>
                <w:sz w:val="1"/>
                <w:szCs w:val="1"/>
                <w:color w:val="auto"/>
              </w:rPr>
            </w:pPr>
          </w:p>
        </w:tc>
      </w:tr>
      <w:tr>
        <w:trPr>
          <w:trHeight w:val="24"/>
        </w:trPr>
        <w:tc>
          <w:tcPr>
            <w:tcW w:w="3140" w:type="dxa"/>
            <w:vAlign w:val="bottom"/>
            <w:vMerge w:val="restart"/>
          </w:tcPr>
          <w:p>
            <w:pPr>
              <w:spacing w:after="0"/>
              <w:rPr>
                <w:sz w:val="20"/>
                <w:szCs w:val="20"/>
                <w:color w:val="auto"/>
              </w:rPr>
            </w:pPr>
            <w:r>
              <w:rPr>
                <w:rFonts w:ascii="Arial" w:cs="Arial" w:eastAsia="Arial" w:hAnsi="Arial"/>
                <w:sz w:val="16"/>
                <w:szCs w:val="16"/>
                <w:color w:val="auto"/>
              </w:rPr>
              <w:t>Date: October 30, 2013</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533" w:right="619" w:bottom="1440" w:gutter="0" w:footer="0" w:header="0"/>
        </w:sectPr>
      </w:pPr>
    </w:p>
    <w:bookmarkStart w:id="4" w:name="page5"/>
    <w:bookmarkEnd w:id="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349250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3"/>
          <w:szCs w:val="23"/>
          <w:b w:val="1"/>
          <w:bCs w:val="1"/>
          <w:color w:val="auto"/>
        </w:rPr>
        <w:t>Exhibit 99.1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Release: Wednesday Oct. 30, 2013 7:30 a.m. EDT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GM Reports Third Quarter Net Income of $0.7 Billion</w:t>
      </w:r>
    </w:p>
    <w:p>
      <w:pPr>
        <w:spacing w:after="0" w:line="226"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EPS of $0.45 includes net loss from special items of $0.51 per share</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EBIT-adjusted of $2.6 billion, up from $2.3 billion in the third quarter of 2012</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third quarter net income to common stockholders of $0.7 billion or $0.45 per fully</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down from $1.5 billion or $0.89 per fully diluted share a year ago. Improvement in operating performance during the quarter was more than offset by a net loss from special items and incremental tax expense.</w:t>
      </w:r>
    </w:p>
    <w:p>
      <w:pPr>
        <w:spacing w:after="0" w:line="17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Net income to common includes a net loss from special items of $0.9 billion or $ 0.51 per fully diluted share, including $0.8 billion related to the repurchase of 120 million shares of Preferred Series A Stock. Results were also impacted by incremental tax expense of $0.5 billion or $0.29 per fully diluted share in the quarter compared to the third quarter of 2012.</w:t>
      </w:r>
    </w:p>
    <w:p>
      <w:pPr>
        <w:spacing w:after="0" w:line="187"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Net revenue during the quarter was $39.0 billion compared to $37.6 billion in the third quarter of 2012. Earnings before interest and tax (EBIT) adjusted was $2.6 billion compared to $2.3 billion in the third quarter of 2012.</w:t>
      </w:r>
    </w:p>
    <w:p>
      <w:pPr>
        <w:spacing w:after="0" w:line="18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made gains in the third quarter as we improved our North American margins and increased our global share on the strength of our Chevrolet brand," said Dan Akerson, GM chairman and CEO. “Our efforts to build great cars and trucks and deliver solid financial results were recognized this quarter by Moody’s investment grade rating.”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2"/>
                <w:szCs w:val="12"/>
                <w:color w:val="auto"/>
              </w:rPr>
              <w:t>(in billions except for per share amounts)</w:t>
            </w:r>
          </w:p>
        </w:tc>
        <w:tc>
          <w:tcPr>
            <w:tcW w:w="2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6"/>
        </w:trPr>
        <w:tc>
          <w:tcPr>
            <w:tcW w:w="5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Q3 2013</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Q3 2012</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Revenue</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 (EPS) fully diluted</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0.45</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Impact of special items on EPS fully diluted</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(0.51)</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929"/>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EBIT-adjusted</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929"/>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w w:val="99"/>
              </w:rPr>
              <w:t>Automotive net cash flow from operating activities</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Adjusted automotive free cash flow</w:t>
            </w:r>
          </w:p>
        </w:tc>
        <w:tc>
          <w:tcPr>
            <w:tcW w:w="23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013"/>
        </w:trPr>
        <w:tc>
          <w:tcPr>
            <w:tcW w:w="5320" w:type="dxa"/>
            <w:vAlign w:val="bottom"/>
          </w:tcPr>
          <w:p>
            <w:pPr>
              <w:spacing w:after="0"/>
              <w:rPr>
                <w:sz w:val="24"/>
                <w:szCs w:val="24"/>
                <w:color w:val="auto"/>
              </w:rPr>
            </w:pPr>
          </w:p>
        </w:tc>
        <w:tc>
          <w:tcPr>
            <w:tcW w:w="2360" w:type="dxa"/>
            <w:vAlign w:val="bottom"/>
          </w:tcPr>
          <w:p>
            <w:pPr>
              <w:jc w:val="right"/>
              <w:ind w:right="1840"/>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40"/>
          </w:cols>
          <w:pgMar w:left="240" w:top="1440"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Segment Results</w:t>
      </w:r>
    </w:p>
    <w:p>
      <w:pPr>
        <w:spacing w:after="0" w:line="211" w:lineRule="exact"/>
        <w:rPr>
          <w:sz w:val="20"/>
          <w:szCs w:val="20"/>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North America reported EBIT-adjusted of $2.2 billion compared with $1.7 billion in the third quarter of 2012.</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Europe reported EBIT-adjusted of $(0.2) billion compared with $(0.5) billion in the third quarter of 2012.</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International Operations reported EBIT-adjusted of $0.3 billion compared with $0.8 billion in the third quarter of 2012.</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 reported EBIT-adjusted of $0.3 billion compared with EBIT-adjusted of $0.2 billion in the third quarter of 2012.</w:t>
      </w: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earnings before tax was $0.2 billion for the quarter compared to $0.2 billion in the third quarter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20"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For the quarter automotive cash flow from operating activities was $3.3 billion and adjusted automotive free cash flow was $1.3 billion. GM ended the quarter with very strong total automotive liquidity of $37.3 billion. Automotive cash and marketable securities was $26.8 billion compared with $24.2 billion for the second quarter of 2013.</w:t>
      </w:r>
    </w:p>
    <w:p>
      <w:pPr>
        <w:spacing w:after="0" w:line="18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“During the quarter strong demand for new vehicles like the Cadillac ATS, Chevrolet Onix and the all-new Chevrolet Silverado helped boost our top-line,” said Dan Ammann, GM executive vice president and CFO. “We also further strengthened our fortress balance sheet and reduced our cost of capital through our $4.5 billion refinancing of high cost obligations.”</w:t>
      </w:r>
    </w:p>
    <w:p>
      <w:pPr>
        <w:spacing w:after="0" w:line="36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(NYSE:GM, TSX: GMM) and its partners produce vehicles in 30 countries, and the company has leadership positions in the world's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120" w:type="dxa"/>
            <w:vAlign w:val="bottom"/>
            <w:gridSpan w:val="2"/>
          </w:tcPr>
          <w:p>
            <w:pPr>
              <w:jc w:val="right"/>
              <w:ind w:right="1480"/>
              <w:spacing w:after="0"/>
              <w:rPr>
                <w:sz w:val="20"/>
                <w:szCs w:val="20"/>
                <w:color w:val="auto"/>
              </w:rPr>
            </w:pPr>
            <w:r>
              <w:rPr>
                <w:rFonts w:ascii="Arial" w:cs="Arial" w:eastAsia="Arial" w:hAnsi="Arial"/>
                <w:sz w:val="18"/>
                <w:szCs w:val="18"/>
                <w:color w:val="auto"/>
              </w:rPr>
              <w:t># # #</w:t>
            </w:r>
          </w:p>
        </w:tc>
      </w:tr>
      <w:tr>
        <w:trPr>
          <w:trHeight w:val="382"/>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CONTACTS:</w:t>
            </w:r>
          </w:p>
        </w:tc>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5"/>
        </w:trPr>
        <w:tc>
          <w:tcPr>
            <w:tcW w:w="4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Tom Henderson</w:t>
            </w:r>
          </w:p>
        </w:tc>
        <w:tc>
          <w:tcPr>
            <w:tcW w:w="34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Randy Arickx</w:t>
            </w:r>
          </w:p>
        </w:tc>
      </w:tr>
      <w:tr>
        <w:trPr>
          <w:trHeight w:val="181"/>
        </w:trPr>
        <w:tc>
          <w:tcPr>
            <w:tcW w:w="2340" w:type="dxa"/>
            <w:vAlign w:val="bottom"/>
            <w:gridSpan w:val="2"/>
          </w:tcPr>
          <w:p>
            <w:pPr>
              <w:ind w:left="400"/>
              <w:spacing w:after="0" w:line="181" w:lineRule="exact"/>
              <w:rPr>
                <w:sz w:val="20"/>
                <w:szCs w:val="20"/>
                <w:color w:val="auto"/>
              </w:rPr>
            </w:pPr>
            <w:r>
              <w:rPr>
                <w:rFonts w:ascii="Arial" w:cs="Arial" w:eastAsia="Arial" w:hAnsi="Arial"/>
                <w:sz w:val="16"/>
                <w:szCs w:val="16"/>
                <w:color w:val="auto"/>
              </w:rPr>
              <w:t>313-410-2704</w:t>
            </w:r>
          </w:p>
        </w:tc>
        <w:tc>
          <w:tcPr>
            <w:tcW w:w="5120" w:type="dxa"/>
            <w:vAlign w:val="bottom"/>
            <w:gridSpan w:val="2"/>
          </w:tcPr>
          <w:p>
            <w:pPr>
              <w:ind w:left="3400"/>
              <w:spacing w:after="0" w:line="181" w:lineRule="exact"/>
              <w:rPr>
                <w:sz w:val="20"/>
                <w:szCs w:val="20"/>
                <w:color w:val="auto"/>
              </w:rPr>
            </w:pPr>
            <w:r>
              <w:rPr>
                <w:rFonts w:ascii="Arial" w:cs="Arial" w:eastAsia="Arial" w:hAnsi="Arial"/>
                <w:sz w:val="16"/>
                <w:szCs w:val="16"/>
                <w:color w:val="auto"/>
              </w:rPr>
              <w:t>313-268-7070</w:t>
            </w:r>
          </w:p>
        </w:tc>
      </w:tr>
      <w:tr>
        <w:trPr>
          <w:trHeight w:val="158"/>
        </w:trPr>
        <w:tc>
          <w:tcPr>
            <w:tcW w:w="400" w:type="dxa"/>
            <w:vAlign w:val="bottom"/>
          </w:tcPr>
          <w:p>
            <w:pPr>
              <w:spacing w:after="0"/>
              <w:rPr>
                <w:sz w:val="13"/>
                <w:szCs w:val="13"/>
                <w:color w:val="auto"/>
              </w:rPr>
            </w:pPr>
          </w:p>
        </w:tc>
        <w:tc>
          <w:tcPr>
            <w:tcW w:w="1940" w:type="dxa"/>
            <w:vAlign w:val="bottom"/>
            <w:tcBorders>
              <w:bottom w:val="single" w:sz="8" w:color="0000FF"/>
            </w:tcBorders>
          </w:tcPr>
          <w:p>
            <w:pPr>
              <w:spacing w:after="0" w:line="158" w:lineRule="exact"/>
              <w:rPr>
                <w:sz w:val="20"/>
                <w:szCs w:val="20"/>
                <w:color w:val="auto"/>
              </w:rPr>
            </w:pPr>
            <w:r>
              <w:rPr>
                <w:rFonts w:ascii="Arial" w:cs="Arial" w:eastAsia="Arial" w:hAnsi="Arial"/>
                <w:sz w:val="16"/>
                <w:szCs w:val="16"/>
                <w:color w:val="0000FF"/>
                <w:w w:val="99"/>
              </w:rPr>
              <w:t>tom.e.henderson@gm.com</w:t>
            </w:r>
          </w:p>
        </w:tc>
        <w:tc>
          <w:tcPr>
            <w:tcW w:w="3400" w:type="dxa"/>
            <w:vAlign w:val="bottom"/>
          </w:tcPr>
          <w:p>
            <w:pPr>
              <w:spacing w:after="0"/>
              <w:rPr>
                <w:sz w:val="13"/>
                <w:szCs w:val="13"/>
                <w:color w:val="auto"/>
              </w:rPr>
            </w:pPr>
          </w:p>
        </w:tc>
        <w:tc>
          <w:tcPr>
            <w:tcW w:w="1720" w:type="dxa"/>
            <w:vAlign w:val="bottom"/>
            <w:tcBorders>
              <w:bottom w:val="single" w:sz="8" w:color="0000FF"/>
            </w:tcBorders>
          </w:tcPr>
          <w:p>
            <w:pPr>
              <w:spacing w:after="0" w:line="158" w:lineRule="exact"/>
              <w:rPr>
                <w:sz w:val="20"/>
                <w:szCs w:val="20"/>
                <w:color w:val="auto"/>
              </w:rPr>
            </w:pPr>
            <w:r>
              <w:rPr>
                <w:rFonts w:ascii="Arial" w:cs="Arial" w:eastAsia="Arial" w:hAnsi="Arial"/>
                <w:sz w:val="16"/>
                <w:szCs w:val="16"/>
                <w:color w:val="0000FF"/>
                <w:w w:val="98"/>
              </w:rPr>
              <w:t>randy.c.arickx@gm.com</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and quarterly reports on Form 10-Q provide information about these and other factors, which we may revise or supplement in future reports to the SEC.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24" w:right="239" w:bottom="1440" w:gutter="0" w:footer="0" w:header="0"/>
        </w:sectPr>
      </w:pPr>
    </w:p>
    <w:bookmarkStart w:id="6" w:name="page7"/>
    <w:bookmarkEnd w:id="6"/>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ind w:left="4" w:right="80"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Adjusted automotive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36"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ind w:left="4" w:right="280"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3"/>
                <w:szCs w:val="13"/>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2013</w:t>
            </w: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September 30, 2012</w:t>
            </w: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2013</w:t>
            </w:r>
          </w:p>
        </w:tc>
        <w:tc>
          <w:tcPr>
            <w:tcW w:w="126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w w:val="93"/>
              </w:rPr>
              <w:t>September 30, 2012</w:t>
            </w:r>
          </w:p>
        </w:tc>
        <w:tc>
          <w:tcPr>
            <w:tcW w:w="0" w:type="dxa"/>
            <w:vAlign w:val="bottom"/>
          </w:tcPr>
          <w:p>
            <w:pPr>
              <w:spacing w:after="0"/>
              <w:rPr>
                <w:sz w:val="1"/>
                <w:szCs w:val="1"/>
                <w:color w:val="auto"/>
              </w:rPr>
            </w:pPr>
          </w:p>
        </w:tc>
      </w:tr>
      <w:tr>
        <w:trPr>
          <w:trHeight w:val="211"/>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Operating segments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GMNA(a)(b)</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2,187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1,715</w:t>
            </w:r>
          </w:p>
        </w:tc>
        <w:tc>
          <w:tcPr>
            <w:tcW w:w="120" w:type="dxa"/>
            <w:vAlign w:val="bottom"/>
          </w:tcPr>
          <w:p>
            <w:pPr>
              <w:spacing w:after="0"/>
              <w:rPr>
                <w:sz w:val="20"/>
                <w:szCs w:val="20"/>
                <w:color w:val="auto"/>
              </w:rPr>
            </w:pP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20"/>
                <w:szCs w:val="20"/>
                <w:color w:val="auto"/>
              </w:rPr>
            </w:pPr>
          </w:p>
        </w:tc>
        <w:tc>
          <w:tcPr>
            <w:tcW w:w="64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GME(a)(b)</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GMIO(a)(b)</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GMSA(a)(b)</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 Financial(c)</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160"/>
              <w:spacing w:after="0"/>
              <w:rPr>
                <w:sz w:val="20"/>
                <w:szCs w:val="20"/>
                <w:color w:val="auto"/>
              </w:rPr>
            </w:pPr>
            <w:r>
              <w:rPr>
                <w:rFonts w:ascii="Arial" w:cs="Arial" w:eastAsia="Arial" w:hAnsi="Arial"/>
                <w:sz w:val="14"/>
                <w:szCs w:val="14"/>
                <w:color w:val="auto"/>
              </w:rPr>
              <w:t>Total operating segments</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2,348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7,073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6,908</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4"/>
                <w:szCs w:val="14"/>
                <w:color w:val="auto"/>
              </w:rPr>
              <w:t>Corporate and eliminations(a)</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EBIT-adjusted</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2,637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2,296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6,679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6,597</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Special items</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Corporate interest income</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Gain (Loss) on extinguishment of debt</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stockholders</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1,717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1,833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4,306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4,994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Less: cumulative dividends on preferred stock and charge related to purchase of preferred stock</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Less: undistributed earnings allocated to Series B Preferred Stock participating security</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common stockholders(d)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1,476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2,857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3,967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84" w:right="60" w:hanging="284"/>
        <w:spacing w:after="0" w:line="253"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three months ended March 31, 2013 GM changed its managerial and reporting structure to report segment revenues and profits based on the geographic region in which a vehicle is sold. Previously, segment results included the impacts of intersegment sales and profits. Prior year operating segment results have been reclassified so all information is shown on a comparable basis. Consolidated results are unaffected by this change.</w:t>
      </w:r>
    </w:p>
    <w:p>
      <w:pPr>
        <w:spacing w:after="0" w:line="1" w:lineRule="exact"/>
        <w:rPr>
          <w:rFonts w:ascii="Arial" w:cs="Arial" w:eastAsia="Arial" w:hAnsi="Arial"/>
          <w:sz w:val="14"/>
          <w:szCs w:val="14"/>
          <w:color w:val="auto"/>
        </w:rPr>
      </w:pPr>
    </w:p>
    <w:p>
      <w:pPr>
        <w:ind w:left="284" w:right="240" w:hanging="284"/>
        <w:spacing w:after="0" w:line="251"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7" w:lineRule="exact"/>
        <w:rPr>
          <w:rFonts w:ascii="Arial" w:cs="Arial" w:eastAsia="Arial" w:hAnsi="Arial"/>
          <w:sz w:val="14"/>
          <w:szCs w:val="14"/>
          <w:color w:val="auto"/>
        </w:rPr>
      </w:pPr>
    </w:p>
    <w:p>
      <w:pPr>
        <w:ind w:left="284" w:right="260" w:hanging="284"/>
        <w:spacing w:after="0" w:line="259"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three and nine months ended September 30, 2012 GM was required to use the two-class method for calculating earnings per share as the applicable market value of its common stock was below $33.00 per common share. In the three and nine months ended September 30, 2013 GM was required to use the if-converted method for calculating earnings per share as the applicable market value of its common stock was within the price range of $33.00 to $39.60 per common share.</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summarizes the special items:</w:t>
      </w:r>
    </w:p>
    <w:p>
      <w:pPr>
        <w:spacing w:after="0" w:line="202" w:lineRule="exact"/>
        <w:rPr>
          <w:sz w:val="20"/>
          <w:szCs w:val="20"/>
          <w:color w:val="auto"/>
        </w:rPr>
      </w:pPr>
    </w:p>
    <w:p>
      <w:pPr>
        <w:ind w:right="20" w:firstLine="145"/>
        <w:spacing w:after="0" w:line="279" w:lineRule="auto"/>
        <w:rPr>
          <w:sz w:val="20"/>
          <w:szCs w:val="20"/>
          <w:color w:val="auto"/>
        </w:rPr>
      </w:pPr>
      <w:r>
        <w:rPr>
          <w:rFonts w:ascii="Arial" w:cs="Arial" w:eastAsia="Arial" w:hAnsi="Arial"/>
          <w:sz w:val="16"/>
          <w:szCs w:val="16"/>
          <w:color w:val="auto"/>
        </w:rPr>
        <w:t>In the three months ended September 30, 2013 special items consisted of Goodwill impairment charges of $48 million in GMIO, which is presented net of noncontrolling interests.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the nine months ended September 30, 2013 special items consisted of the following:</w:t>
      </w:r>
    </w:p>
    <w:p>
      <w:pPr>
        <w:spacing w:after="0" w:line="226" w:lineRule="exact"/>
        <w:rPr>
          <w:sz w:val="20"/>
          <w:szCs w:val="20"/>
          <w:color w:val="auto"/>
        </w:rPr>
      </w:pPr>
    </w:p>
    <w:p>
      <w:pPr>
        <w:ind w:left="640" w:hanging="499"/>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Venezuela currency devaluation of $162 million in GMSA;</w:t>
      </w:r>
    </w:p>
    <w:p>
      <w:pPr>
        <w:spacing w:after="0" w:line="45" w:lineRule="exact"/>
        <w:rPr>
          <w:rFonts w:ascii="Arial" w:cs="Arial" w:eastAsia="Arial" w:hAnsi="Arial"/>
          <w:sz w:val="16"/>
          <w:szCs w:val="16"/>
          <w:color w:val="auto"/>
        </w:rPr>
      </w:pPr>
    </w:p>
    <w:p>
      <w:pPr>
        <w:ind w:left="640" w:hanging="499"/>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acquisition of GM Korea preferred shares of $67 million in GMIO;</w:t>
      </w:r>
    </w:p>
    <w:p>
      <w:pPr>
        <w:spacing w:after="0" w:line="45" w:lineRule="exact"/>
        <w:rPr>
          <w:rFonts w:ascii="Arial" w:cs="Arial" w:eastAsia="Arial" w:hAnsi="Arial"/>
          <w:sz w:val="16"/>
          <w:szCs w:val="16"/>
          <w:color w:val="auto"/>
        </w:rPr>
      </w:pPr>
    </w:p>
    <w:p>
      <w:pPr>
        <w:ind w:left="640" w:hanging="499"/>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Goodwill impairment charges of $48 million in GMIO, which is presented net of noncontrolling interests; and</w:t>
      </w:r>
    </w:p>
    <w:p>
      <w:pPr>
        <w:spacing w:after="0" w:line="45" w:lineRule="exact"/>
        <w:rPr>
          <w:rFonts w:ascii="Arial" w:cs="Arial" w:eastAsia="Arial" w:hAnsi="Arial"/>
          <w:sz w:val="16"/>
          <w:szCs w:val="16"/>
          <w:color w:val="auto"/>
        </w:rPr>
      </w:pPr>
    </w:p>
    <w:p>
      <w:pPr>
        <w:ind w:left="640" w:hanging="499"/>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pension settlement charges and income related to various insurance recoveries, net of $29 million.</w:t>
      </w:r>
    </w:p>
    <w:p>
      <w:pPr>
        <w:spacing w:after="0" w:line="214" w:lineRule="exact"/>
        <w:rPr>
          <w:sz w:val="20"/>
          <w:szCs w:val="20"/>
          <w:color w:val="auto"/>
        </w:rPr>
      </w:pPr>
    </w:p>
    <w:p>
      <w:pPr>
        <w:ind w:right="380" w:firstLine="145"/>
        <w:spacing w:after="0" w:line="279" w:lineRule="auto"/>
        <w:rPr>
          <w:sz w:val="20"/>
          <w:szCs w:val="20"/>
          <w:color w:val="auto"/>
        </w:rPr>
      </w:pPr>
      <w:r>
        <w:rPr>
          <w:rFonts w:ascii="Arial" w:cs="Arial" w:eastAsia="Arial" w:hAnsi="Arial"/>
          <w:sz w:val="16"/>
          <w:szCs w:val="16"/>
          <w:color w:val="auto"/>
        </w:rPr>
        <w:t>In the three months ended September 30, 2012 special items consisted of Goodwill impairment charges of $62 million in GMIO, which is presented net of noncontrolling interests.</w:t>
      </w:r>
    </w:p>
    <w:p>
      <w:pPr>
        <w:spacing w:after="0" w:line="151" w:lineRule="exact"/>
        <w:rPr>
          <w:sz w:val="20"/>
          <w:szCs w:val="20"/>
          <w:color w:val="auto"/>
        </w:rPr>
      </w:pPr>
    </w:p>
    <w:p>
      <w:pPr>
        <w:ind w:right="120" w:firstLine="145"/>
        <w:spacing w:after="0" w:line="279" w:lineRule="auto"/>
        <w:rPr>
          <w:sz w:val="20"/>
          <w:szCs w:val="20"/>
          <w:color w:val="auto"/>
        </w:rPr>
      </w:pPr>
      <w:r>
        <w:rPr>
          <w:rFonts w:ascii="Arial" w:cs="Arial" w:eastAsia="Arial" w:hAnsi="Arial"/>
          <w:sz w:val="16"/>
          <w:szCs w:val="16"/>
          <w:color w:val="auto"/>
        </w:rPr>
        <w:t>In the nine months ended September 30, 2012 special items consisted of Goodwill impairment charges of $590 million in GME and $84 million in GMIO, which is presented net of noncontrolling interests.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the reconciliation of Adjusted automotive free cash flow to Automotive net cash provided by operating activities (dollars in millions):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Nine Months Ended</w:t>
            </w:r>
          </w:p>
        </w:tc>
        <w:tc>
          <w:tcPr>
            <w:tcW w:w="620" w:type="dxa"/>
            <w:vAlign w:val="bottom"/>
            <w:tcBorders>
              <w:bottom w:val="single" w:sz="8" w:color="auto"/>
            </w:tcBorders>
          </w:tcPr>
          <w:p>
            <w:pPr>
              <w:spacing w:after="0"/>
              <w:rPr>
                <w:sz w:val="14"/>
                <w:szCs w:val="14"/>
                <w:color w:val="auto"/>
              </w:rPr>
            </w:pPr>
          </w:p>
        </w:tc>
      </w:tr>
      <w:tr>
        <w:trPr>
          <w:trHeight w:val="233"/>
        </w:trPr>
        <w:tc>
          <w:tcPr>
            <w:tcW w:w="6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2013</w:t>
            </w:r>
          </w:p>
        </w:tc>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2013</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3"/>
              </w:rPr>
              <w:t>September 30, 2012</w:t>
            </w: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85"/>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4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45"/>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3,152</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Less: Adjustments for voluntary management actions</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4"/>
        </w:trPr>
        <w:tc>
          <w:tcPr>
            <w:tcW w:w="6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10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3,152</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Capital expenditures</w:t>
            </w:r>
          </w:p>
        </w:tc>
        <w:tc>
          <w:tcPr>
            <w:tcW w:w="100" w:type="dxa"/>
            <w:vAlign w:val="bottom"/>
          </w:tcPr>
          <w:p>
            <w:pPr>
              <w:spacing w:after="0"/>
              <w:rPr>
                <w:sz w:val="20"/>
                <w:szCs w:val="20"/>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5,770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5,993</w:t>
            </w:r>
          </w:p>
        </w:tc>
      </w:tr>
      <w:tr>
        <w:trPr>
          <w:trHeight w:val="24"/>
        </w:trPr>
        <w:tc>
          <w:tcPr>
            <w:tcW w:w="6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3,271</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85"/>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3,113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8,269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9,145</w:t>
            </w: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720" w:firstLine="145"/>
        <w:spacing w:after="0" w:line="279" w:lineRule="auto"/>
        <w:rPr>
          <w:sz w:val="20"/>
          <w:szCs w:val="20"/>
          <w:color w:val="auto"/>
        </w:rPr>
      </w:pPr>
      <w:r>
        <w:rPr>
          <w:rFonts w:ascii="Arial" w:cs="Arial" w:eastAsia="Arial" w:hAnsi="Arial"/>
          <w:sz w:val="16"/>
          <w:szCs w:val="16"/>
          <w:color w:val="auto"/>
        </w:rPr>
        <w:t>In the nine months ended September 30, 2013 adjustments for voluntary management actions included pension contributions of $71 million related to the previously announced annuitization of the U.S. salaried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702" w:right="219" w:bottom="1440" w:gutter="0" w:footer="0" w:header="0"/>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Three Months Ended September 30, 2013</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23,508</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4,858</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5,336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39</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38,122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867</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38,983</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998</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1,392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1,535</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433</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436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436</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Three Months Ended September 30,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22,347</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4,702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5,722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4,275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37,062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514</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37,576</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1,485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1,541</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418</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Nine Months Ended September 30, 2013</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69,982</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14,830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15,406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12,380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114</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112,712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2,243</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114,942</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4,197</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527</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612</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353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76</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5,770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5,780</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2,938</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320</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575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369</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47</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4,248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4,578</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1,409</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1,420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1,420</w:t>
            </w:r>
          </w:p>
        </w:tc>
      </w:tr>
      <w:tr>
        <w:trPr>
          <w:trHeight w:val="386"/>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Nine Months Ended September 30,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67,074</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15,489</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16,653</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12,259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111,516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1,432</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112,949</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3,497</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813</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883</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765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39</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5,993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6,004</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2,723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828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352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37</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4,380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4,529</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1,133</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1,141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60" w:top="726"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3"/>
                <w:szCs w:val="13"/>
                <w:b w:val="1"/>
                <w:bCs w:val="1"/>
                <w:color w:val="auto"/>
              </w:rPr>
              <w:t>September 30, 2013</w:t>
            </w:r>
          </w:p>
        </w:tc>
        <w:tc>
          <w:tcPr>
            <w:tcW w:w="1600" w:type="dxa"/>
            <w:vAlign w:val="bottom"/>
          </w:tcPr>
          <w:p>
            <w:pPr>
              <w:jc w:val="right"/>
              <w:ind w:right="201"/>
              <w:spacing w:after="0"/>
              <w:rPr>
                <w:sz w:val="20"/>
                <w:szCs w:val="20"/>
                <w:color w:val="auto"/>
              </w:rPr>
            </w:pPr>
            <w:r>
              <w:rPr>
                <w:rFonts w:ascii="Arial" w:cs="Arial" w:eastAsia="Arial" w:hAnsi="Arial"/>
                <w:sz w:val="13"/>
                <w:szCs w:val="13"/>
                <w:b w:val="1"/>
                <w:bCs w:val="1"/>
                <w:color w:val="auto"/>
              </w:rPr>
              <w:t>December 31, 2012</w:t>
            </w:r>
          </w:p>
        </w:tc>
      </w:tr>
      <w:tr>
        <w:trPr>
          <w:trHeight w:val="21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Worldwide Employment (in thousands)</w:t>
            </w: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GMNA(a)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101</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GME</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37</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GMIO</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GMSA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32</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w:t>
            </w:r>
          </w:p>
        </w:tc>
      </w:tr>
      <w:tr>
        <w:trPr>
          <w:trHeight w:val="24"/>
        </w:trPr>
        <w:tc>
          <w:tcPr>
            <w:tcW w:w="8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213</w:t>
            </w: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8120" w:type="dxa"/>
            <w:vAlign w:val="bottom"/>
          </w:tcPr>
          <w:p>
            <w:pPr>
              <w:ind w:left="20"/>
              <w:spacing w:after="0"/>
              <w:rPr>
                <w:sz w:val="20"/>
                <w:szCs w:val="20"/>
                <w:color w:val="auto"/>
              </w:rPr>
            </w:pPr>
            <w:r>
              <w:rPr>
                <w:rFonts w:ascii="Arial" w:cs="Arial" w:eastAsia="Arial" w:hAnsi="Arial"/>
                <w:sz w:val="16"/>
                <w:szCs w:val="16"/>
                <w:color w:val="auto"/>
              </w:rPr>
              <w:t>U.S. - Salaried(a)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30</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U.S. - Hourly</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50</w:t>
            </w:r>
          </w:p>
        </w:tc>
      </w:tr>
      <w:tr>
        <w:trPr>
          <w:trHeight w:val="197"/>
        </w:trPr>
        <w:tc>
          <w:tcPr>
            <w:tcW w:w="8120" w:type="dxa"/>
            <w:vAlign w:val="bottom"/>
          </w:tcPr>
          <w:p>
            <w:pPr>
              <w:spacing w:after="0"/>
              <w:rPr>
                <w:sz w:val="20"/>
                <w:szCs w:val="20"/>
                <w:color w:val="auto"/>
              </w:rPr>
            </w:pPr>
            <w:r>
              <w:rPr>
                <w:rFonts w:ascii="Arial" w:cs="Arial" w:eastAsia="Arial" w:hAnsi="Arial"/>
                <w:sz w:val="14"/>
                <w:szCs w:val="14"/>
                <w:color w:val="auto"/>
              </w:rPr>
              <w:t>_________</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tabs>
          <w:tab w:leader="none" w:pos="2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Headcount increased primarily due to the insourcing of certain information technology support functions that were previously provided by outside parties.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Wholesale and Retail Vehicle Sales</w:t>
      </w:r>
    </w:p>
    <w:p>
      <w:pPr>
        <w:spacing w:after="0" w:line="206" w:lineRule="exact"/>
        <w:rPr>
          <w:sz w:val="20"/>
          <w:szCs w:val="20"/>
          <w:color w:val="auto"/>
        </w:rPr>
      </w:pPr>
    </w:p>
    <w:p>
      <w:pPr>
        <w:jc w:val="both"/>
        <w:ind w:right="60" w:firstLine="145"/>
        <w:spacing w:after="0" w:line="320" w:lineRule="auto"/>
        <w:rPr>
          <w:sz w:val="20"/>
          <w:szCs w:val="20"/>
          <w:color w:val="auto"/>
        </w:rPr>
      </w:pPr>
      <w:r>
        <w:rPr>
          <w:rFonts w:ascii="Arial" w:cs="Arial" w:eastAsia="Arial" w:hAnsi="Arial"/>
          <w:sz w:val="14"/>
          <w:szCs w:val="14"/>
          <w:color w:val="auto"/>
        </w:rPr>
        <w:t>GM presents both wholesale and retail vehicle sales data to assist in the analysis of its revenue and market share. Worldwide market share and retail vehicle sales data exclude the markets of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Wholesale Vehicle Sales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total wholesale vehicle sales of new motor vehicles by automotive segment (vehicles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3"/>
                <w:szCs w:val="13"/>
                <w:b w:val="1"/>
                <w:bCs w:val="1"/>
                <w:color w:val="auto"/>
              </w:rPr>
              <w:t>Nine Months Ended</w:t>
            </w:r>
          </w:p>
        </w:tc>
      </w:tr>
      <w:tr>
        <w:trPr>
          <w:trHeight w:val="233"/>
        </w:trPr>
        <w:tc>
          <w:tcPr>
            <w:tcW w:w="604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2013</w:t>
            </w:r>
          </w:p>
        </w:tc>
        <w:tc>
          <w:tcPr>
            <w:tcW w:w="138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2012</w:t>
            </w: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2013</w:t>
            </w:r>
          </w:p>
        </w:tc>
        <w:tc>
          <w:tcPr>
            <w:tcW w:w="1260" w:type="dxa"/>
            <w:vAlign w:val="bottom"/>
          </w:tcPr>
          <w:p>
            <w:pPr>
              <w:jc w:val="right"/>
              <w:ind w:right="22"/>
              <w:spacing w:after="0"/>
              <w:rPr>
                <w:sz w:val="20"/>
                <w:szCs w:val="20"/>
                <w:color w:val="auto"/>
              </w:rPr>
            </w:pPr>
            <w:r>
              <w:rPr>
                <w:rFonts w:ascii="Arial" w:cs="Arial" w:eastAsia="Arial" w:hAnsi="Arial"/>
                <w:sz w:val="13"/>
                <w:szCs w:val="13"/>
                <w:b w:val="1"/>
                <w:bCs w:val="1"/>
                <w:color w:val="auto"/>
                <w:w w:val="93"/>
              </w:rPr>
              <w:t>September 30, 2012</w:t>
            </w: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rPr>
              <w:t>GMNA</w:t>
            </w:r>
          </w:p>
        </w:tc>
        <w:tc>
          <w:tcPr>
            <w:tcW w:w="128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2,381</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GME</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810</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GMIO</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812</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GMSA</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770</w:t>
            </w:r>
          </w:p>
        </w:tc>
      </w:tr>
      <w:tr>
        <w:trPr>
          <w:trHeight w:val="24"/>
        </w:trPr>
        <w:tc>
          <w:tcPr>
            <w:tcW w:w="6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6"/>
                <w:szCs w:val="16"/>
                <w:color w:val="auto"/>
              </w:rPr>
              <w:t>Worldwide</w:t>
            </w:r>
          </w:p>
        </w:tc>
        <w:tc>
          <w:tcPr>
            <w:tcW w:w="12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4,762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4,773</w:t>
            </w: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533"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Retail Vehicle Sales and Market Share</w:t>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auto"/>
        </w:rPr>
        <w:t>The following tables summarize total retail vehicle sales volume and market share by geographic region (vehicles in thousands):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2013</w:t>
            </w:r>
          </w:p>
        </w:tc>
        <w:tc>
          <w:tcPr>
            <w:tcW w:w="138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2012</w:t>
            </w: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2013</w:t>
            </w:r>
          </w:p>
        </w:tc>
        <w:tc>
          <w:tcPr>
            <w:tcW w:w="1260" w:type="dxa"/>
            <w:vAlign w:val="bottom"/>
          </w:tcPr>
          <w:p>
            <w:pPr>
              <w:jc w:val="right"/>
              <w:ind w:right="20"/>
              <w:spacing w:after="0"/>
              <w:rPr>
                <w:sz w:val="20"/>
                <w:szCs w:val="20"/>
                <w:color w:val="auto"/>
              </w:rPr>
            </w:pPr>
            <w:r>
              <w:rPr>
                <w:rFonts w:ascii="Arial" w:cs="Arial" w:eastAsia="Arial" w:hAnsi="Arial"/>
                <w:sz w:val="13"/>
                <w:szCs w:val="13"/>
                <w:b w:val="1"/>
                <w:bCs w:val="1"/>
                <w:color w:val="auto"/>
                <w:w w:val="93"/>
              </w:rPr>
              <w:t>September 30, 2012</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Retail Vehicle Sales(a)(b)(c)</w:t>
            </w: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Cars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Trucks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Crossovers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Buick</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United States</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697</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652</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2,117</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1,968</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Canada, Mexico and 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North America</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808</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759</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2,450</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2,284</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Europe</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Opel/Vauxhall</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Europe</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388</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372</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1,186</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1,216</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Asia/Pacific, Middle East and Africa</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Wuling</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Buick</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Holden</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Asia/Pacific, Middle East and Africa(d)</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930</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857</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2,847</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2,648</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South America</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South America</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273</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285</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770</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786</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2,398</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2,273</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7,252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6,933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84" w:right="60" w:hanging="284"/>
        <w:spacing w:after="0" w:line="274"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fleet sales that are accounted for as operating leases are included in vehicle sales at the time of delivery to the daily rental car companies.</w:t>
      </w:r>
    </w:p>
    <w:p>
      <w:pPr>
        <w:spacing w:after="0" w:line="7" w:lineRule="exact"/>
        <w:rPr>
          <w:rFonts w:ascii="Arial" w:cs="Arial" w:eastAsia="Arial" w:hAnsi="Arial"/>
          <w:sz w:val="14"/>
          <w:szCs w:val="14"/>
          <w:color w:val="auto"/>
        </w:rPr>
      </w:pPr>
    </w:p>
    <w:p>
      <w:pPr>
        <w:ind w:left="284" w:hanging="284"/>
        <w:spacing w:after="0"/>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Vehicle sales data may include rounding differences.</w:t>
      </w:r>
    </w:p>
    <w:p>
      <w:pPr>
        <w:spacing w:after="0" w:line="7" w:lineRule="exact"/>
        <w:rPr>
          <w:rFonts w:ascii="Arial" w:cs="Arial" w:eastAsia="Arial" w:hAnsi="Arial"/>
          <w:sz w:val="14"/>
          <w:szCs w:val="14"/>
          <w:color w:val="auto"/>
        </w:rPr>
      </w:pPr>
    </w:p>
    <w:p>
      <w:pPr>
        <w:ind w:left="284" w:right="380" w:hanging="284"/>
        <w:spacing w:after="0" w:line="266" w:lineRule="auto"/>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joint venture vehicle sales presented in the following table are included in GM's retail vehicle sales. Vehicle sales for SAIC GM Investment Limited, the holding company of General Motors India Private Limited and Chevrolet Sales India Private Limited(collectively HKJV) are included in the three and nine months ended September 30, 2013.</w:t>
      </w:r>
    </w:p>
    <w:p>
      <w:pPr>
        <w:spacing w:after="0" w:line="200" w:lineRule="exact"/>
        <w:rPr>
          <w:sz w:val="20"/>
          <w:szCs w:val="20"/>
          <w:color w:val="auto"/>
        </w:rPr>
      </w:pP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4"/>
          </w:cols>
          <w:pgMar w:left="236" w:top="533"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right"/>
              <w:ind w:right="696"/>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right"/>
              <w:ind w:right="696"/>
              <w:spacing w:after="0"/>
              <w:rPr>
                <w:sz w:val="20"/>
                <w:szCs w:val="20"/>
                <w:color w:val="auto"/>
              </w:rPr>
            </w:pPr>
            <w:r>
              <w:rPr>
                <w:rFonts w:ascii="Arial" w:cs="Arial" w:eastAsia="Arial" w:hAnsi="Arial"/>
                <w:sz w:val="11"/>
                <w:szCs w:val="11"/>
                <w:b w:val="1"/>
                <w:bCs w:val="1"/>
                <w:color w:val="auto"/>
              </w:rPr>
              <w:t>Nine Months Ended</w:t>
            </w:r>
          </w:p>
        </w:tc>
        <w:tc>
          <w:tcPr>
            <w:tcW w:w="380" w:type="dxa"/>
            <w:vAlign w:val="bottom"/>
          </w:tcPr>
          <w:p>
            <w:pPr>
              <w:spacing w:after="0"/>
              <w:rPr>
                <w:sz w:val="13"/>
                <w:szCs w:val="13"/>
                <w:color w:val="auto"/>
              </w:rPr>
            </w:pPr>
          </w:p>
        </w:tc>
      </w:tr>
      <w:tr>
        <w:trPr>
          <w:trHeight w:val="233"/>
        </w:trPr>
        <w:tc>
          <w:tcPr>
            <w:tcW w:w="5900" w:type="dxa"/>
            <w:vAlign w:val="bottom"/>
          </w:tcPr>
          <w:p>
            <w:pPr>
              <w:spacing w:after="0"/>
              <w:rPr>
                <w:sz w:val="20"/>
                <w:szCs w:val="20"/>
                <w:color w:val="auto"/>
              </w:rPr>
            </w:pPr>
          </w:p>
        </w:tc>
        <w:tc>
          <w:tcPr>
            <w:tcW w:w="1340" w:type="dxa"/>
            <w:vAlign w:val="bottom"/>
            <w:gridSpan w:val="3"/>
          </w:tcPr>
          <w:p>
            <w:pPr>
              <w:ind w:left="160"/>
              <w:spacing w:after="0"/>
              <w:rPr>
                <w:sz w:val="20"/>
                <w:szCs w:val="20"/>
                <w:color w:val="auto"/>
              </w:rPr>
            </w:pPr>
            <w:r>
              <w:rPr>
                <w:rFonts w:ascii="Arial" w:cs="Arial" w:eastAsia="Arial" w:hAnsi="Arial"/>
                <w:sz w:val="11"/>
                <w:szCs w:val="11"/>
                <w:b w:val="1"/>
                <w:bCs w:val="1"/>
                <w:color w:val="auto"/>
              </w:rPr>
              <w:t>September 30, 2013</w:t>
            </w:r>
          </w:p>
        </w:tc>
        <w:tc>
          <w:tcPr>
            <w:tcW w:w="100" w:type="dxa"/>
            <w:vAlign w:val="bottom"/>
          </w:tcPr>
          <w:p>
            <w:pPr>
              <w:spacing w:after="0"/>
              <w:rPr>
                <w:sz w:val="20"/>
                <w:szCs w:val="20"/>
                <w:color w:val="auto"/>
              </w:rPr>
            </w:pP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September 30, 2012</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September 30, 2013</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September 30, 2012</w:t>
            </w:r>
          </w:p>
        </w:tc>
      </w:tr>
      <w:tr>
        <w:trPr>
          <w:trHeight w:val="231"/>
        </w:trPr>
        <w:tc>
          <w:tcPr>
            <w:tcW w:w="5900" w:type="dxa"/>
            <w:vAlign w:val="bottom"/>
          </w:tcPr>
          <w:p>
            <w:pPr>
              <w:ind w:left="980"/>
              <w:spacing w:after="0"/>
              <w:rPr>
                <w:sz w:val="20"/>
                <w:szCs w:val="20"/>
                <w:color w:val="auto"/>
              </w:rPr>
            </w:pPr>
            <w:r>
              <w:rPr>
                <w:rFonts w:ascii="Arial" w:cs="Arial" w:eastAsia="Arial" w:hAnsi="Arial"/>
                <w:sz w:val="13"/>
                <w:szCs w:val="13"/>
                <w:b w:val="1"/>
                <w:bCs w:val="1"/>
                <w:color w:val="auto"/>
              </w:rPr>
              <w:t>Joint venture sales in China</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5900" w:type="dxa"/>
            <w:vAlign w:val="bottom"/>
          </w:tcPr>
          <w:p>
            <w:pPr>
              <w:ind w:left="980"/>
              <w:spacing w:after="0"/>
              <w:rPr>
                <w:sz w:val="20"/>
                <w:szCs w:val="20"/>
                <w:color w:val="auto"/>
              </w:rPr>
            </w:pPr>
            <w:r>
              <w:rPr>
                <w:rFonts w:ascii="Arial" w:cs="Arial" w:eastAsia="Arial" w:hAnsi="Arial"/>
                <w:sz w:val="13"/>
                <w:szCs w:val="13"/>
                <w:color w:val="auto"/>
              </w:rPr>
              <w:t>SAIC General Motors Sales Co., Ltd. (SGMS)</w:t>
            </w:r>
          </w:p>
        </w:tc>
        <w:tc>
          <w:tcPr>
            <w:tcW w:w="1240" w:type="dxa"/>
            <w:vAlign w:val="bottom"/>
            <w:gridSpan w:val="2"/>
          </w:tcPr>
          <w:p>
            <w:pPr>
              <w:jc w:val="right"/>
              <w:ind w:right="58"/>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20"/>
                <w:szCs w:val="20"/>
                <w:color w:val="auto"/>
              </w:rPr>
            </w:pPr>
          </w:p>
        </w:tc>
        <w:tc>
          <w:tcPr>
            <w:tcW w:w="1220" w:type="dxa"/>
            <w:vAlign w:val="bottom"/>
            <w:gridSpan w:val="3"/>
          </w:tcPr>
          <w:p>
            <w:pPr>
              <w:jc w:val="right"/>
              <w:ind w:right="36"/>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8"/>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36"/>
              <w:spacing w:after="0"/>
              <w:rPr>
                <w:sz w:val="20"/>
                <w:szCs w:val="20"/>
                <w:color w:val="auto"/>
              </w:rPr>
            </w:pPr>
            <w:r>
              <w:rPr>
                <w:rFonts w:ascii="Arial" w:cs="Arial" w:eastAsia="Arial" w:hAnsi="Arial"/>
                <w:sz w:val="13"/>
                <w:szCs w:val="13"/>
                <w:color w:val="auto"/>
              </w:rPr>
              <w:t>967</w:t>
            </w:r>
          </w:p>
        </w:tc>
        <w:tc>
          <w:tcPr>
            <w:tcW w:w="380" w:type="dxa"/>
            <w:vAlign w:val="bottom"/>
          </w:tcPr>
          <w:p>
            <w:pPr>
              <w:spacing w:after="0"/>
              <w:rPr>
                <w:sz w:val="20"/>
                <w:szCs w:val="20"/>
                <w:color w:val="auto"/>
              </w:rPr>
            </w:pPr>
          </w:p>
        </w:tc>
      </w:tr>
      <w:tr>
        <w:trPr>
          <w:trHeight w:val="241"/>
        </w:trPr>
        <w:tc>
          <w:tcPr>
            <w:tcW w:w="5900" w:type="dxa"/>
            <w:vAlign w:val="bottom"/>
          </w:tcPr>
          <w:p>
            <w:pPr>
              <w:ind w:left="980"/>
              <w:spacing w:after="0"/>
              <w:rPr>
                <w:sz w:val="20"/>
                <w:szCs w:val="20"/>
                <w:color w:val="auto"/>
              </w:rPr>
            </w:pPr>
            <w:r>
              <w:rPr>
                <w:rFonts w:ascii="Arial" w:cs="Arial" w:eastAsia="Arial" w:hAnsi="Arial"/>
                <w:sz w:val="13"/>
                <w:szCs w:val="13"/>
                <w:color w:val="auto"/>
              </w:rPr>
              <w:t>SGMW and FAW-GM</w:t>
            </w:r>
          </w:p>
        </w:tc>
        <w:tc>
          <w:tcPr>
            <w:tcW w:w="1240" w:type="dxa"/>
            <w:vAlign w:val="bottom"/>
            <w:gridSpan w:val="2"/>
          </w:tcPr>
          <w:p>
            <w:pPr>
              <w:jc w:val="right"/>
              <w:ind w:right="58"/>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20"/>
                <w:szCs w:val="20"/>
                <w:color w:val="auto"/>
              </w:rPr>
            </w:pPr>
          </w:p>
        </w:tc>
        <w:tc>
          <w:tcPr>
            <w:tcW w:w="1220" w:type="dxa"/>
            <w:vAlign w:val="bottom"/>
            <w:gridSpan w:val="3"/>
          </w:tcPr>
          <w:p>
            <w:pPr>
              <w:jc w:val="right"/>
              <w:ind w:right="36"/>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8"/>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36"/>
              <w:spacing w:after="0"/>
              <w:rPr>
                <w:sz w:val="20"/>
                <w:szCs w:val="20"/>
                <w:color w:val="auto"/>
              </w:rPr>
            </w:pPr>
            <w:r>
              <w:rPr>
                <w:rFonts w:ascii="Arial" w:cs="Arial" w:eastAsia="Arial" w:hAnsi="Arial"/>
                <w:sz w:val="13"/>
                <w:szCs w:val="13"/>
                <w:color w:val="auto"/>
              </w:rPr>
              <w:t>1,111</w:t>
            </w:r>
          </w:p>
        </w:tc>
        <w:tc>
          <w:tcPr>
            <w:tcW w:w="380" w:type="dxa"/>
            <w:vAlign w:val="bottom"/>
          </w:tcPr>
          <w:p>
            <w:pPr>
              <w:spacing w:after="0"/>
              <w:rPr>
                <w:sz w:val="20"/>
                <w:szCs w:val="20"/>
                <w:color w:val="auto"/>
              </w:rPr>
            </w:pPr>
          </w:p>
        </w:tc>
      </w:tr>
      <w:tr>
        <w:trPr>
          <w:trHeight w:val="241"/>
        </w:trPr>
        <w:tc>
          <w:tcPr>
            <w:tcW w:w="5900" w:type="dxa"/>
            <w:vAlign w:val="bottom"/>
          </w:tcPr>
          <w:p>
            <w:pPr>
              <w:ind w:left="980"/>
              <w:spacing w:after="0"/>
              <w:rPr>
                <w:sz w:val="20"/>
                <w:szCs w:val="20"/>
                <w:color w:val="auto"/>
              </w:rPr>
            </w:pPr>
            <w:r>
              <w:rPr>
                <w:rFonts w:ascii="Arial" w:cs="Arial" w:eastAsia="Arial" w:hAnsi="Arial"/>
                <w:sz w:val="13"/>
                <w:szCs w:val="13"/>
                <w:b w:val="1"/>
                <w:bCs w:val="1"/>
                <w:color w:val="auto"/>
              </w:rPr>
              <w:t>Joint venture sales in India</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5900" w:type="dxa"/>
            <w:vAlign w:val="bottom"/>
          </w:tcPr>
          <w:p>
            <w:pPr>
              <w:ind w:left="980"/>
              <w:spacing w:after="0"/>
              <w:rPr>
                <w:sz w:val="20"/>
                <w:szCs w:val="20"/>
                <w:color w:val="auto"/>
              </w:rPr>
            </w:pPr>
            <w:r>
              <w:rPr>
                <w:rFonts w:ascii="Arial" w:cs="Arial" w:eastAsia="Arial" w:hAnsi="Arial"/>
                <w:sz w:val="13"/>
                <w:szCs w:val="13"/>
                <w:color w:val="auto"/>
              </w:rPr>
              <w:t>HKJV</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36"/>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36"/>
              <w:spacing w:after="0"/>
              <w:rPr>
                <w:sz w:val="20"/>
                <w:szCs w:val="20"/>
                <w:color w:val="auto"/>
              </w:rPr>
            </w:pPr>
            <w:r>
              <w:rPr>
                <w:rFonts w:ascii="Arial" w:cs="Arial" w:eastAsia="Arial" w:hAnsi="Arial"/>
                <w:sz w:val="13"/>
                <w:szCs w:val="13"/>
                <w:color w:val="auto"/>
              </w:rPr>
              <w:t>64</w:t>
            </w:r>
          </w:p>
        </w:tc>
        <w:tc>
          <w:tcPr>
            <w:tcW w:w="380" w:type="dxa"/>
            <w:vAlign w:val="bottom"/>
          </w:tcPr>
          <w:p>
            <w:pPr>
              <w:spacing w:after="0"/>
              <w:rPr>
                <w:sz w:val="20"/>
                <w:szCs w:val="20"/>
                <w:color w:val="auto"/>
              </w:rPr>
            </w:pPr>
          </w:p>
        </w:tc>
      </w:tr>
      <w:tr>
        <w:trPr>
          <w:trHeight w:val="560"/>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auto"/>
            </w:tcBorders>
            <w:gridSpan w:val="7"/>
          </w:tcPr>
          <w:p>
            <w:pPr>
              <w:ind w:left="74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Borders>
              <w:bottom w:val="single" w:sz="8" w:color="auto"/>
            </w:tcBorders>
            <w:gridSpan w:val="7"/>
          </w:tcPr>
          <w:p>
            <w:pPr>
              <w:ind w:left="760"/>
              <w:spacing w:after="0"/>
              <w:rPr>
                <w:sz w:val="20"/>
                <w:szCs w:val="20"/>
                <w:color w:val="auto"/>
              </w:rPr>
            </w:pPr>
            <w:r>
              <w:rPr>
                <w:rFonts w:ascii="Arial" w:cs="Arial" w:eastAsia="Arial" w:hAnsi="Arial"/>
                <w:sz w:val="13"/>
                <w:szCs w:val="13"/>
                <w:b w:val="1"/>
                <w:bCs w:val="1"/>
                <w:color w:val="auto"/>
              </w:rPr>
              <w:t>Nine Months Ended</w:t>
            </w:r>
          </w:p>
        </w:tc>
      </w:tr>
      <w:tr>
        <w:trPr>
          <w:trHeight w:val="230"/>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87"/>
              </w:rPr>
              <w:t>September 30, 2013</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88"/>
              </w:rPr>
              <w:t>September 30, 2012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87"/>
              </w:rPr>
              <w:t>September 30, 2013</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5"/>
              </w:rPr>
              <w:t>September 30, 2012</w:t>
            </w:r>
          </w:p>
        </w:tc>
      </w:tr>
      <w:tr>
        <w:trPr>
          <w:trHeight w:val="21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14.0%</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14.6%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14.8%</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23.1%</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23.5%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23.7%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23.2%</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17.5%</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17.0%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17.6%</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17.3%</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17.6%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17.6%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17.7%</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Total North America</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16.7%</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16.9%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17.0%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17.0%</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Total Europe</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3"/>
              </w:rPr>
              <w:t>8.6%</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7"/>
              </w:rPr>
              <w:t>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3"/>
              </w:rPr>
              <w:t>8.4%</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Total Asia/Pacific, Middle East and Africa(c)</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3"/>
              </w:rPr>
              <w:t>9.6%</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7"/>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3"/>
              </w:rPr>
              <w:t>9.3%</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Total South America</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17.9%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17.4%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18.1%</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1240" w:type="dxa"/>
            <w:vAlign w:val="bottom"/>
            <w:gridSpan w:val="2"/>
          </w:tcPr>
          <w:p>
            <w:pPr>
              <w:jc w:val="center"/>
              <w:ind w:left="283"/>
              <w:spacing w:after="0"/>
              <w:rPr>
                <w:sz w:val="20"/>
                <w:szCs w:val="20"/>
                <w:color w:val="auto"/>
              </w:rPr>
            </w:pPr>
            <w:r>
              <w:rPr>
                <w:rFonts w:ascii="Arial" w:cs="Arial" w:eastAsia="Arial" w:hAnsi="Arial"/>
                <w:sz w:val="16"/>
                <w:szCs w:val="16"/>
                <w:b w:val="1"/>
                <w:bCs w:val="1"/>
                <w:color w:val="auto"/>
                <w:w w:val="96"/>
              </w:rPr>
              <w:t>11.7%</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b w:val="1"/>
                <w:bCs w:val="1"/>
                <w:color w:val="auto"/>
                <w:w w:val="96"/>
              </w:rPr>
              <w:t>11.6%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b w:val="1"/>
                <w:bCs w:val="1"/>
                <w:color w:val="auto"/>
                <w:w w:val="96"/>
              </w:rPr>
              <w:t>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484"/>
              <w:spacing w:after="0"/>
              <w:rPr>
                <w:sz w:val="20"/>
                <w:szCs w:val="20"/>
                <w:color w:val="auto"/>
              </w:rPr>
            </w:pPr>
            <w:r>
              <w:rPr>
                <w:rFonts w:ascii="Arial" w:cs="Arial" w:eastAsia="Arial" w:hAnsi="Arial"/>
                <w:sz w:val="16"/>
                <w:szCs w:val="16"/>
                <w:b w:val="1"/>
                <w:bCs w:val="1"/>
                <w:color w:val="auto"/>
                <w:w w:val="96"/>
              </w:rPr>
              <w:t>11.4%</w:t>
            </w:r>
          </w:p>
        </w:tc>
        <w:tc>
          <w:tcPr>
            <w:tcW w:w="380" w:type="dxa"/>
            <w:vAlign w:val="bottom"/>
          </w:tcPr>
          <w:p>
            <w:pPr>
              <w:spacing w:after="0"/>
              <w:rPr>
                <w:sz w:val="20"/>
                <w:szCs w:val="20"/>
                <w:color w:val="auto"/>
              </w:rPr>
            </w:pPr>
          </w:p>
        </w:tc>
      </w:tr>
      <w:tr>
        <w:trPr>
          <w:trHeight w:val="482"/>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22.8%</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29.7%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27.6%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31.4%</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20.5%</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24.2%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24.1%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26.7%</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14.4%</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19.5%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19.9%</w:t>
            </w:r>
          </w:p>
        </w:tc>
        <w:tc>
          <w:tcPr>
            <w:tcW w:w="380" w:type="dxa"/>
            <w:vAlign w:val="bottom"/>
          </w:tcPr>
          <w:p>
            <w:pPr>
              <w:spacing w:after="0"/>
              <w:rPr>
                <w:sz w:val="20"/>
                <w:szCs w:val="20"/>
                <w:color w:val="auto"/>
              </w:rPr>
            </w:pPr>
          </w:p>
        </w:tc>
      </w:tr>
      <w:tr>
        <w:trPr>
          <w:trHeight w:val="241"/>
        </w:trPr>
        <w:tc>
          <w:tcPr>
            <w:tcW w:w="590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1240" w:type="dxa"/>
            <w:vAlign w:val="bottom"/>
            <w:gridSpan w:val="2"/>
          </w:tcPr>
          <w:p>
            <w:pPr>
              <w:jc w:val="center"/>
              <w:ind w:left="283"/>
              <w:spacing w:after="0"/>
              <w:rPr>
                <w:sz w:val="20"/>
                <w:szCs w:val="20"/>
                <w:color w:val="auto"/>
              </w:rPr>
            </w:pPr>
            <w:r>
              <w:rPr>
                <w:rFonts w:ascii="Arial" w:cs="Arial" w:eastAsia="Arial" w:hAnsi="Arial"/>
                <w:sz w:val="16"/>
                <w:szCs w:val="16"/>
                <w:b w:val="1"/>
                <w:bCs w:val="1"/>
                <w:color w:val="auto"/>
                <w:w w:val="96"/>
              </w:rPr>
              <w:t>19.8%</w:t>
            </w:r>
          </w:p>
        </w:tc>
        <w:tc>
          <w:tcPr>
            <w:tcW w:w="100" w:type="dxa"/>
            <w:vAlign w:val="bottom"/>
          </w:tcPr>
          <w:p>
            <w:pPr>
              <w:spacing w:after="0"/>
              <w:rPr>
                <w:sz w:val="20"/>
                <w:szCs w:val="20"/>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b w:val="1"/>
                <w:bCs w:val="1"/>
                <w:color w:val="auto"/>
                <w:w w:val="96"/>
              </w:rPr>
              <w:t>24.4%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b w:val="1"/>
                <w:bCs w:val="1"/>
                <w:color w:val="auto"/>
                <w:w w:val="96"/>
              </w:rPr>
              <w:t>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left="484"/>
              <w:spacing w:after="0"/>
              <w:rPr>
                <w:sz w:val="20"/>
                <w:szCs w:val="20"/>
                <w:color w:val="auto"/>
              </w:rPr>
            </w:pPr>
            <w:r>
              <w:rPr>
                <w:rFonts w:ascii="Arial" w:cs="Arial" w:eastAsia="Arial" w:hAnsi="Arial"/>
                <w:sz w:val="16"/>
                <w:szCs w:val="16"/>
                <w:b w:val="1"/>
                <w:bCs w:val="1"/>
                <w:color w:val="auto"/>
                <w:w w:val="96"/>
              </w:rPr>
              <w:t>27.0%</w:t>
            </w:r>
          </w:p>
        </w:tc>
        <w:tc>
          <w:tcPr>
            <w:tcW w:w="380" w:type="dxa"/>
            <w:vAlign w:val="bottom"/>
          </w:tcPr>
          <w:p>
            <w:pPr>
              <w:spacing w:after="0"/>
              <w:rPr>
                <w:sz w:val="20"/>
                <w:szCs w:val="20"/>
                <w:color w:val="auto"/>
              </w:rPr>
            </w:pPr>
          </w:p>
        </w:tc>
      </w:tr>
      <w:tr>
        <w:trPr>
          <w:trHeight w:val="482"/>
        </w:trPr>
        <w:tc>
          <w:tcPr>
            <w:tcW w:w="5900" w:type="dxa"/>
            <w:vAlign w:val="bottom"/>
          </w:tcPr>
          <w:p>
            <w:pPr>
              <w:ind w:left="20"/>
              <w:spacing w:after="0"/>
              <w:rPr>
                <w:sz w:val="20"/>
                <w:szCs w:val="20"/>
                <w:color w:val="auto"/>
              </w:rPr>
            </w:pPr>
            <w:r>
              <w:rPr>
                <w:rFonts w:ascii="Arial" w:cs="Arial" w:eastAsia="Arial" w:hAnsi="Arial"/>
                <w:sz w:val="16"/>
                <w:szCs w:val="16"/>
                <w:color w:val="auto"/>
              </w:rPr>
              <w:t>North America Capacity Utilization</w:t>
            </w:r>
          </w:p>
        </w:tc>
        <w:tc>
          <w:tcPr>
            <w:tcW w:w="1240" w:type="dxa"/>
            <w:vAlign w:val="bottom"/>
            <w:gridSpan w:val="2"/>
          </w:tcPr>
          <w:p>
            <w:pPr>
              <w:jc w:val="center"/>
              <w:ind w:left="263"/>
              <w:spacing w:after="0"/>
              <w:rPr>
                <w:sz w:val="20"/>
                <w:szCs w:val="20"/>
                <w:color w:val="auto"/>
              </w:rPr>
            </w:pPr>
            <w:r>
              <w:rPr>
                <w:rFonts w:ascii="Arial" w:cs="Arial" w:eastAsia="Arial" w:hAnsi="Arial"/>
                <w:sz w:val="16"/>
                <w:szCs w:val="16"/>
                <w:color w:val="auto"/>
                <w:w w:val="92"/>
              </w:rPr>
              <w:t>96.4%</w:t>
            </w:r>
          </w:p>
        </w:tc>
        <w:tc>
          <w:tcPr>
            <w:tcW w:w="100" w:type="dxa"/>
            <w:vAlign w:val="bottom"/>
          </w:tcPr>
          <w:p>
            <w:pPr>
              <w:spacing w:after="0"/>
              <w:rPr>
                <w:sz w:val="24"/>
                <w:szCs w:val="24"/>
                <w:color w:val="auto"/>
              </w:rPr>
            </w:pPr>
          </w:p>
        </w:tc>
        <w:tc>
          <w:tcPr>
            <w:tcW w:w="1220" w:type="dxa"/>
            <w:vAlign w:val="bottom"/>
            <w:gridSpan w:val="3"/>
          </w:tcPr>
          <w:p>
            <w:pPr>
              <w:jc w:val="center"/>
              <w:ind w:left="382"/>
              <w:spacing w:after="0"/>
              <w:rPr>
                <w:sz w:val="20"/>
                <w:szCs w:val="20"/>
                <w:color w:val="auto"/>
              </w:rPr>
            </w:pPr>
            <w:r>
              <w:rPr>
                <w:rFonts w:ascii="Arial" w:cs="Arial" w:eastAsia="Arial" w:hAnsi="Arial"/>
                <w:sz w:val="16"/>
                <w:szCs w:val="16"/>
                <w:color w:val="auto"/>
                <w:w w:val="88"/>
              </w:rPr>
              <w:t>91.9%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left="403"/>
              <w:spacing w:after="0"/>
              <w:rPr>
                <w:sz w:val="20"/>
                <w:szCs w:val="20"/>
                <w:color w:val="auto"/>
              </w:rPr>
            </w:pPr>
            <w:r>
              <w:rPr>
                <w:rFonts w:ascii="Arial" w:cs="Arial" w:eastAsia="Arial" w:hAnsi="Arial"/>
                <w:sz w:val="16"/>
                <w:szCs w:val="16"/>
                <w:color w:val="auto"/>
                <w:w w:val="88"/>
              </w:rPr>
              <w:t>98.9%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left="504"/>
              <w:spacing w:after="0"/>
              <w:rPr>
                <w:sz w:val="20"/>
                <w:szCs w:val="20"/>
                <w:color w:val="auto"/>
              </w:rPr>
            </w:pPr>
            <w:r>
              <w:rPr>
                <w:rFonts w:ascii="Arial" w:cs="Arial" w:eastAsia="Arial" w:hAnsi="Arial"/>
                <w:sz w:val="16"/>
                <w:szCs w:val="16"/>
                <w:color w:val="auto"/>
                <w:w w:val="92"/>
              </w:rPr>
              <w:t>98.9%</w:t>
            </w:r>
          </w:p>
        </w:tc>
        <w:tc>
          <w:tcPr>
            <w:tcW w:w="380" w:type="dxa"/>
            <w:vAlign w:val="bottom"/>
          </w:tcPr>
          <w:p>
            <w:pPr>
              <w:spacing w:after="0"/>
              <w:rPr>
                <w:sz w:val="24"/>
                <w:szCs w:val="24"/>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________</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ind w:left="204" w:hanging="204"/>
        <w:spacing w:after="0"/>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Market Share information is based on retail vehicles sales volume.</w:t>
      </w:r>
    </w:p>
    <w:p>
      <w:pPr>
        <w:spacing w:after="0" w:line="11" w:lineRule="exact"/>
        <w:rPr>
          <w:rFonts w:ascii="Arial" w:cs="Arial" w:eastAsia="Arial" w:hAnsi="Arial"/>
          <w:sz w:val="14"/>
          <w:szCs w:val="14"/>
          <w:color w:val="auto"/>
        </w:rPr>
      </w:pPr>
    </w:p>
    <w:p>
      <w:pPr>
        <w:ind w:left="284" w:right="140" w:hanging="284"/>
        <w:spacing w:after="0" w:line="271" w:lineRule="auto"/>
        <w:tabs>
          <w:tab w:leader="none" w:pos="199" w:val="left"/>
        </w:tabs>
        <w:numPr>
          <w:ilvl w:val="0"/>
          <w:numId w:val="7"/>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284" w:right="140" w:hanging="284"/>
        <w:spacing w:after="0" w:line="266" w:lineRule="auto"/>
        <w:tabs>
          <w:tab w:leader="none" w:pos="19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joint venture vehicle sales presented in the following table are included in GM's retail vehicle sales. Vehicle sales for HKJV are included in the three and nine months ended September 30, 2013.</w:t>
      </w:r>
    </w:p>
    <w:p>
      <w:pPr>
        <w:spacing w:after="0" w:line="371" w:lineRule="exact"/>
        <w:rPr>
          <w:sz w:val="20"/>
          <w:szCs w:val="20"/>
          <w:color w:val="auto"/>
        </w:rPr>
      </w:pPr>
    </w:p>
    <w:tbl>
      <w:tblPr>
        <w:tblLayout w:type="fixed"/>
        <w:tblInd w:w="2184"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18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3"/>
                <w:szCs w:val="13"/>
                <w:color w:val="auto"/>
              </w:rPr>
            </w:pPr>
          </w:p>
        </w:tc>
        <w:tc>
          <w:tcPr>
            <w:tcW w:w="18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1"/>
                <w:szCs w:val="11"/>
                <w:b w:val="1"/>
                <w:bCs w:val="1"/>
                <w:color w:val="auto"/>
              </w:rPr>
              <w:t>Nine Months Ended</w:t>
            </w:r>
          </w:p>
        </w:tc>
      </w:tr>
      <w:tr>
        <w:trPr>
          <w:trHeight w:val="129"/>
        </w:trPr>
        <w:tc>
          <w:tcPr>
            <w:tcW w:w="3900" w:type="dxa"/>
            <w:vAlign w:val="bottom"/>
          </w:tcPr>
          <w:p>
            <w:pPr>
              <w:spacing w:after="0"/>
              <w:rPr>
                <w:sz w:val="11"/>
                <w:szCs w:val="11"/>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w:t>
            </w:r>
          </w:p>
        </w:tc>
        <w:tc>
          <w:tcPr>
            <w:tcW w:w="880" w:type="dxa"/>
            <w:vAlign w:val="bottom"/>
          </w:tcPr>
          <w:p>
            <w:pPr>
              <w:jc w:val="right"/>
              <w:ind w:right="39"/>
              <w:spacing w:after="0"/>
              <w:rPr>
                <w:sz w:val="20"/>
                <w:szCs w:val="20"/>
                <w:color w:val="auto"/>
              </w:rPr>
            </w:pPr>
            <w:r>
              <w:rPr>
                <w:rFonts w:ascii="Arial" w:cs="Arial" w:eastAsia="Arial" w:hAnsi="Arial"/>
                <w:sz w:val="11"/>
                <w:szCs w:val="11"/>
                <w:b w:val="1"/>
                <w:bCs w:val="1"/>
                <w:color w:val="auto"/>
              </w:rPr>
              <w:t>September 30,</w:t>
            </w:r>
          </w:p>
        </w:tc>
      </w:tr>
      <w:tr>
        <w:trPr>
          <w:trHeight w:val="153"/>
        </w:trPr>
        <w:tc>
          <w:tcPr>
            <w:tcW w:w="3900" w:type="dxa"/>
            <w:vAlign w:val="bottom"/>
          </w:tcPr>
          <w:p>
            <w:pPr>
              <w:spacing w:after="0"/>
              <w:rPr>
                <w:sz w:val="13"/>
                <w:szCs w:val="13"/>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2013</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2013</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2012</w:t>
            </w:r>
          </w:p>
        </w:tc>
      </w:tr>
      <w:tr>
        <w:trPr>
          <w:trHeight w:val="231"/>
        </w:trPr>
        <w:tc>
          <w:tcPr>
            <w:tcW w:w="3900" w:type="dxa"/>
            <w:vAlign w:val="bottom"/>
          </w:tcPr>
          <w:p>
            <w:pPr>
              <w:spacing w:after="0"/>
              <w:rPr>
                <w:sz w:val="20"/>
                <w:szCs w:val="20"/>
                <w:color w:val="auto"/>
              </w:rPr>
            </w:pPr>
            <w:r>
              <w:rPr>
                <w:rFonts w:ascii="Arial" w:cs="Arial" w:eastAsia="Arial" w:hAnsi="Arial"/>
                <w:sz w:val="13"/>
                <w:szCs w:val="13"/>
                <w:b w:val="1"/>
                <w:bCs w:val="1"/>
                <w:color w:val="auto"/>
              </w:rPr>
              <w:t>Joint venture sales in China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3"/>
                <w:szCs w:val="13"/>
                <w:color w:val="auto"/>
              </w:rPr>
              <w:t>SGMS</w:t>
            </w:r>
          </w:p>
        </w:tc>
        <w:tc>
          <w:tcPr>
            <w:tcW w:w="88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967</w:t>
            </w:r>
          </w:p>
        </w:tc>
      </w:tr>
      <w:tr>
        <w:trPr>
          <w:trHeight w:val="241"/>
        </w:trPr>
        <w:tc>
          <w:tcPr>
            <w:tcW w:w="3900" w:type="dxa"/>
            <w:vAlign w:val="bottom"/>
          </w:tcPr>
          <w:p>
            <w:pPr>
              <w:spacing w:after="0"/>
              <w:rPr>
                <w:sz w:val="20"/>
                <w:szCs w:val="20"/>
                <w:color w:val="auto"/>
              </w:rPr>
            </w:pPr>
            <w:r>
              <w:rPr>
                <w:rFonts w:ascii="Arial" w:cs="Arial" w:eastAsia="Arial" w:hAnsi="Arial"/>
                <w:sz w:val="13"/>
                <w:szCs w:val="13"/>
                <w:color w:val="auto"/>
              </w:rPr>
              <w:t>SGMW and FAW-GM</w:t>
            </w:r>
          </w:p>
        </w:tc>
        <w:tc>
          <w:tcPr>
            <w:tcW w:w="88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1,111</w:t>
            </w:r>
          </w:p>
        </w:tc>
      </w:tr>
      <w:tr>
        <w:trPr>
          <w:trHeight w:val="241"/>
        </w:trPr>
        <w:tc>
          <w:tcPr>
            <w:tcW w:w="3900" w:type="dxa"/>
            <w:vAlign w:val="bottom"/>
          </w:tcPr>
          <w:p>
            <w:pPr>
              <w:spacing w:after="0"/>
              <w:rPr>
                <w:sz w:val="20"/>
                <w:szCs w:val="20"/>
                <w:color w:val="auto"/>
              </w:rPr>
            </w:pPr>
            <w:r>
              <w:rPr>
                <w:rFonts w:ascii="Arial" w:cs="Arial" w:eastAsia="Arial" w:hAnsi="Arial"/>
                <w:sz w:val="13"/>
                <w:szCs w:val="13"/>
                <w:b w:val="1"/>
                <w:bCs w:val="1"/>
                <w:color w:val="auto"/>
              </w:rPr>
              <w:t>Joint venture sales in India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3"/>
                <w:szCs w:val="13"/>
                <w:color w:val="auto"/>
              </w:rPr>
              <w:t>HKJV</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33" w:right="219" w:bottom="1440" w:gutter="0" w:footer="0" w:header="0"/>
        </w:sectPr>
      </w:pPr>
    </w:p>
    <w:bookmarkStart w:id="12" w:name="page13"/>
    <w:bookmarkEnd w:id="12"/>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Consolidating Income Statements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5"/>
          </w:tcPr>
          <w:p>
            <w:pPr>
              <w:ind w:left="40"/>
              <w:spacing w:after="0"/>
              <w:rPr>
                <w:sz w:val="20"/>
                <w:szCs w:val="20"/>
                <w:color w:val="auto"/>
              </w:rPr>
            </w:pPr>
            <w:r>
              <w:rPr>
                <w:rFonts w:ascii="Arial" w:cs="Arial" w:eastAsia="Arial" w:hAnsi="Arial"/>
                <w:sz w:val="10"/>
                <w:szCs w:val="10"/>
                <w:b w:val="1"/>
                <w:bCs w:val="1"/>
                <w:color w:val="auto"/>
                <w:w w:val="98"/>
              </w:rPr>
              <w:t>Three Months Ended September 30, 2013</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5"/>
          </w:tcPr>
          <w:p>
            <w:pPr>
              <w:spacing w:after="0"/>
              <w:rPr>
                <w:sz w:val="20"/>
                <w:szCs w:val="20"/>
                <w:color w:val="auto"/>
              </w:rPr>
            </w:pPr>
            <w:r>
              <w:rPr>
                <w:rFonts w:ascii="Arial" w:cs="Arial" w:eastAsia="Arial" w:hAnsi="Arial"/>
                <w:sz w:val="10"/>
                <w:szCs w:val="10"/>
                <w:b w:val="1"/>
                <w:bCs w:val="1"/>
                <w:color w:val="auto"/>
                <w:w w:val="97"/>
              </w:rPr>
              <w:t>Three Months Ended September 30, 2012</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Automotive</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GM Financial</w:t>
            </w:r>
          </w:p>
        </w:tc>
        <w:tc>
          <w:tcPr>
            <w:tcW w:w="12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Eliminations</w:t>
            </w: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Automotive</w:t>
            </w:r>
          </w:p>
        </w:tc>
        <w:tc>
          <w:tcPr>
            <w:tcW w:w="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GM Financial</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Automotive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38,122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38,120</w:t>
            </w:r>
          </w:p>
        </w:tc>
        <w:tc>
          <w:tcPr>
            <w:tcW w:w="120" w:type="dxa"/>
            <w:vAlign w:val="bottom"/>
          </w:tcPr>
          <w:p>
            <w:pPr>
              <w:spacing w:after="0"/>
              <w:rPr>
                <w:sz w:val="20"/>
                <w:szCs w:val="2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37,062</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37,062</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863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514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ind w:left="140"/>
              <w:spacing w:after="0"/>
              <w:rPr>
                <w:sz w:val="20"/>
                <w:szCs w:val="20"/>
                <w:color w:val="auto"/>
              </w:rPr>
            </w:pPr>
            <w:r>
              <w:rPr>
                <w:rFonts w:ascii="Arial" w:cs="Arial" w:eastAsia="Arial" w:hAnsi="Arial"/>
                <w:sz w:val="10"/>
                <w:szCs w:val="10"/>
                <w:color w:val="auto"/>
              </w:rPr>
              <w:t>Total</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38,122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867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38,983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37,062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37,576</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Costs and expenses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Automotive cost of sales</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33,172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33,166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32,731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32,735</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GM Financial operating and other expenses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628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Automotive selling, general and administrative expense</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2,876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2,876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2,849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2,849</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Goodwill impairment charges</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ind w:left="140"/>
              <w:spacing w:after="0"/>
              <w:rPr>
                <w:sz w:val="20"/>
                <w:szCs w:val="20"/>
                <w:color w:val="auto"/>
              </w:rPr>
            </w:pPr>
            <w:r>
              <w:rPr>
                <w:rFonts w:ascii="Arial" w:cs="Arial" w:eastAsia="Arial" w:hAnsi="Arial"/>
                <w:sz w:val="10"/>
                <w:szCs w:val="10"/>
                <w:color w:val="auto"/>
              </w:rPr>
              <w:t>Total costs and expenses</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36,108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628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36,727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35,658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314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35,973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ind w:left="300"/>
              <w:spacing w:after="0"/>
              <w:rPr>
                <w:sz w:val="20"/>
                <w:szCs w:val="20"/>
                <w:color w:val="auto"/>
              </w:rPr>
            </w:pPr>
            <w:r>
              <w:rPr>
                <w:rFonts w:ascii="Arial" w:cs="Arial" w:eastAsia="Arial" w:hAnsi="Arial"/>
                <w:sz w:val="10"/>
                <w:szCs w:val="10"/>
                <w:color w:val="auto"/>
              </w:rPr>
              <w:t>Operating income</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2,256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1,603</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128</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Interest income and other non-operating income (loss), net</w:t>
            </w: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318</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Gain on extinguishment of debt</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spacing w:after="0"/>
              <w:rPr>
                <w:sz w:val="20"/>
                <w:szCs w:val="20"/>
                <w:color w:val="auto"/>
              </w:rPr>
            </w:pPr>
            <w:r>
              <w:rPr>
                <w:rFonts w:ascii="Arial" w:cs="Arial" w:eastAsia="Arial" w:hAnsi="Arial"/>
                <w:sz w:val="10"/>
                <w:szCs w:val="10"/>
                <w:color w:val="auto"/>
              </w:rPr>
              <w:t>Income before income taxes and equity income</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1,868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2,111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1,793</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Income tax expense</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286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357</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Equity income, net of tax</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436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418</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1,548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1,705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1,854</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300" w:type="dxa"/>
            <w:vAlign w:val="bottom"/>
          </w:tcPr>
          <w:p>
            <w:pPr>
              <w:spacing w:after="0"/>
              <w:rPr>
                <w:sz w:val="20"/>
                <w:szCs w:val="20"/>
                <w:color w:val="auto"/>
              </w:rPr>
            </w:pPr>
            <w:r>
              <w:rPr>
                <w:rFonts w:ascii="Arial" w:cs="Arial" w:eastAsia="Arial" w:hAnsi="Arial"/>
                <w:sz w:val="10"/>
                <w:szCs w:val="10"/>
                <w:b w:val="1"/>
                <w:bCs w:val="1"/>
                <w:color w:val="auto"/>
              </w:rPr>
              <w:t>Net income attributable to stockholders</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1,717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1,705</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1,833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5"/>
          </w:tcPr>
          <w:p>
            <w:pPr>
              <w:ind w:left="60"/>
              <w:spacing w:after="0"/>
              <w:rPr>
                <w:sz w:val="20"/>
                <w:szCs w:val="20"/>
                <w:color w:val="auto"/>
              </w:rPr>
            </w:pPr>
            <w:r>
              <w:rPr>
                <w:rFonts w:ascii="Arial" w:cs="Arial" w:eastAsia="Arial" w:hAnsi="Arial"/>
                <w:sz w:val="10"/>
                <w:szCs w:val="10"/>
                <w:b w:val="1"/>
                <w:bCs w:val="1"/>
                <w:color w:val="auto"/>
              </w:rPr>
              <w:t>Nine Months Ended September 30, 2013</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ind w:left="20"/>
              <w:spacing w:after="0"/>
              <w:rPr>
                <w:sz w:val="20"/>
                <w:szCs w:val="20"/>
                <w:color w:val="auto"/>
              </w:rPr>
            </w:pPr>
            <w:r>
              <w:rPr>
                <w:rFonts w:ascii="Arial" w:cs="Arial" w:eastAsia="Arial" w:hAnsi="Arial"/>
                <w:sz w:val="10"/>
                <w:szCs w:val="10"/>
                <w:b w:val="1"/>
                <w:bCs w:val="1"/>
                <w:color w:val="auto"/>
                <w:w w:val="98"/>
              </w:rPr>
              <w:t>Nine Months Ended September 30, 2012</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Automotive</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GM Financial</w:t>
            </w:r>
          </w:p>
        </w:tc>
        <w:tc>
          <w:tcPr>
            <w:tcW w:w="12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Eliminations</w:t>
            </w: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Automotive</w:t>
            </w:r>
          </w:p>
        </w:tc>
        <w:tc>
          <w:tcPr>
            <w:tcW w:w="10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GM Financial</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Automotive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112,712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20"/>
                <w:szCs w:val="20"/>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112,704</w:t>
            </w:r>
          </w:p>
        </w:tc>
        <w:tc>
          <w:tcPr>
            <w:tcW w:w="120" w:type="dxa"/>
            <w:vAlign w:val="bottom"/>
          </w:tcPr>
          <w:p>
            <w:pPr>
              <w:spacing w:after="0"/>
              <w:rPr>
                <w:sz w:val="20"/>
                <w:szCs w:val="2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111,516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111,517</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2,243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2,238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1,432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1,432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ind w:left="140"/>
              <w:spacing w:after="0"/>
              <w:rPr>
                <w:sz w:val="20"/>
                <w:szCs w:val="20"/>
                <w:color w:val="auto"/>
              </w:rPr>
            </w:pPr>
            <w:r>
              <w:rPr>
                <w:rFonts w:ascii="Arial" w:cs="Arial" w:eastAsia="Arial" w:hAnsi="Arial"/>
                <w:sz w:val="10"/>
                <w:szCs w:val="10"/>
                <w:color w:val="auto"/>
              </w:rPr>
              <w:t>Total</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112,712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2,243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114,942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111,516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1,432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112,949</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Costs and expenses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Automotive cost of sales</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99,609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99,607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98,314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98,323</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GM Financial operating and other expenses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1,570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1,556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834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827</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Automotive selling, general and administrative expense</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8,753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8,753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8,684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8,684</w:t>
            </w:r>
          </w:p>
        </w:tc>
        <w:tc>
          <w:tcPr>
            <w:tcW w:w="0" w:type="dxa"/>
            <w:vAlign w:val="bottom"/>
          </w:tcPr>
          <w:p>
            <w:pPr>
              <w:spacing w:after="0"/>
              <w:rPr>
                <w:sz w:val="1"/>
                <w:szCs w:val="1"/>
                <w:color w:val="auto"/>
              </w:rPr>
            </w:pPr>
          </w:p>
        </w:tc>
      </w:tr>
      <w:tr>
        <w:trPr>
          <w:trHeight w:val="241"/>
        </w:trPr>
        <w:tc>
          <w:tcPr>
            <w:tcW w:w="3300" w:type="dxa"/>
            <w:vAlign w:val="bottom"/>
          </w:tcPr>
          <w:p>
            <w:pPr>
              <w:ind w:left="140"/>
              <w:spacing w:after="0"/>
              <w:rPr>
                <w:sz w:val="20"/>
                <w:szCs w:val="20"/>
                <w:color w:val="auto"/>
              </w:rPr>
            </w:pPr>
            <w:r>
              <w:rPr>
                <w:rFonts w:ascii="Arial" w:cs="Arial" w:eastAsia="Arial" w:hAnsi="Arial"/>
                <w:sz w:val="10"/>
                <w:szCs w:val="10"/>
                <w:color w:val="auto"/>
              </w:rPr>
              <w:t>Goodwill impairment charges</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695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ind w:left="140"/>
              <w:spacing w:after="0"/>
              <w:rPr>
                <w:sz w:val="20"/>
                <w:szCs w:val="20"/>
                <w:color w:val="auto"/>
              </w:rPr>
            </w:pPr>
            <w:r>
              <w:rPr>
                <w:rFonts w:ascii="Arial" w:cs="Arial" w:eastAsia="Arial" w:hAnsi="Arial"/>
                <w:sz w:val="10"/>
                <w:szCs w:val="10"/>
                <w:color w:val="auto"/>
              </w:rPr>
              <w:t>Total costs and expenses</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108,422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109,976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107,693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834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108,529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ind w:left="300"/>
              <w:spacing w:after="0"/>
              <w:rPr>
                <w:sz w:val="20"/>
                <w:szCs w:val="20"/>
                <w:color w:val="auto"/>
              </w:rPr>
            </w:pPr>
            <w:r>
              <w:rPr>
                <w:rFonts w:ascii="Arial" w:cs="Arial" w:eastAsia="Arial" w:hAnsi="Arial"/>
                <w:sz w:val="10"/>
                <w:szCs w:val="10"/>
                <w:color w:val="auto"/>
              </w:rPr>
              <w:t>Operating income</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4,290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673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4,966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3,823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598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4,420</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356</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Interest income and other non-operating income, net</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732</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Loss on extinguishment of debt</w:t>
            </w: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tcPr>
          <w:p>
            <w:pPr>
              <w:spacing w:after="0"/>
              <w:rPr>
                <w:sz w:val="20"/>
                <w:szCs w:val="20"/>
                <w:color w:val="auto"/>
              </w:rPr>
            </w:pPr>
            <w:r>
              <w:rPr>
                <w:rFonts w:ascii="Arial" w:cs="Arial" w:eastAsia="Arial" w:hAnsi="Arial"/>
                <w:sz w:val="10"/>
                <w:szCs w:val="10"/>
                <w:color w:val="auto"/>
              </w:rPr>
              <w:t>Income before income taxes and equity income</w:t>
            </w: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4,176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673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4,851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4,181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598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4,778</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Income tax expense</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1,760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1,993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254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814</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Equity income, net of tax</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1,141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3,836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441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4,278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4,762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344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5,105</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4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300" w:type="dxa"/>
            <w:vAlign w:val="bottom"/>
          </w:tcPr>
          <w:p>
            <w:pPr>
              <w:spacing w:after="0"/>
              <w:rPr>
                <w:sz w:val="20"/>
                <w:szCs w:val="20"/>
                <w:color w:val="auto"/>
              </w:rPr>
            </w:pPr>
            <w:r>
              <w:rPr>
                <w:rFonts w:ascii="Arial" w:cs="Arial" w:eastAsia="Arial" w:hAnsi="Arial"/>
                <w:sz w:val="10"/>
                <w:szCs w:val="10"/>
                <w:b w:val="1"/>
                <w:bCs w:val="1"/>
                <w:color w:val="auto"/>
              </w:rPr>
              <w:t>Net income attributable to stockholders</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3,864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4,306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4,651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344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4,994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60" w:top="533" w:right="219" w:bottom="1440" w:gutter="0" w:footer="0" w:header="0"/>
        </w:sectPr>
      </w:pPr>
    </w:p>
    <w:bookmarkStart w:id="13" w:name="page14"/>
    <w:bookmarkEnd w:id="13"/>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4" w:right="140" w:firstLine="145"/>
        <w:spacing w:after="0" w:line="268" w:lineRule="auto"/>
        <w:rPr>
          <w:sz w:val="20"/>
          <w:szCs w:val="20"/>
          <w:color w:val="auto"/>
        </w:rPr>
      </w:pPr>
      <w:r>
        <w:rPr>
          <w:rFonts w:ascii="Arial" w:cs="Arial" w:eastAsia="Arial" w:hAnsi="Arial"/>
          <w:sz w:val="14"/>
          <w:szCs w:val="14"/>
          <w:color w:val="auto"/>
        </w:rPr>
        <w:t>In the three and nine months ended September 30, 2012 GM was required to use the two-class method for calculating earnings per share as the applicable market value of its common stock was below $33.00 per common share. In the three and nine months ended September 30, 2013 GM was required to use the if-converted method for calculating earnings per share as the applicable market value of its common stock was within the price range of $33.00 to $39.60 per common share.</w:t>
      </w:r>
    </w:p>
    <w:p>
      <w:pPr>
        <w:spacing w:after="0" w:line="16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(in millions, except per share amounts):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3"/>
                <w:szCs w:val="13"/>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2013</w:t>
            </w:r>
          </w:p>
        </w:tc>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2013</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3"/>
              </w:rPr>
              <w:t>September 30, 2012</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0"/>
                <w:szCs w:val="20"/>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6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color w:val="auto"/>
                <w:w w:val="94"/>
              </w:rPr>
              <w:t>Less: cumulative dividends on preferred stock and charge related to purchase of preferred</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6"/>
                <w:szCs w:val="16"/>
                <w:color w:val="auto"/>
              </w:rPr>
              <w:t>stock(a)</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w w:val="97"/>
              </w:rPr>
              <w:t>Less: undistributed earnings allocated to Series B Preferred Stock participating security</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2,857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3,967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6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0"/>
                <w:szCs w:val="20"/>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6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Add: preferred dividends to holders of Series B Preferred Stock</w:t>
            </w:r>
          </w:p>
        </w:tc>
        <w:tc>
          <w:tcPr>
            <w:tcW w:w="10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color w:val="auto"/>
                <w:w w:val="94"/>
              </w:rPr>
              <w:t>Less: cumulative dividends on preferred stock and charge related to purchase of preferred</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6"/>
                <w:szCs w:val="16"/>
                <w:color w:val="auto"/>
              </w:rPr>
              <w:t>stock(a)</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w w:val="97"/>
              </w:rPr>
              <w:t>Less: undistributed earnings allocated to Series B Preferred Stock participating security</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shares outstanding - diluted</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10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10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Dilutive effect of conversion of Series B Preferred Stock</w:t>
            </w:r>
          </w:p>
        </w:tc>
        <w:tc>
          <w:tcPr>
            <w:tcW w:w="10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Dilutive effect of restricted stock units</w:t>
            </w:r>
          </w:p>
        </w:tc>
        <w:tc>
          <w:tcPr>
            <w:tcW w:w="10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6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1"/>
        </w:trPr>
        <w:tc>
          <w:tcPr>
            <w:tcW w:w="606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4" w:right="20" w:hanging="284"/>
        <w:spacing w:after="0" w:line="238"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earned but undistributed dividends of $15 million and $26 million on GM's Series A Preferred Stock and $20 million on GM's Series B Preferred Stock in the three and nine months ended September 30,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4"/>
          </w:cols>
          <w:pgMar w:left="236" w:top="533" w:right="219" w:bottom="1440" w:gutter="0" w:footer="0" w:header="0"/>
        </w:sectPr>
      </w:pPr>
    </w:p>
    <w:bookmarkStart w:id="14" w:name="page15"/>
    <w:bookmarkEnd w:id="14"/>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Consolidating Balance Sheets</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87"/>
              </w:rPr>
              <w:t>September 30, 2013</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5"/>
          </w:tcPr>
          <w:p>
            <w:pPr>
              <w:ind w:left="500"/>
              <w:spacing w:after="0"/>
              <w:rPr>
                <w:sz w:val="20"/>
                <w:szCs w:val="20"/>
                <w:color w:val="auto"/>
              </w:rPr>
            </w:pPr>
            <w:r>
              <w:rPr>
                <w:rFonts w:ascii="Arial" w:cs="Arial" w:eastAsia="Arial" w:hAnsi="Arial"/>
                <w:sz w:val="10"/>
                <w:szCs w:val="10"/>
                <w:b w:val="1"/>
                <w:bCs w:val="1"/>
                <w:color w:val="auto"/>
              </w:rPr>
              <w:t>December 31, 2012</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Automotive</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GM Financial</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Automotive</w:t>
            </w:r>
          </w:p>
        </w:tc>
        <w:tc>
          <w:tcPr>
            <w:tcW w:w="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0"/>
                <w:szCs w:val="10"/>
                <w:b w:val="1"/>
                <w:bCs w:val="1"/>
                <w:color w:val="auto"/>
              </w:rPr>
              <w:t>GM Financial</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680"/>
              <w:spacing w:after="0"/>
              <w:rPr>
                <w:sz w:val="20"/>
                <w:szCs w:val="20"/>
                <w:color w:val="auto"/>
              </w:rPr>
            </w:pPr>
            <w:r>
              <w:rPr>
                <w:rFonts w:ascii="Arial" w:cs="Arial" w:eastAsia="Arial" w:hAnsi="Arial"/>
                <w:sz w:val="10"/>
                <w:szCs w:val="10"/>
                <w:b w:val="1"/>
                <w:bCs w:val="1"/>
                <w:color w:val="auto"/>
              </w:rPr>
              <w:t>ASSETS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120"/>
              <w:spacing w:after="0"/>
              <w:rPr>
                <w:sz w:val="20"/>
                <w:szCs w:val="20"/>
                <w:color w:val="auto"/>
              </w:rPr>
            </w:pPr>
            <w:r>
              <w:rPr>
                <w:rFonts w:ascii="Arial" w:cs="Arial" w:eastAsia="Arial" w:hAnsi="Arial"/>
                <w:sz w:val="10"/>
                <w:szCs w:val="10"/>
                <w:color w:val="auto"/>
              </w:rPr>
              <w:t>Cash and cash equivalents</w:t>
            </w: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18,599</w:t>
            </w:r>
          </w:p>
        </w:tc>
        <w:tc>
          <w:tcPr>
            <w:tcW w:w="120" w:type="dxa"/>
            <w:vAlign w:val="bottom"/>
          </w:tcPr>
          <w:p>
            <w:pPr>
              <w:spacing w:after="0"/>
              <w:rPr>
                <w:sz w:val="20"/>
                <w:szCs w:val="2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1,756</w:t>
            </w:r>
          </w:p>
        </w:tc>
        <w:tc>
          <w:tcPr>
            <w:tcW w:w="120" w:type="dxa"/>
            <w:vAlign w:val="bottom"/>
          </w:tcPr>
          <w:p>
            <w:pPr>
              <w:spacing w:after="0"/>
              <w:rPr>
                <w:sz w:val="20"/>
                <w:szCs w:val="20"/>
                <w:color w:val="auto"/>
              </w:rPr>
            </w:pPr>
          </w:p>
        </w:tc>
        <w:tc>
          <w:tcPr>
            <w:tcW w:w="140" w:type="dxa"/>
            <w:vAlign w:val="bottom"/>
            <w:vMerge w:val="restart"/>
          </w:tcPr>
          <w:p>
            <w:pPr>
              <w:jc w:val="center"/>
              <w:ind w:right="12"/>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20,355</w:t>
            </w:r>
          </w:p>
        </w:tc>
        <w:tc>
          <w:tcPr>
            <w:tcW w:w="100" w:type="dxa"/>
            <w:vAlign w:val="bottom"/>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17,133</w:t>
            </w:r>
          </w:p>
        </w:tc>
        <w:tc>
          <w:tcPr>
            <w:tcW w:w="10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1,289</w:t>
            </w:r>
          </w:p>
        </w:tc>
        <w:tc>
          <w:tcPr>
            <w:tcW w:w="120" w:type="dxa"/>
            <w:vAlign w:val="bottom"/>
          </w:tcPr>
          <w:p>
            <w:pPr>
              <w:spacing w:after="0"/>
              <w:rPr>
                <w:sz w:val="20"/>
                <w:szCs w:val="2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18,422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Marketable securities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8,215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8,215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8,988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8,988</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Restricted cash and marketable securities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908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466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686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120"/>
              <w:spacing w:after="0"/>
              <w:rPr>
                <w:sz w:val="20"/>
                <w:szCs w:val="20"/>
                <w:color w:val="auto"/>
              </w:rPr>
            </w:pPr>
            <w:r>
              <w:rPr>
                <w:rFonts w:ascii="Arial" w:cs="Arial" w:eastAsia="Arial" w:hAnsi="Arial"/>
                <w:sz w:val="10"/>
                <w:szCs w:val="10"/>
                <w:color w:val="auto"/>
              </w:rPr>
              <w:t>Accounts and notes receivable, net</w:t>
            </w:r>
          </w:p>
        </w:tc>
        <w:tc>
          <w:tcPr>
            <w:tcW w:w="1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11,348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771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(1,052)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11,067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10,384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10,395</w:t>
            </w: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11,062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(52)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11,010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4,089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4,044</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Inventories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15,356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15,357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14,714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14,714</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2,559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2,559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1,782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1,782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9,789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79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9,868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9,369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59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9,429</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Other current assets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1,671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1,774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1,487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1,536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Arial" w:cs="Arial" w:eastAsia="Arial" w:hAnsi="Arial"/>
                <w:sz w:val="10"/>
                <w:szCs w:val="10"/>
                <w:color w:val="auto"/>
              </w:rPr>
              <w:t>Total current assets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67,589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14,676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(1,101)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81,164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64,077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5,997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(78)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69,996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120"/>
              <w:spacing w:after="0"/>
              <w:rPr>
                <w:sz w:val="20"/>
                <w:szCs w:val="20"/>
                <w:color w:val="auto"/>
              </w:rPr>
            </w:pPr>
            <w:r>
              <w:rPr>
                <w:rFonts w:ascii="Arial" w:cs="Arial" w:eastAsia="Arial" w:hAnsi="Arial"/>
                <w:sz w:val="10"/>
                <w:szCs w:val="10"/>
                <w:color w:val="auto"/>
              </w:rPr>
              <w:t>Restricted cash and marketable securities</w:t>
            </w:r>
          </w:p>
        </w:tc>
        <w:tc>
          <w:tcPr>
            <w:tcW w:w="120" w:type="dxa"/>
            <w:vAlign w:val="bottom"/>
          </w:tcPr>
          <w:p>
            <w:pPr>
              <w:spacing w:after="0"/>
              <w:rPr>
                <w:sz w:val="20"/>
                <w:szCs w:val="2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520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676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380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682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12,222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12,222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6,955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6,954</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Equity in net assets of nonconsolidated affiliates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7,897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7,897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6,883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6,883</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Property, net</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26,124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26,247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24,144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24,196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Goodwill</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619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1,334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1,953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695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1,278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1,973</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Intangible assets, net</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6,355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6,364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6,809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6,809</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GM Financial equipment on operating leases, net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3,100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3,100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1,703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1,649</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26,092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0"/>
                <w:szCs w:val="10"/>
                <w:color w:val="auto"/>
              </w:rPr>
              <w:t>(72)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26,020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27,883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38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27,922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Other assets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3,407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88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(599)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2,896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2,873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(558)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2,358</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Arial" w:cs="Arial" w:eastAsia="Arial" w:hAnsi="Arial"/>
                <w:sz w:val="10"/>
                <w:szCs w:val="10"/>
                <w:color w:val="auto"/>
              </w:rPr>
              <w:t>Total non-current assets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70,650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17,324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(599)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87,375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69,667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10,371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(612)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79,426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138,239</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32,000</w:t>
            </w:r>
          </w:p>
        </w:tc>
        <w:tc>
          <w:tcPr>
            <w:tcW w:w="120" w:type="dxa"/>
            <w:vAlign w:val="bottom"/>
          </w:tcPr>
          <w:p>
            <w:pPr>
              <w:spacing w:after="0"/>
              <w:rPr>
                <w:sz w:val="10"/>
                <w:szCs w:val="10"/>
                <w:color w:val="auto"/>
              </w:rPr>
            </w:pPr>
          </w:p>
        </w:tc>
        <w:tc>
          <w:tcPr>
            <w:tcW w:w="140" w:type="dxa"/>
            <w:vAlign w:val="bottom"/>
            <w:vMerge w:val="restart"/>
          </w:tcPr>
          <w:p>
            <w:pPr>
              <w:jc w:val="center"/>
              <w:ind w:right="12"/>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(1,700)</w:t>
            </w:r>
          </w:p>
        </w:tc>
        <w:tc>
          <w:tcPr>
            <w:tcW w:w="120" w:type="dxa"/>
            <w:vAlign w:val="bottom"/>
          </w:tcPr>
          <w:p>
            <w:pPr>
              <w:spacing w:after="0"/>
              <w:rPr>
                <w:sz w:val="10"/>
                <w:szCs w:val="10"/>
                <w:color w:val="auto"/>
              </w:rPr>
            </w:pP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168,539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133,744</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16,368</w:t>
            </w:r>
          </w:p>
        </w:tc>
        <w:tc>
          <w:tcPr>
            <w:tcW w:w="12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(690)</w:t>
            </w:r>
          </w:p>
        </w:tc>
        <w:tc>
          <w:tcPr>
            <w:tcW w:w="12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149,422</w:t>
            </w:r>
          </w:p>
        </w:tc>
        <w:tc>
          <w:tcPr>
            <w:tcW w:w="0" w:type="dxa"/>
            <w:vAlign w:val="bottom"/>
          </w:tcPr>
          <w:p>
            <w:pPr>
              <w:spacing w:after="0"/>
              <w:rPr>
                <w:sz w:val="1"/>
                <w:szCs w:val="1"/>
                <w:color w:val="auto"/>
              </w:rPr>
            </w:pPr>
          </w:p>
        </w:tc>
      </w:tr>
      <w:tr>
        <w:trPr>
          <w:trHeight w:val="72"/>
        </w:trPr>
        <w:tc>
          <w:tcPr>
            <w:tcW w:w="37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4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60" w:type="dxa"/>
            <w:vAlign w:val="bottom"/>
          </w:tcPr>
          <w:p>
            <w:pPr>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120"/>
              <w:spacing w:after="0"/>
              <w:rPr>
                <w:sz w:val="20"/>
                <w:szCs w:val="20"/>
                <w:color w:val="auto"/>
              </w:rPr>
            </w:pPr>
            <w:r>
              <w:rPr>
                <w:rFonts w:ascii="Arial" w:cs="Arial" w:eastAsia="Arial" w:hAnsi="Arial"/>
                <w:sz w:val="10"/>
                <w:szCs w:val="10"/>
                <w:color w:val="auto"/>
              </w:rPr>
              <w:t>Accounts payable (principally trade)</w:t>
            </w: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27,042</w:t>
            </w:r>
          </w:p>
        </w:tc>
        <w:tc>
          <w:tcPr>
            <w:tcW w:w="120" w:type="dxa"/>
            <w:vAlign w:val="bottom"/>
          </w:tcPr>
          <w:p>
            <w:pPr>
              <w:spacing w:after="0"/>
              <w:rPr>
                <w:sz w:val="20"/>
                <w:szCs w:val="2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583</w:t>
            </w:r>
          </w:p>
        </w:tc>
        <w:tc>
          <w:tcPr>
            <w:tcW w:w="120" w:type="dxa"/>
            <w:vAlign w:val="bottom"/>
          </w:tcPr>
          <w:p>
            <w:pPr>
              <w:spacing w:after="0"/>
              <w:rPr>
                <w:sz w:val="20"/>
                <w:szCs w:val="20"/>
                <w:color w:val="auto"/>
              </w:rPr>
            </w:pPr>
          </w:p>
        </w:tc>
        <w:tc>
          <w:tcPr>
            <w:tcW w:w="140" w:type="dxa"/>
            <w:vAlign w:val="bottom"/>
            <w:vMerge w:val="restart"/>
          </w:tcPr>
          <w:p>
            <w:pPr>
              <w:jc w:val="center"/>
              <w:ind w:right="12"/>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(383)</w:t>
            </w:r>
          </w:p>
        </w:tc>
        <w:tc>
          <w:tcPr>
            <w:tcW w:w="120" w:type="dxa"/>
            <w:vAlign w:val="bottom"/>
          </w:tcPr>
          <w:p>
            <w:pPr>
              <w:spacing w:after="0"/>
              <w:rPr>
                <w:sz w:val="20"/>
                <w:szCs w:val="20"/>
                <w:color w:val="auto"/>
              </w:rPr>
            </w:pP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27,242</w:t>
            </w:r>
          </w:p>
        </w:tc>
        <w:tc>
          <w:tcPr>
            <w:tcW w:w="100" w:type="dxa"/>
            <w:vAlign w:val="bottom"/>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25,132</w:t>
            </w:r>
          </w:p>
        </w:tc>
        <w:tc>
          <w:tcPr>
            <w:tcW w:w="10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57</w:t>
            </w:r>
          </w:p>
        </w:tc>
        <w:tc>
          <w:tcPr>
            <w:tcW w:w="120" w:type="dxa"/>
            <w:vAlign w:val="bottom"/>
          </w:tcPr>
          <w:p>
            <w:pPr>
              <w:spacing w:after="0"/>
              <w:rPr>
                <w:sz w:val="20"/>
                <w:szCs w:val="2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20"/>
                <w:szCs w:val="2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25,166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Short-term debt and current portion of long-term debt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26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20"/>
                <w:szCs w:val="2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2,425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(639)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1,786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1,792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1,748</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26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9,653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9,653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3,770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3,770</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Accrued liabilities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23,511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451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23,882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23,168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23,308</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Arial" w:cs="Arial" w:eastAsia="Arial" w:hAnsi="Arial"/>
                <w:sz w:val="10"/>
                <w:szCs w:val="10"/>
                <w:color w:val="auto"/>
              </w:rPr>
              <w:t>Total current liabilities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52,978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10,687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(1,102)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62,563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50,092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3,997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(97)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53,992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120"/>
              <w:spacing w:after="0"/>
              <w:rPr>
                <w:sz w:val="20"/>
                <w:szCs w:val="20"/>
                <w:color w:val="auto"/>
              </w:rPr>
            </w:pPr>
            <w:r>
              <w:rPr>
                <w:rFonts w:ascii="Arial" w:cs="Arial" w:eastAsia="Arial" w:hAnsi="Arial"/>
                <w:sz w:val="10"/>
                <w:szCs w:val="10"/>
                <w:color w:val="auto"/>
              </w:rPr>
              <w:t>Long-term debt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26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20"/>
                <w:szCs w:val="2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6,663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6,662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3,425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3,424</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26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14,022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14,022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7,108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7,108</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6,855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6,855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7,309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7,309</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Pensions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26,923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27,030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27,420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27,420</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0"/>
                <w:szCs w:val="10"/>
                <w:color w:val="auto"/>
              </w:rPr>
              <w:t>Other liabilities and deferred income taxes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13,789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853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(596)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14,046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13,048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712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(591)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13,169</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54,230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14,983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(598)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68,615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51,202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7,820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(592)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58,430</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Total Liabilities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107,208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25,670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(1,700)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131,178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101,294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11,817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(689)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112,422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0"/>
                <w:szCs w:val="10"/>
                <w:b w:val="1"/>
                <w:bCs w:val="1"/>
                <w:color w:val="auto"/>
              </w:rPr>
              <w:t>Equity</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80"/>
              <w:spacing w:after="0"/>
              <w:rPr>
                <w:sz w:val="20"/>
                <w:szCs w:val="20"/>
                <w:color w:val="auto"/>
              </w:rPr>
            </w:pPr>
            <w:r>
              <w:rPr>
                <w:rFonts w:ascii="Arial" w:cs="Arial" w:eastAsia="Arial" w:hAnsi="Arial"/>
                <w:sz w:val="10"/>
                <w:szCs w:val="10"/>
                <w:color w:val="auto"/>
              </w:rPr>
              <w:t>Preferred stock, $0.01 par value</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3760" w:type="dxa"/>
            <w:vAlign w:val="bottom"/>
          </w:tcPr>
          <w:p>
            <w:pPr>
              <w:ind w:left="120"/>
              <w:spacing w:after="0"/>
              <w:rPr>
                <w:sz w:val="20"/>
                <w:szCs w:val="20"/>
                <w:color w:val="auto"/>
              </w:rPr>
            </w:pPr>
            <w:r>
              <w:rPr>
                <w:rFonts w:ascii="Arial" w:cs="Arial" w:eastAsia="Arial" w:hAnsi="Arial"/>
                <w:sz w:val="10"/>
                <w:szCs w:val="10"/>
                <w:color w:val="auto"/>
              </w:rPr>
              <w:t>Series A</w:t>
            </w:r>
          </w:p>
        </w:tc>
        <w:tc>
          <w:tcPr>
            <w:tcW w:w="12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3,109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5,536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5,536</w:t>
            </w:r>
          </w:p>
        </w:tc>
        <w:tc>
          <w:tcPr>
            <w:tcW w:w="0" w:type="dxa"/>
            <w:vAlign w:val="bottom"/>
          </w:tcPr>
          <w:p>
            <w:pPr>
              <w:spacing w:after="0"/>
              <w:rPr>
                <w:sz w:val="1"/>
                <w:szCs w:val="1"/>
                <w:color w:val="auto"/>
              </w:rPr>
            </w:pPr>
          </w:p>
        </w:tc>
      </w:tr>
      <w:tr>
        <w:trPr>
          <w:trHeight w:val="241"/>
        </w:trPr>
        <w:tc>
          <w:tcPr>
            <w:tcW w:w="3760" w:type="dxa"/>
            <w:vAlign w:val="bottom"/>
          </w:tcPr>
          <w:p>
            <w:pPr>
              <w:ind w:left="120"/>
              <w:spacing w:after="0"/>
              <w:rPr>
                <w:sz w:val="20"/>
                <w:szCs w:val="20"/>
                <w:color w:val="auto"/>
              </w:rPr>
            </w:pPr>
            <w:r>
              <w:rPr>
                <w:rFonts w:ascii="Arial" w:cs="Arial" w:eastAsia="Arial" w:hAnsi="Arial"/>
                <w:sz w:val="10"/>
                <w:szCs w:val="10"/>
                <w:color w:val="auto"/>
              </w:rPr>
              <w:t>Series B</w:t>
            </w:r>
          </w:p>
        </w:tc>
        <w:tc>
          <w:tcPr>
            <w:tcW w:w="1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4,855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4,855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4,855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4,855</w:t>
            </w:r>
          </w:p>
        </w:tc>
        <w:tc>
          <w:tcPr>
            <w:tcW w:w="0" w:type="dxa"/>
            <w:vAlign w:val="bottom"/>
          </w:tcPr>
          <w:p>
            <w:pPr>
              <w:spacing w:after="0"/>
              <w:rPr>
                <w:sz w:val="1"/>
                <w:szCs w:val="1"/>
                <w:color w:val="auto"/>
              </w:rPr>
            </w:pPr>
          </w:p>
        </w:tc>
      </w:tr>
      <w:tr>
        <w:trPr>
          <w:trHeight w:val="241"/>
        </w:trPr>
        <w:tc>
          <w:tcPr>
            <w:tcW w:w="3760" w:type="dxa"/>
            <w:vAlign w:val="bottom"/>
          </w:tcPr>
          <w:p>
            <w:pPr>
              <w:ind w:left="40"/>
              <w:spacing w:after="0"/>
              <w:rPr>
                <w:sz w:val="20"/>
                <w:szCs w:val="20"/>
                <w:color w:val="auto"/>
              </w:rPr>
            </w:pPr>
            <w:r>
              <w:rPr>
                <w:rFonts w:ascii="Arial" w:cs="Arial" w:eastAsia="Arial" w:hAnsi="Arial"/>
                <w:sz w:val="10"/>
                <w:szCs w:val="10"/>
                <w:color w:val="auto"/>
              </w:rPr>
              <w:t>Common stock, $0.01 par value</w:t>
            </w:r>
          </w:p>
        </w:tc>
        <w:tc>
          <w:tcPr>
            <w:tcW w:w="1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57"/>
        </w:trPr>
        <w:tc>
          <w:tcPr>
            <w:tcW w:w="376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23,878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23,878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23,834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23,834</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6,600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6,303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12,903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5,503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4,554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10,057</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80"/>
              <w:spacing w:after="0"/>
              <w:rPr>
                <w:sz w:val="20"/>
                <w:szCs w:val="20"/>
                <w:color w:val="auto"/>
              </w:rPr>
            </w:pPr>
            <w:r>
              <w:rPr>
                <w:rFonts w:ascii="Arial" w:cs="Arial" w:eastAsia="Arial" w:hAnsi="Arial"/>
                <w:sz w:val="10"/>
                <w:szCs w:val="10"/>
                <w:color w:val="auto"/>
              </w:rPr>
              <w:t>Accumulated other comprehensive income (loss)</w:t>
            </w:r>
          </w:p>
        </w:tc>
        <w:tc>
          <w:tcPr>
            <w:tcW w:w="120" w:type="dxa"/>
            <w:vAlign w:val="bottom"/>
          </w:tcPr>
          <w:p>
            <w:pPr>
              <w:spacing w:after="0"/>
              <w:rPr>
                <w:sz w:val="13"/>
                <w:szCs w:val="13"/>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(8,008)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(7,981)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0"/>
                <w:szCs w:val="10"/>
                <w:color w:val="auto"/>
              </w:rPr>
              <w:t>(8,048)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0"/>
                <w:szCs w:val="10"/>
                <w:color w:val="auto"/>
              </w:rPr>
              <w:t>(8,052)</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8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30,448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6,330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36,778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31,694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4,551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36,244</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80"/>
              <w:spacing w:after="0"/>
              <w:rPr>
                <w:sz w:val="20"/>
                <w:szCs w:val="20"/>
                <w:color w:val="auto"/>
              </w:rPr>
            </w:pPr>
            <w:r>
              <w:rPr>
                <w:rFonts w:ascii="Arial" w:cs="Arial" w:eastAsia="Arial" w:hAnsi="Arial"/>
                <w:sz w:val="10"/>
                <w:szCs w:val="10"/>
                <w:color w:val="auto"/>
              </w:rPr>
              <w:t>Noncontrolling interests</w:t>
            </w:r>
          </w:p>
        </w:tc>
        <w:tc>
          <w:tcPr>
            <w:tcW w:w="12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583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583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756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756</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31,031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6,330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37,361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32,450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4,551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37,000</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Total 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72"/>
              <w:spacing w:after="0"/>
              <w:rPr>
                <w:sz w:val="20"/>
                <w:szCs w:val="20"/>
                <w:color w:val="auto"/>
              </w:rPr>
            </w:pPr>
            <w:r>
              <w:rPr>
                <w:rFonts w:ascii="Arial" w:cs="Arial" w:eastAsia="Arial" w:hAnsi="Arial"/>
                <w:sz w:val="10"/>
                <w:szCs w:val="10"/>
                <w:color w:val="auto"/>
              </w:rPr>
              <w:t>138,239</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ind w:right="72"/>
              <w:spacing w:after="0"/>
              <w:rPr>
                <w:sz w:val="20"/>
                <w:szCs w:val="20"/>
                <w:color w:val="auto"/>
              </w:rPr>
            </w:pPr>
            <w:r>
              <w:rPr>
                <w:rFonts w:ascii="Arial" w:cs="Arial" w:eastAsia="Arial" w:hAnsi="Arial"/>
                <w:sz w:val="10"/>
                <w:szCs w:val="10"/>
                <w:color w:val="auto"/>
              </w:rPr>
              <w:t>32,000</w:t>
            </w:r>
          </w:p>
        </w:tc>
        <w:tc>
          <w:tcPr>
            <w:tcW w:w="120" w:type="dxa"/>
            <w:vAlign w:val="bottom"/>
          </w:tcPr>
          <w:p>
            <w:pPr>
              <w:spacing w:after="0"/>
              <w:rPr>
                <w:sz w:val="10"/>
                <w:szCs w:val="10"/>
                <w:color w:val="auto"/>
              </w:rPr>
            </w:pPr>
          </w:p>
        </w:tc>
        <w:tc>
          <w:tcPr>
            <w:tcW w:w="140" w:type="dxa"/>
            <w:vAlign w:val="bottom"/>
            <w:vMerge w:val="restart"/>
          </w:tcPr>
          <w:p>
            <w:pPr>
              <w:jc w:val="center"/>
              <w:ind w:right="12"/>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ind w:right="32"/>
              <w:spacing w:after="0"/>
              <w:rPr>
                <w:sz w:val="20"/>
                <w:szCs w:val="20"/>
                <w:color w:val="auto"/>
              </w:rPr>
            </w:pPr>
            <w:r>
              <w:rPr>
                <w:rFonts w:ascii="Arial" w:cs="Arial" w:eastAsia="Arial" w:hAnsi="Arial"/>
                <w:sz w:val="10"/>
                <w:szCs w:val="10"/>
                <w:color w:val="auto"/>
              </w:rPr>
              <w:t>(1,700)</w:t>
            </w:r>
          </w:p>
        </w:tc>
        <w:tc>
          <w:tcPr>
            <w:tcW w:w="120" w:type="dxa"/>
            <w:vAlign w:val="bottom"/>
          </w:tcPr>
          <w:p>
            <w:pPr>
              <w:spacing w:after="0"/>
              <w:rPr>
                <w:sz w:val="10"/>
                <w:szCs w:val="10"/>
                <w:color w:val="auto"/>
              </w:rPr>
            </w:pP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2"/>
              <w:spacing w:after="0"/>
              <w:rPr>
                <w:sz w:val="20"/>
                <w:szCs w:val="20"/>
                <w:color w:val="auto"/>
              </w:rPr>
            </w:pPr>
            <w:r>
              <w:rPr>
                <w:rFonts w:ascii="Arial" w:cs="Arial" w:eastAsia="Arial" w:hAnsi="Arial"/>
                <w:sz w:val="10"/>
                <w:szCs w:val="10"/>
                <w:color w:val="auto"/>
              </w:rPr>
              <w:t>168,539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133,744</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16,368</w:t>
            </w:r>
          </w:p>
        </w:tc>
        <w:tc>
          <w:tcPr>
            <w:tcW w:w="12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32"/>
              <w:spacing w:after="0"/>
              <w:rPr>
                <w:sz w:val="20"/>
                <w:szCs w:val="20"/>
                <w:color w:val="auto"/>
              </w:rPr>
            </w:pPr>
            <w:r>
              <w:rPr>
                <w:rFonts w:ascii="Arial" w:cs="Arial" w:eastAsia="Arial" w:hAnsi="Arial"/>
                <w:sz w:val="10"/>
                <w:szCs w:val="10"/>
                <w:color w:val="auto"/>
              </w:rPr>
              <w:t>(690)</w:t>
            </w:r>
          </w:p>
        </w:tc>
        <w:tc>
          <w:tcPr>
            <w:tcW w:w="12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149,422</w:t>
            </w:r>
          </w:p>
        </w:tc>
        <w:tc>
          <w:tcPr>
            <w:tcW w:w="0" w:type="dxa"/>
            <w:vAlign w:val="bottom"/>
          </w:tcPr>
          <w:p>
            <w:pPr>
              <w:spacing w:after="0"/>
              <w:rPr>
                <w:sz w:val="1"/>
                <w:szCs w:val="1"/>
                <w:color w:val="auto"/>
              </w:rPr>
            </w:pPr>
          </w:p>
        </w:tc>
      </w:tr>
      <w:tr>
        <w:trPr>
          <w:trHeight w:val="72"/>
        </w:trPr>
        <w:tc>
          <w:tcPr>
            <w:tcW w:w="37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33" w:right="259" w:bottom="1125"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60" w:top="533" w:right="259" w:bottom="1125"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cash provided by operating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flows from investing activities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Expenditures for property</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Available-for-sale marketable securities, acquisitions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Trading marketable securities, acquisitions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Available-for-sale marketable securities, liquidations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Trading marketable securities, liquidations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Acquisition of companies, net of cash acquired</w:t>
      </w:r>
    </w:p>
    <w:p>
      <w:pPr>
        <w:spacing w:after="0" w:line="115" w:lineRule="exact"/>
        <w:rPr>
          <w:sz w:val="20"/>
          <w:szCs w:val="20"/>
          <w:color w:val="auto"/>
        </w:rPr>
      </w:pPr>
    </w:p>
    <w:p>
      <w:pPr>
        <w:ind w:left="140" w:right="620"/>
        <w:spacing w:after="0" w:line="457" w:lineRule="auto"/>
        <w:rPr>
          <w:sz w:val="20"/>
          <w:szCs w:val="20"/>
          <w:color w:val="auto"/>
        </w:rPr>
      </w:pPr>
      <w:r>
        <w:rPr>
          <w:rFonts w:ascii="Arial" w:cs="Arial" w:eastAsia="Arial" w:hAnsi="Arial"/>
          <w:sz w:val="11"/>
          <w:szCs w:val="11"/>
          <w:color w:val="auto"/>
        </w:rPr>
        <w:t>Proceeds from sale of business units/investments, net of cash disposed Increase in restricted cash and marketable securities</w:t>
      </w:r>
    </w:p>
    <w:p>
      <w:pPr>
        <w:spacing w:after="0" w:line="1" w:lineRule="exact"/>
        <w:rPr>
          <w:sz w:val="20"/>
          <w:szCs w:val="20"/>
          <w:color w:val="auto"/>
        </w:rPr>
      </w:pPr>
    </w:p>
    <w:p>
      <w:pPr>
        <w:ind w:left="140" w:right="1420"/>
        <w:spacing w:after="0" w:line="503" w:lineRule="auto"/>
        <w:rPr>
          <w:sz w:val="20"/>
          <w:szCs w:val="20"/>
          <w:color w:val="auto"/>
        </w:rPr>
      </w:pPr>
      <w:r>
        <w:rPr>
          <w:rFonts w:ascii="Arial" w:cs="Arial" w:eastAsia="Arial" w:hAnsi="Arial"/>
          <w:sz w:val="10"/>
          <w:szCs w:val="10"/>
          <w:color w:val="auto"/>
        </w:rPr>
        <w:t>Decrease in restricted cash and marketable securities Purchases and funding of finance receivables</w:t>
      </w:r>
    </w:p>
    <w:p>
      <w:pPr>
        <w:ind w:left="140" w:right="1160"/>
        <w:spacing w:after="0" w:line="457" w:lineRule="auto"/>
        <w:rPr>
          <w:sz w:val="20"/>
          <w:szCs w:val="20"/>
          <w:color w:val="auto"/>
        </w:rPr>
      </w:pPr>
      <w:r>
        <w:rPr>
          <w:rFonts w:ascii="Arial" w:cs="Arial" w:eastAsia="Arial" w:hAnsi="Arial"/>
          <w:sz w:val="11"/>
          <w:szCs w:val="11"/>
          <w:color w:val="auto"/>
        </w:rPr>
        <w:t>Principal collections and recoveries on finance receivables Purchases of leased vehicles, net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Proceeds from termination of leased vehicles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Decrease (increase) in notes receivable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investing activities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Net cash used in investing activities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flows from financing activities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increase (decrease) in short-term debt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Proceeds from issuance of debt (original maturities greater than three months)</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Payments on debt (original maturities greater than three months)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Payments to purchase stock</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Dividends paid (including charge related to purchase of Series A Preferred Stock)</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financing activities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Net cash provided by (used in) financing activities</w:t>
      </w:r>
    </w:p>
    <w:p>
      <w:pPr>
        <w:spacing w:after="0" w:line="117" w:lineRule="exact"/>
        <w:rPr>
          <w:sz w:val="20"/>
          <w:szCs w:val="20"/>
          <w:color w:val="auto"/>
        </w:rPr>
      </w:pPr>
    </w:p>
    <w:p>
      <w:pPr>
        <w:ind w:left="140" w:right="1040"/>
        <w:spacing w:after="0" w:line="457" w:lineRule="auto"/>
        <w:rPr>
          <w:sz w:val="20"/>
          <w:szCs w:val="20"/>
          <w:color w:val="auto"/>
        </w:rPr>
      </w:pPr>
      <w:r>
        <w:rPr>
          <w:rFonts w:ascii="Arial" w:cs="Arial" w:eastAsia="Arial" w:hAnsi="Arial"/>
          <w:sz w:val="11"/>
          <w:szCs w:val="11"/>
          <w:color w:val="auto"/>
        </w:rPr>
        <w:t>Effect of exchange rate changes on cash and cash equivalents Net transactions with Automotive/GM Financial Net increase in cash and cash equivalents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and cash equivalents at beginning of period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4"/>
          <w:szCs w:val="14"/>
          <w:b w:val="1"/>
          <w:bCs w:val="1"/>
          <w:color w:val="auto"/>
        </w:rPr>
        <w:t>General Motors Company and Subsidiaries</w:t>
      </w:r>
    </w:p>
    <w:p>
      <w:pPr>
        <w:spacing w:after="0" w:line="48" w:lineRule="exact"/>
        <w:rPr>
          <w:sz w:val="20"/>
          <w:szCs w:val="20"/>
          <w:color w:val="auto"/>
        </w:rPr>
      </w:pPr>
    </w:p>
    <w:p>
      <w:pPr>
        <w:jc w:val="center"/>
        <w:ind w:right="3800"/>
        <w:spacing w:after="0"/>
        <w:rPr>
          <w:sz w:val="20"/>
          <w:szCs w:val="20"/>
          <w:color w:val="auto"/>
        </w:rPr>
      </w:pPr>
      <w:r>
        <w:rPr>
          <w:rFonts w:ascii="Arial" w:cs="Arial" w:eastAsia="Arial" w:hAnsi="Arial"/>
          <w:sz w:val="15"/>
          <w:szCs w:val="15"/>
          <w:b w:val="1"/>
          <w:bCs w:val="1"/>
          <w:color w:val="auto"/>
        </w:rPr>
        <w:t>Consolidating Statements of Cash Flows</w:t>
      </w:r>
    </w:p>
    <w:p>
      <w:pPr>
        <w:spacing w:after="0" w:line="21" w:lineRule="exact"/>
        <w:rPr>
          <w:sz w:val="20"/>
          <w:szCs w:val="20"/>
          <w:color w:val="auto"/>
        </w:rPr>
      </w:pPr>
    </w:p>
    <w:p>
      <w:pPr>
        <w:jc w:val="center"/>
        <w:ind w:right="380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6"/>
          <w:szCs w:val="16"/>
          <w:i w:val="1"/>
          <w:iCs w:val="1"/>
          <w:color w:val="auto"/>
        </w:rPr>
        <w:t>(Unaudited)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1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7"/>
          </w:tcPr>
          <w:p>
            <w:pPr>
              <w:jc w:val="center"/>
              <w:ind w:right="84"/>
              <w:spacing w:after="0"/>
              <w:rPr>
                <w:sz w:val="20"/>
                <w:szCs w:val="20"/>
                <w:color w:val="auto"/>
              </w:rPr>
            </w:pPr>
            <w:r>
              <w:rPr>
                <w:rFonts w:ascii="Arial" w:cs="Arial" w:eastAsia="Arial" w:hAnsi="Arial"/>
                <w:sz w:val="11"/>
                <w:szCs w:val="11"/>
                <w:b w:val="1"/>
                <w:bCs w:val="1"/>
                <w:color w:val="auto"/>
                <w:w w:val="93"/>
              </w:rPr>
              <w:t>Nine Months Ended September 30, 2013</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7"/>
          </w:tcPr>
          <w:p>
            <w:pPr>
              <w:jc w:val="center"/>
              <w:ind w:right="84"/>
              <w:spacing w:after="0"/>
              <w:rPr>
                <w:sz w:val="20"/>
                <w:szCs w:val="20"/>
                <w:color w:val="auto"/>
              </w:rPr>
            </w:pPr>
            <w:r>
              <w:rPr>
                <w:rFonts w:ascii="Arial" w:cs="Arial" w:eastAsia="Arial" w:hAnsi="Arial"/>
                <w:sz w:val="11"/>
                <w:szCs w:val="11"/>
                <w:b w:val="1"/>
                <w:bCs w:val="1"/>
                <w:color w:val="auto"/>
                <w:w w:val="93"/>
              </w:rPr>
              <w:t>Nine Months Ended September 30, 2012</w:t>
            </w:r>
          </w:p>
        </w:tc>
      </w:tr>
      <w:tr>
        <w:trPr>
          <w:trHeight w:val="233"/>
        </w:trPr>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GM Financial</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Consolidated</w:t>
            </w:r>
          </w:p>
        </w:tc>
        <w:tc>
          <w:tcPr>
            <w:tcW w:w="1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GM Financial</w:t>
            </w:r>
          </w:p>
        </w:tc>
        <w:tc>
          <w:tcPr>
            <w:tcW w:w="140" w:type="dxa"/>
            <w:vAlign w:val="bottom"/>
          </w:tcPr>
          <w:p>
            <w:pPr>
              <w:spacing w:after="0"/>
              <w:rPr>
                <w:sz w:val="20"/>
                <w:szCs w:val="20"/>
                <w:color w:val="auto"/>
              </w:rPr>
            </w:pPr>
          </w:p>
        </w:tc>
        <w:tc>
          <w:tcPr>
            <w:tcW w:w="880" w:type="dxa"/>
            <w:vAlign w:val="bottom"/>
          </w:tcPr>
          <w:p>
            <w:pPr>
              <w:jc w:val="right"/>
              <w:ind w:right="144"/>
              <w:spacing w:after="0"/>
              <w:rPr>
                <w:sz w:val="20"/>
                <w:szCs w:val="20"/>
                <w:color w:val="auto"/>
              </w:rPr>
            </w:pPr>
            <w:r>
              <w:rPr>
                <w:rFonts w:ascii="Arial" w:cs="Arial" w:eastAsia="Arial" w:hAnsi="Arial"/>
                <w:sz w:val="11"/>
                <w:szCs w:val="11"/>
                <w:b w:val="1"/>
                <w:bCs w:val="1"/>
                <w:color w:val="auto"/>
                <w:w w:val="94"/>
              </w:rPr>
              <w:t>Consolidated</w:t>
            </w:r>
          </w:p>
        </w:tc>
      </w:tr>
      <w:tr>
        <w:trPr>
          <w:trHeight w:val="213"/>
        </w:trPr>
        <w:tc>
          <w:tcPr>
            <w:tcW w:w="18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8,269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1,303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9,572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9,145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9,824</w:t>
            </w:r>
          </w:p>
        </w:tc>
      </w:tr>
      <w:tr>
        <w:trPr>
          <w:trHeight w:val="482"/>
        </w:trPr>
        <w:tc>
          <w:tcPr>
            <w:tcW w:w="18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(5,770)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(5,780)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(5,993)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(6,004)</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(4,247)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(4,247)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(3,818)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(3,818)</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(3,214)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(4,867)</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2,777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2,777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8,923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8,923</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5,311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5,311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5,313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5,313</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(2,107)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(34)</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18</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(694)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(506)</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642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319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961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366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1,096</w:t>
            </w:r>
          </w:p>
        </w:tc>
      </w:tr>
      <w:tr>
        <w:trPr>
          <w:trHeight w:val="241"/>
        </w:trPr>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(18,011)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(18,011)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(4,941)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(4,941)</w:t>
            </w:r>
          </w:p>
        </w:tc>
      </w:tr>
      <w:tr>
        <w:trPr>
          <w:trHeight w:val="241"/>
        </w:trPr>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16,137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16,137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3,349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3,349</w:t>
            </w:r>
          </w:p>
        </w:tc>
      </w:tr>
      <w:tr>
        <w:trPr>
          <w:trHeight w:val="241"/>
        </w:trPr>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(837)</w:t>
            </w:r>
          </w:p>
        </w:tc>
      </w:tr>
      <w:tr>
        <w:trPr>
          <w:trHeight w:val="241"/>
        </w:trPr>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36</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(2,038)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(2,038)</w:t>
            </w:r>
          </w:p>
        </w:tc>
      </w:tr>
      <w:tr>
        <w:trPr>
          <w:trHeight w:val="250"/>
        </w:trPr>
        <w:tc>
          <w:tcPr>
            <w:tcW w:w="18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29</w:t>
            </w:r>
          </w:p>
        </w:tc>
      </w:tr>
      <w:tr>
        <w:trPr>
          <w:trHeight w:val="213"/>
        </w:trPr>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(4,911)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(5,678)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(10,589)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(2,121)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(2,160)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(4,281)</w:t>
            </w:r>
          </w:p>
        </w:tc>
      </w:tr>
      <w:tr>
        <w:trPr>
          <w:trHeight w:val="482"/>
        </w:trPr>
        <w:tc>
          <w:tcPr>
            <w:tcW w:w="18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(221)</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5,195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15,873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21,068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7,600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7,930</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(1,472)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(12,242)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(13,714)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(5,059)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(5,267)</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(1,519)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(1,519)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(679)</w:t>
            </w:r>
          </w:p>
        </w:tc>
      </w:tr>
      <w:tr>
        <w:trPr>
          <w:trHeight w:val="250"/>
        </w:trPr>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(40)</w:t>
            </w:r>
          </w:p>
        </w:tc>
      </w:tr>
      <w:tr>
        <w:trPr>
          <w:trHeight w:val="213"/>
        </w:trPr>
        <w:tc>
          <w:tcPr>
            <w:tcW w:w="18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3,562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3,319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1,723</w:t>
            </w:r>
          </w:p>
        </w:tc>
      </w:tr>
      <w:tr>
        <w:trPr>
          <w:trHeight w:val="241"/>
        </w:trPr>
        <w:tc>
          <w:tcPr>
            <w:tcW w:w="18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(17)</w:t>
            </w:r>
          </w:p>
        </w:tc>
      </w:tr>
      <w:tr>
        <w:trPr>
          <w:trHeight w:val="250"/>
        </w:trPr>
        <w:tc>
          <w:tcPr>
            <w:tcW w:w="18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(1,283)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w:t>
            </w:r>
          </w:p>
        </w:tc>
      </w:tr>
      <w:tr>
        <w:trPr>
          <w:trHeight w:val="213"/>
        </w:trPr>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1,466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1,933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6,015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1,234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7,249</w:t>
            </w:r>
          </w:p>
        </w:tc>
      </w:tr>
      <w:tr>
        <w:trPr>
          <w:trHeight w:val="250"/>
        </w:trPr>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17,133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1,289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18,422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15,499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572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16,071</w:t>
            </w:r>
          </w:p>
        </w:tc>
      </w:tr>
      <w:tr>
        <w:trPr>
          <w:trHeight w:val="209"/>
        </w:trPr>
        <w:tc>
          <w:tcPr>
            <w:tcW w:w="1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18,599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1,756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20,355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21,514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1,806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23,320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10</w:t>
      </w:r>
    </w:p>
    <w:p>
      <w:pPr>
        <w:sectPr>
          <w:pgSz w:w="11900" w:h="16838" w:orient="portrait"/>
          <w:cols w:equalWidth="0" w:num="2">
            <w:col w:w="3940" w:space="720"/>
            <w:col w:w="6780"/>
          </w:cols>
          <w:pgMar w:left="240" w:top="533" w:right="21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2019-12-07T20:06:53Z</dcterms:created>
  <dcterms:modified xsi:type="dcterms:W3CDTF">2019-12-07T20:06:53Z</dcterms:modified>
</cp:coreProperties>
</file>