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-234950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2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5266055</wp:posOffset>
            </wp:positionH>
            <wp:positionV relativeFrom="paragraph">
              <wp:posOffset>-627380</wp:posOffset>
            </wp:positionV>
            <wp:extent cx="58420" cy="6407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3985895</wp:posOffset>
            </wp:positionH>
            <wp:positionV relativeFrom="paragraph">
              <wp:posOffset>-627380</wp:posOffset>
            </wp:positionV>
            <wp:extent cx="58420" cy="6407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6993255" cy="51136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5113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8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6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6"/>
                </w:rPr>
                <w:t>BHUSRI ANEEL</w:t>
              </w:r>
            </w:hyperlink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gridSpan w:val="7"/>
          </w:tcPr>
          <w:p>
            <w:pPr>
              <w:spacing w:after="0" w:line="104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General Motors Co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GM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 RENAISSANCE CENTER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12/31/2022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M/C: 482-C24-A68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28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DETROIT</w:t>
            </w:r>
          </w:p>
        </w:tc>
        <w:tc>
          <w:tcPr>
            <w:tcW w:w="7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48265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0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6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1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7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7,580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 Units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jc w:val="right"/>
              <w:ind w:right="93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12/31/2022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jc w:val="right"/>
              <w:ind w:right="21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7,580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8,808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("DSUs")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right"/>
              <w:ind w:right="1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 Units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right"/>
              <w:ind w:right="93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12/31/2022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jc w:val="right"/>
              <w:ind w:right="101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36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8,844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60"/>
              <w:spacing w:after="0" w:line="23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("DSUs")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-2466340</wp:posOffset>
            </wp:positionV>
            <wp:extent cx="29210" cy="24714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471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 w:right="640" w:firstLine="2"/>
        <w:spacing w:after="0" w:line="256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Amounts credited as DSUs will be paid in cash after the non-employee director leaves the Board, valued at the average closing price of the Company's Common Stock during the quarter immediately preceding payment.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dividends accrued on DSUs in 2022 that were credited as additional DSUs at the end of the year.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/s/ Tia Y. Turk, Attorney-In-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01/04/2023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300" w:type="dxa"/>
            <w:vAlign w:val="bottom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Fact for Mr. Bhusri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3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2"/>
        <w:spacing w:after="0" w:line="337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8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96579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2023-01-04T16:24:02Z</dcterms:created>
  <dcterms:modified xsi:type="dcterms:W3CDTF">2023-01-04T16:24:02Z</dcterms:modified>
</cp:coreProperties>
</file>