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5267960</wp:posOffset>
            </wp:positionH>
            <wp:positionV relativeFrom="paragraph">
              <wp:posOffset>-593725</wp:posOffset>
            </wp:positionV>
            <wp:extent cx="8255" cy="5943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436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-601980</wp:posOffset>
            </wp:positionV>
            <wp:extent cx="8255" cy="6026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26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-577850</wp:posOffset>
            </wp:positionV>
            <wp:extent cx="1268730" cy="554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55435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26035</wp:posOffset>
            </wp:positionV>
            <wp:extent cx="6971030" cy="1710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030" cy="1710690"/>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Barra Mary T</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right="960"/>
        <w:spacing w:after="0" w:line="343" w:lineRule="auto"/>
        <w:rPr>
          <w:sz w:val="20"/>
          <w:szCs w:val="20"/>
          <w:color w:val="auto"/>
        </w:rPr>
      </w:pPr>
      <w:r>
        <w:rPr>
          <w:rFonts w:ascii="Arial" w:cs="Arial" w:eastAsia="Arial" w:hAnsi="Arial"/>
          <w:sz w:val="16"/>
          <w:szCs w:val="16"/>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GM</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11/23/2020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1" w:right="680" w:firstLine="1"/>
        <w:spacing w:after="0" w:line="234"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99" w:type="dxa"/>
        <w:tblCellMar>
          <w:top w:w="0" w:type="dxa"/>
          <w:left w:w="0" w:type="dxa"/>
          <w:bottom w:w="0" w:type="dxa"/>
          <w:right w:w="0" w:type="dxa"/>
        </w:tblCellMar>
      </w:tblPr>
      <w:tr>
        <w:trPr>
          <w:trHeight w:val="208"/>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979"/>
        <w:spacing w:after="0"/>
        <w:rPr>
          <w:sz w:val="20"/>
          <w:szCs w:val="20"/>
          <w:color w:val="auto"/>
        </w:rPr>
      </w:pPr>
      <w:r>
        <w:rPr>
          <w:rFonts w:ascii="Arial" w:cs="Arial" w:eastAsia="Arial" w:hAnsi="Arial"/>
          <w:sz w:val="16"/>
          <w:szCs w:val="16"/>
          <w:color w:val="0000FF"/>
        </w:rPr>
        <w:t>Chairman &amp; CEO</w:t>
      </w:r>
    </w:p>
    <w:p>
      <w:pPr>
        <w:spacing w:after="0" w:line="406" w:lineRule="exact"/>
        <w:rPr>
          <w:sz w:val="24"/>
          <w:szCs w:val="24"/>
          <w:color w:val="auto"/>
        </w:rPr>
      </w:pPr>
    </w:p>
    <w:p>
      <w:pPr>
        <w:sectPr>
          <w:pgSz w:w="11900" w:h="16838" w:orient="portrait"/>
          <w:cols w:equalWidth="0" w:num="3">
            <w:col w:w="3180" w:space="720"/>
            <w:col w:w="3121" w:space="720"/>
            <w:col w:w="3339"/>
          </w:cols>
          <w:pgMar w:left="460" w:top="219" w:right="359" w:bottom="1440" w:gutter="0" w:footer="0" w:header="0"/>
          <w:type w:val="continuous"/>
        </w:sectPr>
      </w:pPr>
    </w:p>
    <w:p>
      <w:pPr>
        <w:spacing w:after="0" w:line="202"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0000FF"/>
              </w:rPr>
              <w:t>DETROIT</w:t>
            </w:r>
          </w:p>
        </w:tc>
        <w:tc>
          <w:tcPr>
            <w:tcW w:w="1060" w:type="dxa"/>
            <w:vAlign w:val="bottom"/>
          </w:tcPr>
          <w:p>
            <w:pPr>
              <w:ind w:left="260"/>
              <w:spacing w:after="0"/>
              <w:rPr>
                <w:sz w:val="20"/>
                <w:szCs w:val="20"/>
                <w:color w:val="auto"/>
              </w:rPr>
            </w:pPr>
            <w:r>
              <w:rPr>
                <w:rFonts w:ascii="Arial" w:cs="Arial" w:eastAsia="Arial" w:hAnsi="Arial"/>
                <w:sz w:val="16"/>
                <w:szCs w:val="16"/>
                <w:color w:val="0000FF"/>
              </w:rPr>
              <w:t>MI</w:t>
            </w:r>
          </w:p>
        </w:tc>
        <w:tc>
          <w:tcPr>
            <w:tcW w:w="1620" w:type="dxa"/>
            <w:vAlign w:val="bottom"/>
          </w:tcPr>
          <w:p>
            <w:pPr>
              <w:ind w:left="420"/>
              <w:spacing w:after="0"/>
              <w:rPr>
                <w:sz w:val="20"/>
                <w:szCs w:val="20"/>
                <w:color w:val="auto"/>
              </w:rPr>
            </w:pPr>
            <w:r>
              <w:rPr>
                <w:rFonts w:ascii="Arial" w:cs="Arial" w:eastAsia="Arial" w:hAnsi="Arial"/>
                <w:sz w:val="16"/>
                <w:szCs w:val="16"/>
                <w:color w:val="0000FF"/>
              </w:rPr>
              <w:t>48265-3000</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4" w:lineRule="auto"/>
        <w:tabs>
          <w:tab w:leader="none" w:pos="436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178435</wp:posOffset>
            </wp:positionV>
            <wp:extent cx="6971030" cy="127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030" cy="1276985"/>
                    </a:xfrm>
                    <a:prstGeom prst="rect">
                      <a:avLst/>
                    </a:prstGeom>
                    <a:noFill/>
                  </pic:spPr>
                </pic:pic>
              </a:graphicData>
            </a:graphic>
          </wp:anchor>
        </w:drawing>
      </w:r>
    </w:p>
    <w:p>
      <w:pPr>
        <w:spacing w:after="0" w:line="340" w:lineRule="exact"/>
        <w:rPr>
          <w:sz w:val="24"/>
          <w:szCs w:val="24"/>
          <w:color w:val="auto"/>
        </w:rPr>
      </w:pPr>
    </w:p>
    <w:p>
      <w:pPr>
        <w:sectPr>
          <w:pgSz w:w="11900" w:h="16838" w:orient="portrait"/>
          <w:cols w:equalWidth="0" w:num="2">
            <w:col w:w="3760" w:space="14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720"/>
              <w:spacing w:after="0" w:line="123"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tcPr>
          <w:p>
            <w:pPr>
              <w:spacing w:after="0" w:line="123"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80" w:type="dxa"/>
            <w:vAlign w:val="bottom"/>
            <w:gridSpan w:val="2"/>
          </w:tcPr>
          <w:p>
            <w:pPr>
              <w:ind w:left="72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6"/>
                <w:szCs w:val="16"/>
                <w:color w:val="0000FF"/>
              </w:rPr>
              <w:t>11/23/2020</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0000FF"/>
                <w:w w:val="93"/>
              </w:rPr>
              <w:t>525,105</w:t>
            </w:r>
            <w:r>
              <w:rPr>
                <w:rFonts w:ascii="Arial" w:cs="Arial" w:eastAsia="Arial" w:hAnsi="Arial"/>
                <w:sz w:val="21"/>
                <w:szCs w:val="21"/>
                <w:color w:val="008000"/>
                <w:w w:val="93"/>
                <w:vertAlign w:val="superscript"/>
              </w:rPr>
              <w:t>(1)</w:t>
            </w:r>
          </w:p>
        </w:tc>
        <w:tc>
          <w:tcPr>
            <w:tcW w:w="60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31.32</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ind w:left="300"/>
              <w:spacing w:after="0"/>
              <w:rPr>
                <w:sz w:val="20"/>
                <w:szCs w:val="20"/>
                <w:color w:val="auto"/>
              </w:rPr>
            </w:pPr>
            <w:r>
              <w:rPr>
                <w:rFonts w:ascii="Arial" w:cs="Arial" w:eastAsia="Arial" w:hAnsi="Arial"/>
                <w:sz w:val="16"/>
                <w:szCs w:val="16"/>
                <w:color w:val="0000FF"/>
              </w:rPr>
              <w:t>1,683,434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6"/>
                <w:szCs w:val="16"/>
                <w:color w:val="0000FF"/>
              </w:rPr>
              <w:t>11/23/2020</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0000FF"/>
                <w:w w:val="93"/>
              </w:rPr>
              <w:t>525,105</w:t>
            </w:r>
            <w:r>
              <w:rPr>
                <w:rFonts w:ascii="Arial" w:cs="Arial" w:eastAsia="Arial" w:hAnsi="Arial"/>
                <w:sz w:val="21"/>
                <w:szCs w:val="21"/>
                <w:color w:val="008000"/>
                <w:w w:val="93"/>
                <w:vertAlign w:val="superscript"/>
              </w:rPr>
              <w:t>(1)</w:t>
            </w:r>
          </w:p>
        </w:tc>
        <w:tc>
          <w:tcPr>
            <w:tcW w:w="60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44.45</w:t>
            </w:r>
            <w:r>
              <w:rPr>
                <w:rFonts w:ascii="Arial" w:cs="Arial" w:eastAsia="Arial" w:hAnsi="Arial"/>
                <w:sz w:val="21"/>
                <w:szCs w:val="21"/>
                <w:color w:val="008000"/>
                <w:w w:val="93"/>
                <w:vertAlign w:val="superscript"/>
              </w:rPr>
              <w:t>(2)</w:t>
            </w:r>
          </w:p>
        </w:tc>
        <w:tc>
          <w:tcPr>
            <w:tcW w:w="1240" w:type="dxa"/>
            <w:vAlign w:val="bottom"/>
            <w:tcBorders>
              <w:bottom w:val="single" w:sz="8" w:color="2C2C2C"/>
            </w:tcBorders>
            <w:gridSpan w:val="3"/>
          </w:tcPr>
          <w:p>
            <w:pPr>
              <w:ind w:left="300"/>
              <w:spacing w:after="0"/>
              <w:rPr>
                <w:sz w:val="20"/>
                <w:szCs w:val="20"/>
                <w:color w:val="auto"/>
              </w:rPr>
            </w:pPr>
            <w:r>
              <w:rPr>
                <w:rFonts w:ascii="Arial" w:cs="Arial" w:eastAsia="Arial" w:hAnsi="Arial"/>
                <w:sz w:val="16"/>
                <w:szCs w:val="16"/>
                <w:color w:val="0000FF"/>
              </w:rPr>
              <w:t>1,158,329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60" w:type="dxa"/>
            <w:vAlign w:val="bottom"/>
            <w:gridSpan w:val="9"/>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w w:val="99"/>
              </w:rPr>
              <w:t>Expiration Date</w:t>
            </w:r>
          </w:p>
        </w:tc>
        <w:tc>
          <w:tcPr>
            <w:tcW w:w="720" w:type="dxa"/>
            <w:vAlign w:val="bottom"/>
          </w:tcPr>
          <w:p>
            <w:pPr>
              <w:spacing w:after="0"/>
              <w:rPr>
                <w:sz w:val="10"/>
                <w:szCs w:val="10"/>
                <w:color w:val="auto"/>
              </w:rPr>
            </w:pP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color w:val="0000FF"/>
                <w:w w:val="97"/>
              </w:rPr>
              <w:t>02/15/2020</w:t>
            </w:r>
            <w:r>
              <w:rPr>
                <w:rFonts w:ascii="Arial" w:cs="Arial" w:eastAsia="Arial" w:hAnsi="Arial"/>
                <w:sz w:val="21"/>
                <w:szCs w:val="21"/>
                <w:color w:val="008000"/>
                <w:w w:val="97"/>
                <w:vertAlign w:val="superscript"/>
              </w:rPr>
              <w:t>(3)</w:t>
            </w:r>
          </w:p>
        </w:tc>
        <w:tc>
          <w:tcPr>
            <w:tcW w:w="720" w:type="dxa"/>
            <w:vAlign w:val="bottom"/>
          </w:tcPr>
          <w:p>
            <w:pPr>
              <w:spacing w:after="0"/>
              <w:rPr>
                <w:sz w:val="12"/>
                <w:szCs w:val="12"/>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spacing w:after="0"/>
              <w:rPr>
                <w:sz w:val="20"/>
                <w:szCs w:val="20"/>
                <w:color w:val="auto"/>
              </w:rPr>
            </w:pPr>
            <w:r>
              <w:rPr>
                <w:rFonts w:ascii="Arial" w:cs="Arial" w:eastAsia="Arial" w:hAnsi="Arial"/>
                <w:sz w:val="16"/>
                <w:szCs w:val="16"/>
                <w:color w:val="0000FF"/>
              </w:rPr>
              <w:t>525,105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ind w:left="20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31.32</w:t>
            </w:r>
          </w:p>
        </w:tc>
        <w:tc>
          <w:tcPr>
            <w:tcW w:w="1060" w:type="dxa"/>
            <w:vAlign w:val="bottom"/>
          </w:tcPr>
          <w:p>
            <w:pPr>
              <w:jc w:val="right"/>
              <w:ind w:right="182"/>
              <w:spacing w:after="0" w:line="136" w:lineRule="exact"/>
              <w:rPr>
                <w:sz w:val="20"/>
                <w:szCs w:val="20"/>
                <w:color w:val="auto"/>
              </w:rPr>
            </w:pPr>
            <w:r>
              <w:rPr>
                <w:rFonts w:ascii="Arial" w:cs="Arial" w:eastAsia="Arial" w:hAnsi="Arial"/>
                <w:sz w:val="13"/>
                <w:szCs w:val="13"/>
                <w:color w:val="0000FF"/>
              </w:rPr>
              <w:t>11/23/2020</w:t>
            </w:r>
          </w:p>
        </w:tc>
        <w:tc>
          <w:tcPr>
            <w:tcW w:w="1060" w:type="dxa"/>
            <w:vAlign w:val="bottom"/>
          </w:tcPr>
          <w:p>
            <w:pPr>
              <w:spacing w:after="0"/>
              <w:rPr>
                <w:sz w:val="11"/>
                <w:szCs w:val="11"/>
                <w:color w:val="auto"/>
              </w:rPr>
            </w:pPr>
          </w:p>
        </w:tc>
        <w:tc>
          <w:tcPr>
            <w:tcW w:w="72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960" w:type="dxa"/>
            <w:vAlign w:val="bottom"/>
          </w:tcPr>
          <w:p>
            <w:pPr>
              <w:ind w:left="440"/>
              <w:spacing w:after="0" w:line="136" w:lineRule="exact"/>
              <w:rPr>
                <w:sz w:val="20"/>
                <w:szCs w:val="20"/>
                <w:color w:val="auto"/>
              </w:rPr>
            </w:pPr>
            <w:r>
              <w:rPr>
                <w:rFonts w:ascii="Arial" w:cs="Arial" w:eastAsia="Arial" w:hAnsi="Arial"/>
                <w:sz w:val="13"/>
                <w:szCs w:val="13"/>
                <w:color w:val="0000FF"/>
              </w:rPr>
              <w:t>525,105</w:t>
            </w:r>
          </w:p>
        </w:tc>
        <w:tc>
          <w:tcPr>
            <w:tcW w:w="840" w:type="dxa"/>
            <w:vAlign w:val="bottom"/>
            <w:gridSpan w:val="2"/>
            <w:vMerge w:val="continue"/>
          </w:tcPr>
          <w:p>
            <w:pPr>
              <w:spacing w:after="0"/>
              <w:rPr>
                <w:sz w:val="11"/>
                <w:szCs w:val="11"/>
                <w:color w:val="auto"/>
              </w:rPr>
            </w:pPr>
          </w:p>
        </w:tc>
        <w:tc>
          <w:tcPr>
            <w:tcW w:w="720" w:type="dxa"/>
            <w:vAlign w:val="bottom"/>
          </w:tcPr>
          <w:p>
            <w:pPr>
              <w:jc w:val="right"/>
              <w:ind w:right="76"/>
              <w:spacing w:after="0" w:line="136" w:lineRule="exact"/>
              <w:rPr>
                <w:sz w:val="20"/>
                <w:szCs w:val="20"/>
                <w:color w:val="auto"/>
              </w:rPr>
            </w:pPr>
            <w:r>
              <w:rPr>
                <w:rFonts w:ascii="Arial" w:cs="Arial" w:eastAsia="Arial" w:hAnsi="Arial"/>
                <w:sz w:val="13"/>
                <w:szCs w:val="13"/>
                <w:color w:val="0000FF"/>
                <w:w w:val="86"/>
              </w:rPr>
              <w:t>07/28/2025</w:t>
            </w:r>
          </w:p>
        </w:tc>
        <w:tc>
          <w:tcPr>
            <w:tcW w:w="6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160"/>
              <w:spacing w:after="0" w:line="136" w:lineRule="exact"/>
              <w:rPr>
                <w:sz w:val="20"/>
                <w:szCs w:val="20"/>
                <w:color w:val="auto"/>
              </w:rPr>
            </w:pPr>
            <w:r>
              <w:rPr>
                <w:rFonts w:ascii="Arial" w:cs="Arial" w:eastAsia="Arial" w:hAnsi="Arial"/>
                <w:sz w:val="13"/>
                <w:szCs w:val="13"/>
                <w:color w:val="0000FF"/>
              </w:rPr>
              <w:t>1,003,037</w:t>
            </w:r>
          </w:p>
        </w:tc>
        <w:tc>
          <w:tcPr>
            <w:tcW w:w="640" w:type="dxa"/>
            <w:vAlign w:val="bottom"/>
          </w:tcPr>
          <w:p>
            <w:pPr>
              <w:ind w:left="320"/>
              <w:spacing w:after="0" w:line="13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ind w:left="100"/>
              <w:spacing w:after="0" w:line="127"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-1766570</wp:posOffset>
            </wp:positionV>
            <wp:extent cx="7035165" cy="1903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190309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in this Form 4 was effected pursuant to a Rule 10b5-1 trading plan.</w:t>
      </w:r>
    </w:p>
    <w:p>
      <w:pPr>
        <w:spacing w:after="0" w:line="40" w:lineRule="exact"/>
        <w:rPr>
          <w:rFonts w:ascii="Arial" w:cs="Arial" w:eastAsia="Arial" w:hAnsi="Arial"/>
          <w:sz w:val="13"/>
          <w:szCs w:val="13"/>
          <w:color w:val="008000"/>
        </w:rPr>
      </w:pPr>
    </w:p>
    <w:p>
      <w:pPr>
        <w:ind w:left="40" w:right="300" w:hanging="1"/>
        <w:spacing w:after="0" w:line="281"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$44.00 to $45.15, inclusive. The Reporting Person undertakes to provide to the SEC, GM and any security holder, upon request, full information regarding the number of shares sold at each price point within the ranges set forth in this footnote.</w:t>
      </w:r>
    </w:p>
    <w:p>
      <w:pPr>
        <w:spacing w:after="0" w:line="5" w:lineRule="exact"/>
        <w:rPr>
          <w:rFonts w:ascii="Arial" w:cs="Arial" w:eastAsia="Arial" w:hAnsi="Arial"/>
          <w:sz w:val="12"/>
          <w:szCs w:val="12"/>
          <w:color w:val="008000"/>
        </w:rPr>
      </w:pPr>
    </w:p>
    <w:p>
      <w:pPr>
        <w:ind w:left="40" w:right="520" w:hanging="1"/>
        <w:spacing w:after="0" w:line="24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stock options were granted on July 28, 2015, under the Company's 2014 Long-Term Incentive Plan. Forty percent of the options became exercisable on February 15, 2017; the remaining 60% became exercisable in three equal installments on February 15, 2018, February 15, 2019, and February 15, 2020.</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2" w:lineRule="auto"/>
        <w:rPr>
          <w:sz w:val="20"/>
          <w:szCs w:val="20"/>
          <w:color w:val="auto"/>
        </w:rPr>
      </w:pPr>
      <w:r>
        <w:rPr>
          <w:rFonts w:ascii="Arial" w:cs="Arial" w:eastAsia="Arial" w:hAnsi="Arial"/>
          <w:sz w:val="16"/>
          <w:szCs w:val="16"/>
          <w:color w:val="0000FF"/>
        </w:rPr>
        <w:t xml:space="preserve">/s/ Tia Y. Turk, Attorney-In-Fact </w:t>
      </w:r>
      <w:r>
        <w:rPr>
          <w:rFonts w:ascii="Arial" w:cs="Arial" w:eastAsia="Arial" w:hAnsi="Arial"/>
          <w:sz w:val="32"/>
          <w:szCs w:val="32"/>
          <w:color w:val="0000FF"/>
          <w:vertAlign w:val="subscript"/>
        </w:rPr>
        <w:t>11/25/2020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59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for Ms. Barra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565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6515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18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4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6"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492154"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2020-11-25T16:52:17Z</dcterms:created>
  <dcterms:modified xsi:type="dcterms:W3CDTF">2020-11-25T16:52:17Z</dcterms:modified>
</cp:coreProperties>
</file>