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366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366000"/>
                    </a:xfrm>
                    <a:prstGeom prst="rect">
                      <a:avLst/>
                    </a:prstGeom>
                    <a:noFill/>
                  </pic:spPr>
                </pic:pic>
              </a:graphicData>
            </a:graphic>
          </wp:anchor>
        </w:drawing>
      </w:r>
    </w:p>
    <w:p>
      <w:pPr>
        <w:spacing w:after="0" w:line="96" w:lineRule="exact"/>
        <w:rPr>
          <w:sz w:val="24"/>
          <w:szCs w:val="24"/>
          <w:color w:val="auto"/>
        </w:rPr>
      </w:pPr>
    </w:p>
    <w:p>
      <w:pPr>
        <w:sectPr>
          <w:pgSz w:w="11900" w:h="16869"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Timko Thomas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Controller &amp; CAO</w:t>
      </w:r>
    </w:p>
    <w:p>
      <w:pPr>
        <w:spacing w:after="0" w:line="448" w:lineRule="exact"/>
        <w:rPr>
          <w:sz w:val="24"/>
          <w:szCs w:val="24"/>
          <w:color w:val="auto"/>
        </w:rPr>
      </w:pPr>
    </w:p>
    <w:p>
      <w:pPr>
        <w:sectPr>
          <w:pgSz w:w="11900" w:h="16869"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9"/>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jc w:val="center"/>
              <w:ind w:left="62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3"/>
              <w:spacing w:after="0"/>
              <w:rPr>
                <w:sz w:val="20"/>
                <w:szCs w:val="20"/>
                <w:color w:val="auto"/>
              </w:rPr>
            </w:pPr>
            <w:r>
              <w:rPr>
                <w:rFonts w:ascii="Arial" w:cs="Arial" w:eastAsia="Arial" w:hAnsi="Arial"/>
                <w:sz w:val="18"/>
                <w:szCs w:val="18"/>
                <w:color w:val="0000FF"/>
                <w:w w:val="88"/>
              </w:rPr>
              <w:t>02/10/2018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4"/>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4"/>
              </w:rPr>
              <w:t>2,526</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24,573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43"/>
              <w:spacing w:after="0"/>
              <w:rPr>
                <w:sz w:val="20"/>
                <w:szCs w:val="20"/>
                <w:color w:val="auto"/>
              </w:rPr>
            </w:pPr>
            <w:r>
              <w:rPr>
                <w:rFonts w:ascii="Arial" w:cs="Arial" w:eastAsia="Arial" w:hAnsi="Arial"/>
                <w:sz w:val="18"/>
                <w:szCs w:val="18"/>
                <w:color w:val="0000FF"/>
                <w:w w:val="88"/>
              </w:rPr>
              <w:t>02/10/2018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4"/>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620" w:type="dxa"/>
            <w:vAlign w:val="bottom"/>
          </w:tcPr>
          <w:p>
            <w:pPr>
              <w:jc w:val="center"/>
              <w:ind w:left="124"/>
              <w:spacing w:after="0"/>
              <w:rPr>
                <w:sz w:val="20"/>
                <w:szCs w:val="20"/>
                <w:color w:val="auto"/>
              </w:rPr>
            </w:pPr>
            <w:r>
              <w:rPr>
                <w:rFonts w:ascii="Arial" w:cs="Arial" w:eastAsia="Arial" w:hAnsi="Arial"/>
                <w:sz w:val="18"/>
                <w:szCs w:val="18"/>
                <w:color w:val="0000FF"/>
                <w:w w:val="86"/>
              </w:rPr>
              <w:t>838</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right"/>
              <w:ind w:right="318"/>
              <w:spacing w:after="0"/>
              <w:rPr>
                <w:sz w:val="20"/>
                <w:szCs w:val="20"/>
                <w:color w:val="auto"/>
              </w:rPr>
            </w:pPr>
            <w:r>
              <w:rPr>
                <w:rFonts w:ascii="Arial" w:cs="Arial" w:eastAsia="Arial" w:hAnsi="Arial"/>
                <w:sz w:val="18"/>
                <w:szCs w:val="18"/>
                <w:color w:val="0000FF"/>
              </w:rPr>
              <w:t>23,735</w:t>
            </w:r>
          </w:p>
        </w:tc>
        <w:tc>
          <w:tcPr>
            <w:tcW w:w="280" w:type="dxa"/>
            <w:vAlign w:val="bottom"/>
          </w:tcPr>
          <w:p>
            <w:pPr>
              <w:spacing w:after="0"/>
              <w:rPr>
                <w:sz w:val="23"/>
                <w:szCs w:val="23"/>
                <w:color w:val="auto"/>
              </w:rPr>
            </w:pPr>
          </w:p>
        </w:tc>
        <w:tc>
          <w:tcPr>
            <w:tcW w:w="700" w:type="dxa"/>
            <w:vAlign w:val="bottom"/>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3"/>
              <w:spacing w:after="0"/>
              <w:rPr>
                <w:sz w:val="20"/>
                <w:szCs w:val="20"/>
                <w:color w:val="auto"/>
              </w:rPr>
            </w:pPr>
            <w:r>
              <w:rPr>
                <w:rFonts w:ascii="Arial" w:cs="Arial" w:eastAsia="Arial" w:hAnsi="Arial"/>
                <w:sz w:val="18"/>
                <w:szCs w:val="18"/>
                <w:color w:val="0000FF"/>
                <w:w w:val="86"/>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4"/>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4"/>
              </w:rPr>
              <w:t>1,858</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25,593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3"/>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4"/>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620" w:type="dxa"/>
            <w:vAlign w:val="bottom"/>
          </w:tcPr>
          <w:p>
            <w:pPr>
              <w:jc w:val="center"/>
              <w:ind w:left="124"/>
              <w:spacing w:after="0"/>
              <w:rPr>
                <w:sz w:val="20"/>
                <w:szCs w:val="20"/>
                <w:color w:val="auto"/>
              </w:rPr>
            </w:pPr>
            <w:r>
              <w:rPr>
                <w:rFonts w:ascii="Arial" w:cs="Arial" w:eastAsia="Arial" w:hAnsi="Arial"/>
                <w:sz w:val="18"/>
                <w:szCs w:val="18"/>
                <w:color w:val="0000FF"/>
                <w:w w:val="86"/>
              </w:rPr>
              <w:t>535</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right"/>
              <w:ind w:right="318"/>
              <w:spacing w:after="0"/>
              <w:rPr>
                <w:sz w:val="20"/>
                <w:szCs w:val="20"/>
                <w:color w:val="auto"/>
              </w:rPr>
            </w:pPr>
            <w:r>
              <w:rPr>
                <w:rFonts w:ascii="Arial" w:cs="Arial" w:eastAsia="Arial" w:hAnsi="Arial"/>
                <w:sz w:val="18"/>
                <w:szCs w:val="18"/>
                <w:color w:val="0000FF"/>
              </w:rPr>
              <w:t>25,058</w:t>
            </w:r>
          </w:p>
        </w:tc>
        <w:tc>
          <w:tcPr>
            <w:tcW w:w="280" w:type="dxa"/>
            <w:vAlign w:val="bottom"/>
          </w:tcPr>
          <w:p>
            <w:pPr>
              <w:spacing w:after="0"/>
              <w:rPr>
                <w:sz w:val="23"/>
                <w:szCs w:val="23"/>
                <w:color w:val="auto"/>
              </w:rPr>
            </w:pPr>
          </w:p>
        </w:tc>
        <w:tc>
          <w:tcPr>
            <w:tcW w:w="700" w:type="dxa"/>
            <w:vAlign w:val="bottom"/>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3"/>
              <w:spacing w:after="0"/>
              <w:rPr>
                <w:sz w:val="20"/>
                <w:szCs w:val="20"/>
                <w:color w:val="auto"/>
              </w:rPr>
            </w:pPr>
            <w:r>
              <w:rPr>
                <w:rFonts w:ascii="Arial" w:cs="Arial" w:eastAsia="Arial" w:hAnsi="Arial"/>
                <w:sz w:val="18"/>
                <w:szCs w:val="18"/>
                <w:color w:val="0000FF"/>
                <w:w w:val="86"/>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4"/>
              <w:spacing w:after="0"/>
              <w:rPr>
                <w:sz w:val="20"/>
                <w:szCs w:val="20"/>
                <w:color w:val="auto"/>
              </w:rPr>
            </w:pPr>
            <w:r>
              <w:rPr>
                <w:rFonts w:ascii="Arial" w:cs="Arial" w:eastAsia="Arial" w:hAnsi="Arial"/>
                <w:sz w:val="14"/>
                <w:szCs w:val="14"/>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24"/>
              <w:spacing w:after="0"/>
              <w:rPr>
                <w:sz w:val="20"/>
                <w:szCs w:val="20"/>
                <w:color w:val="auto"/>
              </w:rPr>
            </w:pPr>
            <w:r>
              <w:rPr>
                <w:rFonts w:ascii="Arial" w:cs="Arial" w:eastAsia="Arial" w:hAnsi="Arial"/>
                <w:sz w:val="18"/>
                <w:szCs w:val="18"/>
                <w:color w:val="0000FF"/>
                <w:w w:val="87"/>
              </w:rPr>
              <w:t>25,088</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50,146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3"/>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4"/>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620" w:type="dxa"/>
            <w:vAlign w:val="bottom"/>
          </w:tcPr>
          <w:p>
            <w:pPr>
              <w:jc w:val="center"/>
              <w:ind w:left="124"/>
              <w:spacing w:after="0"/>
              <w:rPr>
                <w:sz w:val="20"/>
                <w:szCs w:val="20"/>
                <w:color w:val="auto"/>
              </w:rPr>
            </w:pPr>
            <w:r>
              <w:rPr>
                <w:rFonts w:ascii="Arial" w:cs="Arial" w:eastAsia="Arial" w:hAnsi="Arial"/>
                <w:sz w:val="18"/>
                <w:szCs w:val="18"/>
                <w:color w:val="0000FF"/>
                <w:w w:val="84"/>
              </w:rPr>
              <w:t>8,166</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right"/>
              <w:ind w:right="318"/>
              <w:spacing w:after="0"/>
              <w:rPr>
                <w:sz w:val="20"/>
                <w:szCs w:val="20"/>
                <w:color w:val="auto"/>
              </w:rPr>
            </w:pPr>
            <w:r>
              <w:rPr>
                <w:rFonts w:ascii="Arial" w:cs="Arial" w:eastAsia="Arial" w:hAnsi="Arial"/>
                <w:sz w:val="18"/>
                <w:szCs w:val="18"/>
                <w:color w:val="0000FF"/>
              </w:rPr>
              <w:t>41,980</w:t>
            </w:r>
          </w:p>
        </w:tc>
        <w:tc>
          <w:tcPr>
            <w:tcW w:w="280" w:type="dxa"/>
            <w:vAlign w:val="bottom"/>
          </w:tcPr>
          <w:p>
            <w:pPr>
              <w:spacing w:after="0"/>
              <w:rPr>
                <w:sz w:val="23"/>
                <w:szCs w:val="23"/>
                <w:color w:val="auto"/>
              </w:rPr>
            </w:pPr>
          </w:p>
        </w:tc>
        <w:tc>
          <w:tcPr>
            <w:tcW w:w="700" w:type="dxa"/>
            <w:vAlign w:val="bottom"/>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3"/>
              <w:spacing w:after="0"/>
              <w:rPr>
                <w:sz w:val="20"/>
                <w:szCs w:val="20"/>
                <w:color w:val="auto"/>
              </w:rPr>
            </w:pPr>
            <w:r>
              <w:rPr>
                <w:rFonts w:ascii="Arial" w:cs="Arial" w:eastAsia="Arial" w:hAnsi="Arial"/>
                <w:sz w:val="18"/>
                <w:szCs w:val="18"/>
                <w:color w:val="0000FF"/>
                <w:w w:val="86"/>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4"/>
              <w:spacing w:after="0"/>
              <w:rPr>
                <w:sz w:val="20"/>
                <w:szCs w:val="20"/>
                <w:color w:val="auto"/>
              </w:rPr>
            </w:pPr>
            <w:r>
              <w:rPr>
                <w:rFonts w:ascii="Arial" w:cs="Arial" w:eastAsia="Arial" w:hAnsi="Arial"/>
                <w:sz w:val="14"/>
                <w:szCs w:val="14"/>
                <w:color w:val="0000FF"/>
              </w:rPr>
              <w:t>A</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4"/>
              </w:rPr>
              <w:t>8,362</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50,342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3"/>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4"/>
              <w:spacing w:after="0"/>
              <w:rPr>
                <w:sz w:val="20"/>
                <w:szCs w:val="20"/>
                <w:color w:val="auto"/>
              </w:rPr>
            </w:pPr>
            <w:r>
              <w:rPr>
                <w:rFonts w:ascii="Arial" w:cs="Arial" w:eastAsia="Arial" w:hAnsi="Arial"/>
                <w:sz w:val="14"/>
                <w:szCs w:val="14"/>
                <w:color w:val="0000FF"/>
                <w:w w:val="98"/>
              </w:rPr>
              <w:t>D</w:t>
            </w:r>
          </w:p>
        </w:tc>
        <w:tc>
          <w:tcPr>
            <w:tcW w:w="160" w:type="dxa"/>
            <w:vAlign w:val="bottom"/>
          </w:tcPr>
          <w:p>
            <w:pPr>
              <w:spacing w:after="0"/>
              <w:rPr>
                <w:sz w:val="23"/>
                <w:szCs w:val="23"/>
                <w:color w:val="auto"/>
              </w:rPr>
            </w:pPr>
          </w:p>
        </w:tc>
        <w:tc>
          <w:tcPr>
            <w:tcW w:w="620" w:type="dxa"/>
            <w:vAlign w:val="bottom"/>
          </w:tcPr>
          <w:p>
            <w:pPr>
              <w:jc w:val="center"/>
              <w:ind w:left="124"/>
              <w:spacing w:after="0"/>
              <w:rPr>
                <w:sz w:val="20"/>
                <w:szCs w:val="20"/>
                <w:color w:val="auto"/>
              </w:rPr>
            </w:pPr>
            <w:r>
              <w:rPr>
                <w:rFonts w:ascii="Arial" w:cs="Arial" w:eastAsia="Arial" w:hAnsi="Arial"/>
                <w:sz w:val="18"/>
                <w:szCs w:val="18"/>
                <w:color w:val="0000FF"/>
                <w:w w:val="84"/>
              </w:rPr>
              <w:t>5,640</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right"/>
              <w:ind w:right="318"/>
              <w:spacing w:after="0"/>
              <w:rPr>
                <w:sz w:val="20"/>
                <w:szCs w:val="20"/>
                <w:color w:val="auto"/>
              </w:rPr>
            </w:pPr>
            <w:r>
              <w:rPr>
                <w:rFonts w:ascii="Arial" w:cs="Arial" w:eastAsia="Arial" w:hAnsi="Arial"/>
                <w:sz w:val="18"/>
                <w:szCs w:val="18"/>
                <w:color w:val="0000FF"/>
              </w:rPr>
              <w:t>44,702</w:t>
            </w:r>
          </w:p>
        </w:tc>
        <w:tc>
          <w:tcPr>
            <w:tcW w:w="280" w:type="dxa"/>
            <w:vAlign w:val="bottom"/>
          </w:tcPr>
          <w:p>
            <w:pPr>
              <w:spacing w:after="0"/>
              <w:rPr>
                <w:sz w:val="23"/>
                <w:szCs w:val="23"/>
                <w:color w:val="auto"/>
              </w:rPr>
            </w:pPr>
          </w:p>
        </w:tc>
        <w:tc>
          <w:tcPr>
            <w:tcW w:w="700" w:type="dxa"/>
            <w:vAlign w:val="bottom"/>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3"/>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4"/>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620" w:type="dxa"/>
            <w:vAlign w:val="bottom"/>
          </w:tcPr>
          <w:p>
            <w:pPr>
              <w:jc w:val="center"/>
              <w:ind w:left="124"/>
              <w:spacing w:after="0"/>
              <w:rPr>
                <w:sz w:val="20"/>
                <w:szCs w:val="20"/>
                <w:color w:val="auto"/>
              </w:rPr>
            </w:pPr>
            <w:r>
              <w:rPr>
                <w:rFonts w:ascii="Arial" w:cs="Arial" w:eastAsia="Arial" w:hAnsi="Arial"/>
                <w:sz w:val="18"/>
                <w:szCs w:val="18"/>
                <w:color w:val="0000FF"/>
                <w:w w:val="84"/>
              </w:rPr>
              <w:t>2,722</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right"/>
              <w:ind w:right="318"/>
              <w:spacing w:after="0"/>
              <w:rPr>
                <w:sz w:val="20"/>
                <w:szCs w:val="20"/>
                <w:color w:val="auto"/>
              </w:rPr>
            </w:pPr>
            <w:r>
              <w:rPr>
                <w:rFonts w:ascii="Arial" w:cs="Arial" w:eastAsia="Arial" w:hAnsi="Arial"/>
                <w:sz w:val="18"/>
                <w:szCs w:val="18"/>
                <w:color w:val="0000FF"/>
              </w:rPr>
              <w:t>41,980</w:t>
            </w:r>
          </w:p>
        </w:tc>
        <w:tc>
          <w:tcPr>
            <w:tcW w:w="280" w:type="dxa"/>
            <w:vAlign w:val="bottom"/>
          </w:tcPr>
          <w:p>
            <w:pPr>
              <w:spacing w:after="0"/>
              <w:rPr>
                <w:sz w:val="23"/>
                <w:szCs w:val="23"/>
                <w:color w:val="auto"/>
              </w:rPr>
            </w:pPr>
          </w:p>
        </w:tc>
        <w:tc>
          <w:tcPr>
            <w:tcW w:w="700" w:type="dxa"/>
            <w:vAlign w:val="bottom"/>
          </w:tcPr>
          <w:p>
            <w:pPr>
              <w:jc w:val="right"/>
              <w:ind w:right="384"/>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4"/>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3"/>
              <w:spacing w:after="0"/>
              <w:rPr>
                <w:sz w:val="20"/>
                <w:szCs w:val="20"/>
                <w:color w:val="auto"/>
              </w:rPr>
            </w:pPr>
            <w:r>
              <w:rPr>
                <w:rFonts w:ascii="Arial" w:cs="Arial" w:eastAsia="Arial" w:hAnsi="Arial"/>
                <w:sz w:val="18"/>
                <w:szCs w:val="18"/>
                <w:color w:val="0000FF"/>
                <w:w w:val="93"/>
              </w:rPr>
              <w:t>2,526</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02/10/2018</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2,526</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16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(6)</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2,526</w:t>
            </w:r>
          </w:p>
        </w:tc>
        <w:tc>
          <w:tcPr>
            <w:tcW w:w="280" w:type="dxa"/>
            <w:vAlign w:val="bottom"/>
          </w:tcPr>
          <w:p>
            <w:pPr>
              <w:spacing w:after="0"/>
              <w:rPr>
                <w:sz w:val="7"/>
                <w:szCs w:val="7"/>
                <w:color w:val="auto"/>
              </w:rPr>
            </w:pPr>
          </w:p>
        </w:tc>
        <w:tc>
          <w:tcPr>
            <w:tcW w:w="700" w:type="dxa"/>
            <w:vAlign w:val="bottom"/>
            <w:vMerge w:val="restart"/>
          </w:tcPr>
          <w:p>
            <w:pPr>
              <w:jc w:val="right"/>
              <w:ind w:right="184"/>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3"/>
              <w:spacing w:after="0"/>
              <w:rPr>
                <w:sz w:val="20"/>
                <w:szCs w:val="20"/>
                <w:color w:val="auto"/>
              </w:rPr>
            </w:pPr>
            <w:r>
              <w:rPr>
                <w:rFonts w:ascii="Arial" w:cs="Arial" w:eastAsia="Arial" w:hAnsi="Arial"/>
                <w:sz w:val="18"/>
                <w:szCs w:val="18"/>
                <w:color w:val="0000FF"/>
                <w:w w:val="93"/>
              </w:rPr>
              <w:t>1,858</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02/11/2018</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1,858</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16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(6)</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4"/>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on February 10,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RSUs awarded on February 11, 2015.</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11, 2015, the Reporting Person received a grant of Performance Stock Units ("PSUs"). Under the grant, PSUs could be earned based on the achievement of certain financial targets. PSUs vested and settled on February 11, 2018. This portion of the award settled in shares of common stock.</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11, 2015, the Reporting Person received a grant of PSUs. Under the grant, PSUs could be earned based on the achievement of certain financial targets. PSUs vested and settled on February 11, 2018. This portion of the award was made by delivery in cash, less a portion withheld for taxes.</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were awarded on February 10, 2016. One-third of the RSUs vested on February 10, 2018, and the remaining one-third will vest on February 10, 2019.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in this item were granted on February 11, 2015 and were settled on February 11,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7"/>
                <w:szCs w:val="17"/>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02/13/2018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Mr.Timko</w:t>
            </w:r>
          </w:p>
        </w:tc>
        <w:tc>
          <w:tcPr>
            <w:tcW w:w="8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sectPr>
          <w:pgSz w:w="11900" w:h="16869" w:orient="portrait"/>
          <w:cols w:equalWidth="0" w:num="1">
            <w:col w:w="11520"/>
          </w:cols>
          <w:pgMar w:left="240" w:top="226"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69"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846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2019-12-24T07:28:56Z</dcterms:created>
  <dcterms:modified xsi:type="dcterms:W3CDTF">2019-12-24T07:28:56Z</dcterms:modified>
</cp:coreProperties>
</file>