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132715</wp:posOffset>
            </wp:positionH>
            <wp:positionV relativeFrom="page">
              <wp:posOffset>540385</wp:posOffset>
            </wp:positionV>
            <wp:extent cx="7296785"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6785" cy="39370"/>
                    </a:xfrm>
                    <a:prstGeom prst="rect">
                      <a:avLst/>
                    </a:prstGeom>
                    <a:noFill/>
                  </pic:spPr>
                </pic:pic>
              </a:graphicData>
            </a:graphic>
          </wp:anchor>
        </w:drawing>
        <w:t>UNITED STATES</w:t>
      </w:r>
    </w:p>
    <w:p>
      <w:pPr>
        <w:spacing w:after="0" w:line="26"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SECURITIES AND EXCHANGE COMMISSION</w:t>
      </w:r>
    </w:p>
    <w:p>
      <w:pPr>
        <w:spacing w:after="0" w:line="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20549-1004</w:t>
      </w:r>
    </w:p>
    <w:p>
      <w:pPr>
        <w:spacing w:after="0" w:line="5"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50" w:lineRule="exact"/>
        <w:rPr>
          <w:sz w:val="24"/>
          <w:szCs w:val="24"/>
          <w:color w:val="auto"/>
        </w:rPr>
      </w:pPr>
    </w:p>
    <w:p>
      <w:pPr>
        <w:jc w:val="center"/>
        <w:ind w:right="-1220"/>
        <w:spacing w:after="0"/>
        <w:rPr>
          <w:sz w:val="20"/>
          <w:szCs w:val="20"/>
          <w:color w:val="auto"/>
        </w:rPr>
      </w:pPr>
      <w:r>
        <w:rPr>
          <w:rFonts w:ascii="Arial" w:cs="Arial" w:eastAsia="Arial" w:hAnsi="Arial"/>
          <w:sz w:val="27"/>
          <w:szCs w:val="27"/>
          <w:b w:val="1"/>
          <w:bCs w:val="1"/>
          <w:color w:val="auto"/>
        </w:rPr>
        <w:t>FORM 8-K</w:t>
      </w:r>
    </w:p>
    <w:p>
      <w:pPr>
        <w:spacing w:after="0" w:line="31"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6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SECTION 13 OR 15(d) OF</w:t>
      </w:r>
    </w:p>
    <w:p>
      <w:pPr>
        <w:spacing w:after="0" w:line="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8"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Date of Report (Date of earliest event reported) October 17, 2014</w:t>
      </w:r>
    </w:p>
    <w:p>
      <w:pPr>
        <w:spacing w:after="0" w:line="1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57" w:lineRule="exact"/>
        <w:rPr>
          <w:sz w:val="24"/>
          <w:szCs w:val="24"/>
          <w:color w:val="auto"/>
        </w:rPr>
      </w:pPr>
    </w:p>
    <w:p>
      <w:pPr>
        <w:jc w:val="center"/>
        <w:ind w:right="-1220"/>
        <w:spacing w:after="0"/>
        <w:rPr>
          <w:sz w:val="20"/>
          <w:szCs w:val="20"/>
          <w:color w:val="auto"/>
        </w:rPr>
      </w:pPr>
      <w:r>
        <w:rPr>
          <w:rFonts w:ascii="Arial" w:cs="Arial" w:eastAsia="Arial" w:hAnsi="Arial"/>
          <w:sz w:val="35"/>
          <w:szCs w:val="35"/>
          <w:b w:val="1"/>
          <w:bCs w:val="1"/>
          <w:color w:val="auto"/>
        </w:rPr>
        <w:t>GENERAL MOTORS COMPANY</w:t>
      </w:r>
    </w:p>
    <w:p>
      <w:pPr>
        <w:spacing w:after="0" w:line="43"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(Exact Name of Registrant as Specified in its Charter)</w:t>
      </w:r>
    </w:p>
    <w:p>
      <w:pPr>
        <w:spacing w:after="0" w:line="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200" w:lineRule="exact"/>
        <w:rPr>
          <w:sz w:val="24"/>
          <w:szCs w:val="24"/>
          <w:color w:val="auto"/>
        </w:rPr>
      </w:pPr>
    </w:p>
    <w:p>
      <w:pPr>
        <w:spacing w:after="0" w:line="276" w:lineRule="exact"/>
        <w:rPr>
          <w:sz w:val="24"/>
          <w:szCs w:val="24"/>
          <w:color w:val="auto"/>
        </w:rPr>
      </w:pPr>
    </w:p>
    <w:tbl>
      <w:tblPr>
        <w:tblLayout w:type="fixed"/>
        <w:tblInd w:w="1580" w:type="dxa"/>
        <w:tblCellMar>
          <w:top w:w="0" w:type="dxa"/>
          <w:left w:w="0" w:type="dxa"/>
          <w:bottom w:w="0" w:type="dxa"/>
          <w:right w:w="0" w:type="dxa"/>
        </w:tblCellMar>
      </w:tblPr>
      <w:tr>
        <w:trPr>
          <w:trHeight w:val="181"/>
        </w:trPr>
        <w:tc>
          <w:tcPr>
            <w:tcW w:w="3180" w:type="dxa"/>
            <w:vAlign w:val="bottom"/>
          </w:tcPr>
          <w:p>
            <w:pPr>
              <w:jc w:val="center"/>
              <w:ind w:right="1406"/>
              <w:spacing w:after="0"/>
              <w:rPr>
                <w:sz w:val="20"/>
                <w:szCs w:val="20"/>
                <w:color w:val="auto"/>
              </w:rPr>
            </w:pPr>
            <w:r>
              <w:rPr>
                <w:rFonts w:ascii="Arial" w:cs="Arial" w:eastAsia="Arial" w:hAnsi="Arial"/>
                <w:sz w:val="15"/>
                <w:szCs w:val="15"/>
                <w:b w:val="1"/>
                <w:bCs w:val="1"/>
                <w:color w:val="auto"/>
                <w:w w:val="94"/>
              </w:rPr>
              <w:t>DELAWARE</w:t>
            </w:r>
          </w:p>
        </w:tc>
        <w:tc>
          <w:tcPr>
            <w:tcW w:w="2440" w:type="dxa"/>
            <w:vAlign w:val="bottom"/>
            <w:vMerge w:val="restart"/>
          </w:tcPr>
          <w:p>
            <w:pPr>
              <w:jc w:val="right"/>
              <w:ind w:right="1066"/>
              <w:spacing w:after="0"/>
              <w:rPr>
                <w:sz w:val="20"/>
                <w:szCs w:val="20"/>
                <w:color w:val="auto"/>
              </w:rPr>
            </w:pPr>
            <w:r>
              <w:rPr>
                <w:rFonts w:ascii="Arial" w:cs="Arial" w:eastAsia="Arial" w:hAnsi="Arial"/>
                <w:sz w:val="15"/>
                <w:szCs w:val="15"/>
                <w:b w:val="1"/>
                <w:bCs w:val="1"/>
                <w:color w:val="auto"/>
              </w:rPr>
              <w:t>001-34960</w:t>
            </w:r>
          </w:p>
        </w:tc>
        <w:tc>
          <w:tcPr>
            <w:tcW w:w="2400" w:type="dxa"/>
            <w:vAlign w:val="bottom"/>
          </w:tcPr>
          <w:p>
            <w:pPr>
              <w:jc w:val="center"/>
              <w:ind w:left="1206"/>
              <w:spacing w:after="0"/>
              <w:rPr>
                <w:sz w:val="20"/>
                <w:szCs w:val="20"/>
                <w:color w:val="auto"/>
              </w:rPr>
            </w:pPr>
            <w:r>
              <w:rPr>
                <w:rFonts w:ascii="Arial" w:cs="Arial" w:eastAsia="Arial" w:hAnsi="Arial"/>
                <w:sz w:val="15"/>
                <w:szCs w:val="15"/>
                <w:b w:val="1"/>
                <w:bCs w:val="1"/>
                <w:color w:val="auto"/>
                <w:w w:val="89"/>
              </w:rPr>
              <w:t>27-0756180</w:t>
            </w:r>
          </w:p>
        </w:tc>
        <w:tc>
          <w:tcPr>
            <w:tcW w:w="0" w:type="dxa"/>
            <w:vAlign w:val="bottom"/>
          </w:tcPr>
          <w:p>
            <w:pPr>
              <w:spacing w:after="0"/>
              <w:rPr>
                <w:sz w:val="1"/>
                <w:szCs w:val="1"/>
                <w:color w:val="auto"/>
              </w:rPr>
            </w:pPr>
          </w:p>
        </w:tc>
      </w:tr>
      <w:tr>
        <w:trPr>
          <w:trHeight w:val="177"/>
        </w:trPr>
        <w:tc>
          <w:tcPr>
            <w:tcW w:w="3180" w:type="dxa"/>
            <w:vAlign w:val="bottom"/>
          </w:tcPr>
          <w:p>
            <w:pPr>
              <w:jc w:val="center"/>
              <w:ind w:right="1406"/>
              <w:spacing w:after="0"/>
              <w:rPr>
                <w:sz w:val="20"/>
                <w:szCs w:val="20"/>
                <w:color w:val="auto"/>
              </w:rPr>
            </w:pPr>
            <w:r>
              <w:rPr>
                <w:rFonts w:ascii="Arial" w:cs="Arial" w:eastAsia="Arial" w:hAnsi="Arial"/>
                <w:sz w:val="15"/>
                <w:szCs w:val="15"/>
                <w:color w:val="auto"/>
                <w:w w:val="90"/>
              </w:rPr>
              <w:t>(State or other jurisdiction of</w:t>
            </w:r>
          </w:p>
        </w:tc>
        <w:tc>
          <w:tcPr>
            <w:tcW w:w="2440" w:type="dxa"/>
            <w:vAlign w:val="bottom"/>
            <w:vMerge w:val="continue"/>
          </w:tcPr>
          <w:p>
            <w:pPr>
              <w:spacing w:after="0"/>
              <w:rPr>
                <w:sz w:val="15"/>
                <w:szCs w:val="15"/>
                <w:color w:val="auto"/>
              </w:rPr>
            </w:pPr>
          </w:p>
        </w:tc>
        <w:tc>
          <w:tcPr>
            <w:tcW w:w="2400" w:type="dxa"/>
            <w:vAlign w:val="bottom"/>
          </w:tcPr>
          <w:p>
            <w:pPr>
              <w:jc w:val="center"/>
              <w:ind w:left="1206"/>
              <w:spacing w:after="0"/>
              <w:rPr>
                <w:sz w:val="20"/>
                <w:szCs w:val="20"/>
                <w:color w:val="auto"/>
              </w:rPr>
            </w:pPr>
            <w:r>
              <w:rPr>
                <w:rFonts w:ascii="Arial" w:cs="Arial" w:eastAsia="Arial" w:hAnsi="Arial"/>
                <w:sz w:val="15"/>
                <w:szCs w:val="15"/>
                <w:color w:val="auto"/>
                <w:w w:val="90"/>
              </w:rPr>
              <w:t>(I.R.S. Employer</w:t>
            </w:r>
          </w:p>
        </w:tc>
        <w:tc>
          <w:tcPr>
            <w:tcW w:w="0" w:type="dxa"/>
            <w:vAlign w:val="bottom"/>
          </w:tcPr>
          <w:p>
            <w:pPr>
              <w:spacing w:after="0"/>
              <w:rPr>
                <w:sz w:val="1"/>
                <w:szCs w:val="1"/>
                <w:color w:val="auto"/>
              </w:rPr>
            </w:pPr>
          </w:p>
        </w:tc>
      </w:tr>
      <w:tr>
        <w:trPr>
          <w:trHeight w:val="188"/>
        </w:trPr>
        <w:tc>
          <w:tcPr>
            <w:tcW w:w="3180" w:type="dxa"/>
            <w:vAlign w:val="bottom"/>
          </w:tcPr>
          <w:p>
            <w:pPr>
              <w:jc w:val="center"/>
              <w:ind w:right="1406"/>
              <w:spacing w:after="0"/>
              <w:rPr>
                <w:sz w:val="20"/>
                <w:szCs w:val="20"/>
                <w:color w:val="auto"/>
              </w:rPr>
            </w:pPr>
            <w:r>
              <w:rPr>
                <w:rFonts w:ascii="Arial" w:cs="Arial" w:eastAsia="Arial" w:hAnsi="Arial"/>
                <w:sz w:val="15"/>
                <w:szCs w:val="15"/>
                <w:color w:val="auto"/>
                <w:w w:val="93"/>
              </w:rPr>
              <w:t>incorporation)</w:t>
            </w:r>
          </w:p>
        </w:tc>
        <w:tc>
          <w:tcPr>
            <w:tcW w:w="2440" w:type="dxa"/>
            <w:vAlign w:val="bottom"/>
          </w:tcPr>
          <w:p>
            <w:pPr>
              <w:jc w:val="center"/>
              <w:ind w:right="406"/>
              <w:spacing w:after="0"/>
              <w:rPr>
                <w:sz w:val="20"/>
                <w:szCs w:val="20"/>
                <w:color w:val="auto"/>
              </w:rPr>
            </w:pPr>
            <w:r>
              <w:rPr>
                <w:rFonts w:ascii="Arial" w:cs="Arial" w:eastAsia="Arial" w:hAnsi="Arial"/>
                <w:sz w:val="15"/>
                <w:szCs w:val="15"/>
                <w:color w:val="auto"/>
                <w:w w:val="91"/>
              </w:rPr>
              <w:t>(Commission File Number)</w:t>
            </w:r>
          </w:p>
        </w:tc>
        <w:tc>
          <w:tcPr>
            <w:tcW w:w="2400" w:type="dxa"/>
            <w:vAlign w:val="bottom"/>
          </w:tcPr>
          <w:p>
            <w:pPr>
              <w:jc w:val="center"/>
              <w:ind w:left="1226"/>
              <w:spacing w:after="0"/>
              <w:rPr>
                <w:sz w:val="20"/>
                <w:szCs w:val="20"/>
                <w:color w:val="auto"/>
              </w:rPr>
            </w:pPr>
            <w:r>
              <w:rPr>
                <w:rFonts w:ascii="Arial" w:cs="Arial" w:eastAsia="Arial" w:hAnsi="Arial"/>
                <w:sz w:val="15"/>
                <w:szCs w:val="15"/>
                <w:color w:val="auto"/>
                <w:w w:val="94"/>
              </w:rPr>
              <w:t>Identification No.)</w:t>
            </w:r>
          </w:p>
        </w:tc>
        <w:tc>
          <w:tcPr>
            <w:tcW w:w="0" w:type="dxa"/>
            <w:vAlign w:val="bottom"/>
          </w:tcPr>
          <w:p>
            <w:pPr>
              <w:spacing w:after="0"/>
              <w:rPr>
                <w:sz w:val="1"/>
                <w:szCs w:val="1"/>
                <w:color w:val="auto"/>
              </w:rPr>
            </w:pPr>
          </w:p>
        </w:tc>
      </w:tr>
      <w:tr>
        <w:trPr>
          <w:trHeight w:val="388"/>
        </w:trPr>
        <w:tc>
          <w:tcPr>
            <w:tcW w:w="3180" w:type="dxa"/>
            <w:vAlign w:val="bottom"/>
          </w:tcPr>
          <w:p>
            <w:pPr>
              <w:jc w:val="center"/>
              <w:ind w:left="106"/>
              <w:spacing w:after="0"/>
              <w:rPr>
                <w:sz w:val="20"/>
                <w:szCs w:val="20"/>
                <w:color w:val="auto"/>
              </w:rPr>
            </w:pPr>
            <w:r>
              <w:rPr>
                <w:rFonts w:ascii="Arial" w:cs="Arial" w:eastAsia="Arial" w:hAnsi="Arial"/>
                <w:sz w:val="15"/>
                <w:szCs w:val="15"/>
                <w:b w:val="1"/>
                <w:bCs w:val="1"/>
                <w:color w:val="auto"/>
                <w:w w:val="88"/>
              </w:rPr>
              <w:t>300 Renaissance Center, Detroit, Michigan</w:t>
            </w:r>
          </w:p>
        </w:tc>
        <w:tc>
          <w:tcPr>
            <w:tcW w:w="2440" w:type="dxa"/>
            <w:vAlign w:val="bottom"/>
          </w:tcPr>
          <w:p>
            <w:pPr>
              <w:spacing w:after="0"/>
              <w:rPr>
                <w:sz w:val="24"/>
                <w:szCs w:val="24"/>
                <w:color w:val="auto"/>
              </w:rPr>
            </w:pPr>
          </w:p>
        </w:tc>
        <w:tc>
          <w:tcPr>
            <w:tcW w:w="2400" w:type="dxa"/>
            <w:vAlign w:val="bottom"/>
          </w:tcPr>
          <w:p>
            <w:pPr>
              <w:jc w:val="right"/>
              <w:ind w:right="946"/>
              <w:spacing w:after="0"/>
              <w:rPr>
                <w:sz w:val="20"/>
                <w:szCs w:val="20"/>
                <w:color w:val="auto"/>
              </w:rPr>
            </w:pPr>
            <w:r>
              <w:rPr>
                <w:rFonts w:ascii="Arial" w:cs="Arial" w:eastAsia="Arial" w:hAnsi="Arial"/>
                <w:sz w:val="15"/>
                <w:szCs w:val="15"/>
                <w:b w:val="1"/>
                <w:bCs w:val="1"/>
                <w:color w:val="auto"/>
              </w:rPr>
              <w:t>48265-3000</w:t>
            </w:r>
          </w:p>
        </w:tc>
        <w:tc>
          <w:tcPr>
            <w:tcW w:w="0" w:type="dxa"/>
            <w:vAlign w:val="bottom"/>
          </w:tcPr>
          <w:p>
            <w:pPr>
              <w:spacing w:after="0"/>
              <w:rPr>
                <w:sz w:val="1"/>
                <w:szCs w:val="1"/>
                <w:color w:val="auto"/>
              </w:rPr>
            </w:pPr>
          </w:p>
        </w:tc>
      </w:tr>
      <w:tr>
        <w:trPr>
          <w:trHeight w:val="188"/>
        </w:trPr>
        <w:tc>
          <w:tcPr>
            <w:tcW w:w="3180" w:type="dxa"/>
            <w:vAlign w:val="bottom"/>
          </w:tcPr>
          <w:p>
            <w:pPr>
              <w:jc w:val="center"/>
              <w:ind w:left="106"/>
              <w:spacing w:after="0"/>
              <w:rPr>
                <w:sz w:val="20"/>
                <w:szCs w:val="20"/>
                <w:color w:val="auto"/>
              </w:rPr>
            </w:pPr>
            <w:r>
              <w:rPr>
                <w:rFonts w:ascii="Arial" w:cs="Arial" w:eastAsia="Arial" w:hAnsi="Arial"/>
                <w:sz w:val="15"/>
                <w:szCs w:val="15"/>
                <w:color w:val="auto"/>
                <w:w w:val="91"/>
              </w:rPr>
              <w:t>(Address of Principal Executive Offices)</w:t>
            </w:r>
          </w:p>
        </w:tc>
        <w:tc>
          <w:tcPr>
            <w:tcW w:w="2440" w:type="dxa"/>
            <w:vAlign w:val="bottom"/>
          </w:tcPr>
          <w:p>
            <w:pPr>
              <w:spacing w:after="0"/>
              <w:rPr>
                <w:sz w:val="16"/>
                <w:szCs w:val="16"/>
                <w:color w:val="auto"/>
              </w:rPr>
            </w:pPr>
          </w:p>
        </w:tc>
        <w:tc>
          <w:tcPr>
            <w:tcW w:w="2400" w:type="dxa"/>
            <w:vAlign w:val="bottom"/>
          </w:tcPr>
          <w:p>
            <w:pPr>
              <w:jc w:val="center"/>
              <w:ind w:right="286"/>
              <w:spacing w:after="0"/>
              <w:rPr>
                <w:sz w:val="20"/>
                <w:szCs w:val="20"/>
                <w:color w:val="auto"/>
              </w:rPr>
            </w:pPr>
            <w:r>
              <w:rPr>
                <w:rFonts w:ascii="Arial" w:cs="Arial" w:eastAsia="Arial" w:hAnsi="Arial"/>
                <w:sz w:val="15"/>
                <w:szCs w:val="15"/>
                <w:color w:val="auto"/>
                <w:w w:val="90"/>
              </w:rPr>
              <w:t>(Zip Code)</w:t>
            </w:r>
          </w:p>
        </w:tc>
        <w:tc>
          <w:tcPr>
            <w:tcW w:w="0" w:type="dxa"/>
            <w:vAlign w:val="bottom"/>
          </w:tcPr>
          <w:p>
            <w:pPr>
              <w:spacing w:after="0"/>
              <w:rPr>
                <w:sz w:val="1"/>
                <w:szCs w:val="1"/>
                <w:color w:val="auto"/>
              </w:rPr>
            </w:pPr>
          </w:p>
        </w:tc>
      </w:tr>
    </w:tbl>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313</w:t>
      </w:r>
      <w:r>
        <w:rPr>
          <w:rFonts w:ascii="Arial" w:cs="Arial" w:eastAsia="Arial" w:hAnsi="Arial"/>
          <w:sz w:val="15"/>
          <w:szCs w:val="15"/>
          <w:color w:val="auto"/>
        </w:rPr>
        <w:t xml:space="preserve">) </w:t>
      </w:r>
      <w:r>
        <w:rPr>
          <w:rFonts w:ascii="Arial" w:cs="Arial" w:eastAsia="Arial" w:hAnsi="Arial"/>
          <w:sz w:val="15"/>
          <w:szCs w:val="15"/>
          <w:b w:val="1"/>
          <w:bCs w:val="1"/>
          <w:color w:val="auto"/>
        </w:rPr>
        <w:t>556-5000</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(Registrant's telephone number, including area code)</w:t>
      </w:r>
    </w:p>
    <w:p>
      <w:pPr>
        <w:spacing w:after="0" w:line="168"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Not Applicable</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76"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76"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393" w:lineRule="exact"/>
        <w:rPr>
          <w:sz w:val="24"/>
          <w:szCs w:val="24"/>
          <w:color w:val="auto"/>
        </w:rPr>
      </w:pPr>
    </w:p>
    <w:p>
      <w:pPr>
        <w:ind w:left="600" w:hanging="569"/>
        <w:spacing w:after="0"/>
        <w:tabs>
          <w:tab w:leader="none" w:pos="600" w:val="left"/>
        </w:tabs>
        <w:numPr>
          <w:ilvl w:val="0"/>
          <w:numId w:val="1"/>
        </w:numPr>
        <w:rPr>
          <w:rFonts w:ascii="Arial" w:cs="Arial" w:eastAsia="Arial" w:hAnsi="Arial"/>
          <w:sz w:val="15"/>
          <w:szCs w:val="15"/>
          <w:color w:val="auto"/>
        </w:rPr>
      </w:pPr>
      <w:r>
        <w:rPr>
          <w:rFonts w:ascii="Arial" w:cs="Arial" w:eastAsia="Arial" w:hAnsi="Arial"/>
          <w:sz w:val="13"/>
          <w:szCs w:val="13"/>
          <w:color w:val="auto"/>
        </w:rPr>
        <w:t>Written communications pursuant to Rule 425 under the Securities Act (17 CFR 230.425)</w:t>
      </w:r>
    </w:p>
    <w:p>
      <w:pPr>
        <w:spacing w:after="0" w:line="270" w:lineRule="exact"/>
        <w:rPr>
          <w:rFonts w:ascii="Arial" w:cs="Arial" w:eastAsia="Arial" w:hAnsi="Arial"/>
          <w:sz w:val="15"/>
          <w:szCs w:val="15"/>
          <w:color w:val="auto"/>
        </w:rPr>
      </w:pPr>
    </w:p>
    <w:p>
      <w:pPr>
        <w:ind w:left="600" w:hanging="569"/>
        <w:spacing w:after="0"/>
        <w:tabs>
          <w:tab w:leader="none" w:pos="600" w:val="left"/>
        </w:tabs>
        <w:numPr>
          <w:ilvl w:val="0"/>
          <w:numId w:val="1"/>
        </w:numPr>
        <w:rPr>
          <w:rFonts w:ascii="Arial" w:cs="Arial" w:eastAsia="Arial" w:hAnsi="Arial"/>
          <w:sz w:val="15"/>
          <w:szCs w:val="15"/>
          <w:color w:val="auto"/>
        </w:rPr>
      </w:pPr>
      <w:r>
        <w:rPr>
          <w:rFonts w:ascii="Arial" w:cs="Arial" w:eastAsia="Arial" w:hAnsi="Arial"/>
          <w:sz w:val="13"/>
          <w:szCs w:val="13"/>
          <w:color w:val="auto"/>
        </w:rPr>
        <w:t>Soliciting material pursuant to Rule 14a-12 under the Exchange Act (17-CFR 240.14a-12)</w:t>
      </w:r>
    </w:p>
    <w:p>
      <w:pPr>
        <w:spacing w:after="0" w:line="270" w:lineRule="exact"/>
        <w:rPr>
          <w:rFonts w:ascii="Arial" w:cs="Arial" w:eastAsia="Arial" w:hAnsi="Arial"/>
          <w:sz w:val="15"/>
          <w:szCs w:val="15"/>
          <w:color w:val="auto"/>
        </w:rPr>
      </w:pPr>
    </w:p>
    <w:p>
      <w:pPr>
        <w:ind w:left="600" w:hanging="569"/>
        <w:spacing w:after="0"/>
        <w:tabs>
          <w:tab w:leader="none" w:pos="600" w:val="left"/>
        </w:tabs>
        <w:numPr>
          <w:ilvl w:val="0"/>
          <w:numId w:val="1"/>
        </w:numPr>
        <w:rPr>
          <w:rFonts w:ascii="Arial" w:cs="Arial" w:eastAsia="Arial" w:hAnsi="Arial"/>
          <w:sz w:val="15"/>
          <w:szCs w:val="15"/>
          <w:color w:val="auto"/>
        </w:rPr>
      </w:pPr>
      <w:r>
        <w:rPr>
          <w:rFonts w:ascii="Arial" w:cs="Arial" w:eastAsia="Arial" w:hAnsi="Arial"/>
          <w:sz w:val="13"/>
          <w:szCs w:val="13"/>
          <w:color w:val="auto"/>
        </w:rPr>
        <w:t>Pre-commencement communications pursuant to Rule 14d-2(b) under the Exchange Act (17 CFR 240.14d-2(b))</w:t>
      </w:r>
    </w:p>
    <w:p>
      <w:pPr>
        <w:spacing w:after="0" w:line="270" w:lineRule="exact"/>
        <w:rPr>
          <w:rFonts w:ascii="Arial" w:cs="Arial" w:eastAsia="Arial" w:hAnsi="Arial"/>
          <w:sz w:val="15"/>
          <w:szCs w:val="15"/>
          <w:color w:val="auto"/>
        </w:rPr>
      </w:pPr>
    </w:p>
    <w:p>
      <w:pPr>
        <w:ind w:left="600" w:hanging="569"/>
        <w:spacing w:after="0"/>
        <w:tabs>
          <w:tab w:leader="none" w:pos="600" w:val="left"/>
        </w:tabs>
        <w:numPr>
          <w:ilvl w:val="0"/>
          <w:numId w:val="1"/>
        </w:numPr>
        <w:rPr>
          <w:rFonts w:ascii="Arial" w:cs="Arial" w:eastAsia="Arial" w:hAnsi="Arial"/>
          <w:sz w:val="15"/>
          <w:szCs w:val="15"/>
          <w:color w:val="auto"/>
        </w:rPr>
      </w:pPr>
      <w:r>
        <w:rPr>
          <w:rFonts w:ascii="Arial" w:cs="Arial" w:eastAsia="Arial" w:hAnsi="Arial"/>
          <w:sz w:val="13"/>
          <w:szCs w:val="13"/>
          <w:color w:val="auto"/>
        </w:rPr>
        <w:t>Pre-commencement communications pursuant to Rule 13e-4(c) under the Exchange Act (17 CFR 240.13e-4(c))</w:t>
      </w:r>
    </w:p>
    <w:p>
      <w:pPr>
        <w:sectPr>
          <w:pgSz w:w="11900" w:h="16838" w:orient="portrait"/>
          <w:cols w:equalWidth="0" w:num="1">
            <w:col w:w="10239"/>
          </w:cols>
          <w:pgMar w:left="220" w:top="1138"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1.01 Entry into a Material Definitive Agreement</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2.03 Creation of a Direct Financial Obligation or an Obligation under an Off-Balance Sheet Arrangement of a Registrant</w:t>
      </w:r>
    </w:p>
    <w:p>
      <w:pPr>
        <w:spacing w:after="0" w:line="230" w:lineRule="exact"/>
        <w:rPr>
          <w:sz w:val="20"/>
          <w:szCs w:val="20"/>
          <w:color w:val="auto"/>
        </w:rPr>
      </w:pPr>
    </w:p>
    <w:p>
      <w:pPr>
        <w:jc w:val="both"/>
        <w:ind w:firstLine="133"/>
        <w:spacing w:after="0" w:line="253" w:lineRule="auto"/>
        <w:rPr>
          <w:sz w:val="20"/>
          <w:szCs w:val="20"/>
          <w:color w:val="auto"/>
        </w:rPr>
      </w:pPr>
      <w:r>
        <w:rPr>
          <w:rFonts w:ascii="Arial" w:cs="Arial" w:eastAsia="Arial" w:hAnsi="Arial"/>
          <w:sz w:val="15"/>
          <w:szCs w:val="15"/>
          <w:color w:val="auto"/>
        </w:rPr>
        <w:t>On October 17, 2014, General Motors Company (“GM” “we”, “our” or the “Company”) amended and restated its two existing revolving credit facilities (together the “Facilities”) to increase aggregate borrowing capacity to $12.5 billion with JPMorgan Chase Bank, N.A., as the administrative agent, Citibank, N.A., as syndication agent, and a syndicate of 40 lenders. These Facilities amend and restate the $11.0 billion revolving credit facilities that we entered into in November 2012. The Facilities consist of a three-year, $5.0 billion facility and a five-year, $7.5 billion facility. These Facilities are unsecured and provide additional liquidity and improved terms.</w:t>
      </w:r>
    </w:p>
    <w:p>
      <w:pPr>
        <w:spacing w:after="0" w:line="159" w:lineRule="exact"/>
        <w:rPr>
          <w:sz w:val="20"/>
          <w:szCs w:val="20"/>
          <w:color w:val="auto"/>
        </w:rPr>
      </w:pPr>
    </w:p>
    <w:p>
      <w:pPr>
        <w:jc w:val="both"/>
        <w:ind w:firstLine="133"/>
        <w:spacing w:after="0" w:line="251" w:lineRule="auto"/>
        <w:rPr>
          <w:sz w:val="20"/>
          <w:szCs w:val="20"/>
          <w:color w:val="auto"/>
        </w:rPr>
      </w:pPr>
      <w:r>
        <w:rPr>
          <w:rFonts w:ascii="Arial" w:cs="Arial" w:eastAsia="Arial" w:hAnsi="Arial"/>
          <w:sz w:val="15"/>
          <w:szCs w:val="15"/>
          <w:color w:val="auto"/>
        </w:rPr>
        <w:t>The three-year, $5.0 billion facility is available to GM as well as certain other wholly-owned subsidiaries, including General Motors Financial Company, Inc., our captive finance company (“GM Financial”). This facility allows for borrowing in U.S. Dollars and other currencies and includes a GM Financial borrowing sub-limit of $2.0 billion, a letter of credit sub-facility of $1.6 billion and a Brazilian Real sub-facility of $0.3 billion. The five-year, $7.5 billion facility is available to GM as well as certain other wholly-owned subsidiaries, including GM Financial. This facility allows for borrowings in U.S. Dollars and other currencies and includes a GM Financial borrowing sub-limit of $2.0 billion, a letter of credit sub-limit of $0.5 billion and a Brazilian Real borrowing sub-facility of $0.2 billion.</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Additionally, subject to compliance with certain covenants, we can further upsize the Facilities.</w:t>
      </w:r>
    </w:p>
    <w:p>
      <w:pPr>
        <w:spacing w:after="0" w:line="182" w:lineRule="exact"/>
        <w:rPr>
          <w:sz w:val="20"/>
          <w:szCs w:val="20"/>
          <w:color w:val="auto"/>
        </w:rPr>
      </w:pPr>
    </w:p>
    <w:p>
      <w:pPr>
        <w:jc w:val="both"/>
        <w:ind w:firstLine="133"/>
        <w:spacing w:after="0" w:line="257" w:lineRule="auto"/>
        <w:rPr>
          <w:sz w:val="20"/>
          <w:szCs w:val="20"/>
          <w:color w:val="auto"/>
        </w:rPr>
      </w:pPr>
      <w:r>
        <w:rPr>
          <w:rFonts w:ascii="Arial" w:cs="Arial" w:eastAsia="Arial" w:hAnsi="Arial"/>
          <w:sz w:val="15"/>
          <w:szCs w:val="15"/>
          <w:color w:val="auto"/>
        </w:rPr>
        <w:t>The Company has guaranteed the obligations of subsidiary borrowers under the Facilities. If GM fails to maintain an investment grade corporate rating from two or more of the following credit rating agencies: Fitch Ratings, Moody's Investor Service and Standard &amp; Poor's, we will be required to provide guarantees from certain domestic subsidiaries under the terms of the Facilities.</w:t>
      </w:r>
    </w:p>
    <w:p>
      <w:pPr>
        <w:spacing w:after="0" w:line="155" w:lineRule="exact"/>
        <w:rPr>
          <w:sz w:val="20"/>
          <w:szCs w:val="20"/>
          <w:color w:val="auto"/>
        </w:rPr>
      </w:pPr>
    </w:p>
    <w:p>
      <w:pPr>
        <w:jc w:val="both"/>
        <w:ind w:firstLine="133"/>
        <w:spacing w:after="0" w:line="267" w:lineRule="auto"/>
        <w:rPr>
          <w:sz w:val="20"/>
          <w:szCs w:val="20"/>
          <w:color w:val="auto"/>
        </w:rPr>
      </w:pPr>
      <w:r>
        <w:rPr>
          <w:rFonts w:ascii="Arial" w:cs="Arial" w:eastAsia="Arial" w:hAnsi="Arial"/>
          <w:sz w:val="15"/>
          <w:szCs w:val="15"/>
          <w:color w:val="auto"/>
        </w:rPr>
        <w:t>Interest rates on obligations under the Facilities are based on prevailing annual interest rates for Eurodollar loans or an alternative base rate, both subject to an applicable margin. This applicable margin will be based upon the credit rating assigned to the Facilities.</w:t>
      </w:r>
    </w:p>
    <w:p>
      <w:pPr>
        <w:spacing w:after="0" w:line="148" w:lineRule="exact"/>
        <w:rPr>
          <w:sz w:val="20"/>
          <w:szCs w:val="20"/>
          <w:color w:val="auto"/>
        </w:rPr>
      </w:pPr>
    </w:p>
    <w:p>
      <w:pPr>
        <w:jc w:val="both"/>
        <w:ind w:firstLine="133"/>
        <w:spacing w:after="0" w:line="303" w:lineRule="auto"/>
        <w:rPr>
          <w:sz w:val="20"/>
          <w:szCs w:val="20"/>
          <w:color w:val="auto"/>
        </w:rPr>
      </w:pPr>
      <w:r>
        <w:rPr>
          <w:rFonts w:ascii="Arial" w:cs="Arial" w:eastAsia="Arial" w:hAnsi="Arial"/>
          <w:sz w:val="14"/>
          <w:szCs w:val="14"/>
          <w:color w:val="auto"/>
        </w:rPr>
        <w:t>The Facilities contain representations, warranties and covenants that are typical for these types of facilities. These covenants include restrictions on mergers or sales of assets and secured debt borrowings, subject to exceptions and limitations. The Facilities also require us to maintain at least $4.0 billion in global liquidity and at least $2.0 billion in U.S. liquidity.</w:t>
      </w:r>
    </w:p>
    <w:p>
      <w:pPr>
        <w:spacing w:after="0" w:line="125" w:lineRule="exact"/>
        <w:rPr>
          <w:sz w:val="20"/>
          <w:szCs w:val="20"/>
          <w:color w:val="auto"/>
        </w:rPr>
      </w:pPr>
    </w:p>
    <w:p>
      <w:pPr>
        <w:jc w:val="both"/>
        <w:ind w:firstLine="133"/>
        <w:spacing w:after="0" w:line="267" w:lineRule="auto"/>
        <w:rPr>
          <w:sz w:val="20"/>
          <w:szCs w:val="20"/>
          <w:color w:val="auto"/>
        </w:rPr>
      </w:pPr>
      <w:r>
        <w:rPr>
          <w:rFonts w:ascii="Arial" w:cs="Arial" w:eastAsia="Arial" w:hAnsi="Arial"/>
          <w:sz w:val="15"/>
          <w:szCs w:val="15"/>
          <w:color w:val="auto"/>
        </w:rPr>
        <w:t>Some of the lenders under the Facilities and their affiliates have various relationships with the Company and its subsidiaries involving the provision of financial services, including cash management, investment banking, trust and leasing services, and foreign exchange and other derivative arrangements.</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foregoing description does not constitute a complete summary of the Facilities and is qualified by reference in its entirety to the full text of the Facilities filed herewith.</w:t>
      </w:r>
    </w:p>
    <w:p>
      <w:pPr>
        <w:sectPr>
          <w:pgSz w:w="11900" w:h="16838" w:orient="portrait"/>
          <w:cols w:equalWidth="0" w:num="1">
            <w:col w:w="11460"/>
          </w:cols>
          <w:pgMar w:left="220" w:top="679" w:right="21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EXHIBITS</w:t>
            </w: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67"/>
        </w:trPr>
        <w:tc>
          <w:tcPr>
            <w:tcW w:w="980" w:type="dxa"/>
            <w:vAlign w:val="bottom"/>
            <w:gridSpan w:val="2"/>
          </w:tcPr>
          <w:p>
            <w:pPr>
              <w:spacing w:after="0"/>
              <w:rPr>
                <w:sz w:val="20"/>
                <w:szCs w:val="20"/>
                <w:color w:val="auto"/>
              </w:rPr>
            </w:pPr>
            <w:r>
              <w:rPr>
                <w:rFonts w:ascii="Arial" w:cs="Arial" w:eastAsia="Arial" w:hAnsi="Arial"/>
                <w:sz w:val="15"/>
                <w:szCs w:val="15"/>
                <w:color w:val="auto"/>
              </w:rPr>
              <w:t>Exhibit</w:t>
            </w:r>
          </w:p>
        </w:tc>
        <w:tc>
          <w:tcPr>
            <w:tcW w:w="8500" w:type="dxa"/>
            <w:vAlign w:val="bottom"/>
            <w:gridSpan w:val="5"/>
          </w:tcPr>
          <w:p>
            <w:pPr>
              <w:ind w:left="280"/>
              <w:spacing w:after="0"/>
              <w:rPr>
                <w:sz w:val="20"/>
                <w:szCs w:val="20"/>
                <w:color w:val="auto"/>
              </w:rPr>
            </w:pPr>
            <w:r>
              <w:rPr>
                <w:rFonts w:ascii="Arial" w:cs="Arial" w:eastAsia="Arial" w:hAnsi="Arial"/>
                <w:sz w:val="15"/>
                <w:szCs w:val="15"/>
                <w:color w:val="auto"/>
              </w:rPr>
              <w:t>Description</w:t>
            </w:r>
          </w:p>
        </w:tc>
        <w:tc>
          <w:tcPr>
            <w:tcW w:w="1240" w:type="dxa"/>
            <w:vAlign w:val="bottom"/>
            <w:gridSpan w:val="3"/>
          </w:tcPr>
          <w:p>
            <w:pPr>
              <w:ind w:left="60"/>
              <w:spacing w:after="0"/>
              <w:rPr>
                <w:sz w:val="20"/>
                <w:szCs w:val="20"/>
                <w:color w:val="auto"/>
              </w:rPr>
            </w:pPr>
            <w:r>
              <w:rPr>
                <w:rFonts w:ascii="Arial" w:cs="Arial" w:eastAsia="Arial" w:hAnsi="Arial"/>
                <w:sz w:val="15"/>
                <w:szCs w:val="15"/>
                <w:color w:val="auto"/>
              </w:rPr>
              <w:t>Method of Filing</w:t>
            </w:r>
          </w:p>
        </w:tc>
      </w:tr>
      <w:tr>
        <w:trPr>
          <w:trHeight w:val="20"/>
        </w:trPr>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90"/>
        </w:trPr>
        <w:tc>
          <w:tcPr>
            <w:tcW w:w="980" w:type="dxa"/>
            <w:vAlign w:val="bottom"/>
            <w:gridSpan w:val="2"/>
          </w:tcPr>
          <w:p>
            <w:pPr>
              <w:spacing w:after="0"/>
              <w:rPr>
                <w:sz w:val="20"/>
                <w:szCs w:val="20"/>
                <w:color w:val="auto"/>
              </w:rPr>
            </w:pPr>
            <w:r>
              <w:rPr>
                <w:rFonts w:ascii="Arial" w:cs="Arial" w:eastAsia="Arial" w:hAnsi="Arial"/>
                <w:sz w:val="15"/>
                <w:szCs w:val="15"/>
                <w:color w:val="auto"/>
              </w:rPr>
              <w:t>Exhibit 10.1</w:t>
            </w:r>
          </w:p>
        </w:tc>
        <w:tc>
          <w:tcPr>
            <w:tcW w:w="8500" w:type="dxa"/>
            <w:vAlign w:val="bottom"/>
            <w:gridSpan w:val="5"/>
          </w:tcPr>
          <w:p>
            <w:pPr>
              <w:ind w:left="280"/>
              <w:spacing w:after="0"/>
              <w:rPr>
                <w:sz w:val="20"/>
                <w:szCs w:val="20"/>
                <w:color w:val="auto"/>
              </w:rPr>
            </w:pPr>
            <w:r>
              <w:rPr>
                <w:rFonts w:ascii="Arial" w:cs="Arial" w:eastAsia="Arial" w:hAnsi="Arial"/>
                <w:sz w:val="15"/>
                <w:szCs w:val="15"/>
                <w:color w:val="auto"/>
                <w:w w:val="91"/>
              </w:rPr>
              <w:t>Amended and Restated 3-Year Revolving Credit Agreement, dated as of October 17, 2014, among General Motors Company, General</w:t>
            </w:r>
          </w:p>
        </w:tc>
        <w:tc>
          <w:tcPr>
            <w:tcW w:w="1240" w:type="dxa"/>
            <w:vAlign w:val="bottom"/>
            <w:gridSpan w:val="3"/>
          </w:tcPr>
          <w:p>
            <w:pPr>
              <w:ind w:left="60"/>
              <w:spacing w:after="0"/>
              <w:rPr>
                <w:sz w:val="20"/>
                <w:szCs w:val="20"/>
                <w:color w:val="auto"/>
              </w:rPr>
            </w:pPr>
            <w:r>
              <w:rPr>
                <w:rFonts w:ascii="Arial" w:cs="Arial" w:eastAsia="Arial" w:hAnsi="Arial"/>
                <w:sz w:val="15"/>
                <w:szCs w:val="15"/>
                <w:color w:val="auto"/>
                <w:w w:val="90"/>
              </w:rPr>
              <w:t>Attached as Exhibit</w:t>
            </w:r>
          </w:p>
        </w:tc>
      </w:tr>
      <w:tr>
        <w:trPr>
          <w:trHeight w:val="177"/>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500" w:type="dxa"/>
            <w:vAlign w:val="bottom"/>
            <w:gridSpan w:val="5"/>
          </w:tcPr>
          <w:p>
            <w:pPr>
              <w:ind w:left="280"/>
              <w:spacing w:after="0"/>
              <w:rPr>
                <w:sz w:val="20"/>
                <w:szCs w:val="20"/>
                <w:color w:val="auto"/>
              </w:rPr>
            </w:pPr>
            <w:r>
              <w:rPr>
                <w:rFonts w:ascii="Arial" w:cs="Arial" w:eastAsia="Arial" w:hAnsi="Arial"/>
                <w:sz w:val="15"/>
                <w:szCs w:val="15"/>
                <w:color w:val="auto"/>
                <w:w w:val="90"/>
              </w:rPr>
              <w:t>Motors Financial Company, Inc., GM Europe Treasury Company AB, General Motors do Brasil Ltda., the subsidiary borrowers from time</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500" w:type="dxa"/>
            <w:vAlign w:val="bottom"/>
            <w:gridSpan w:val="5"/>
          </w:tcPr>
          <w:p>
            <w:pPr>
              <w:ind w:left="280"/>
              <w:spacing w:after="0"/>
              <w:rPr>
                <w:sz w:val="20"/>
                <w:szCs w:val="20"/>
                <w:color w:val="auto"/>
              </w:rPr>
            </w:pPr>
            <w:r>
              <w:rPr>
                <w:rFonts w:ascii="Arial" w:cs="Arial" w:eastAsia="Arial" w:hAnsi="Arial"/>
                <w:sz w:val="15"/>
                <w:szCs w:val="15"/>
                <w:color w:val="auto"/>
                <w:w w:val="93"/>
              </w:rPr>
              <w:t>to time parties thereto, the several lenders from time to time party thereto, JPMorgan Chase Bank, N.A., as administrative agent, and</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8"/>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500" w:type="dxa"/>
            <w:vAlign w:val="bottom"/>
            <w:gridSpan w:val="5"/>
          </w:tcPr>
          <w:p>
            <w:pPr>
              <w:ind w:left="280"/>
              <w:spacing w:after="0"/>
              <w:rPr>
                <w:sz w:val="20"/>
                <w:szCs w:val="20"/>
                <w:color w:val="auto"/>
              </w:rPr>
            </w:pPr>
            <w:r>
              <w:rPr>
                <w:rFonts w:ascii="Arial" w:cs="Arial" w:eastAsia="Arial" w:hAnsi="Arial"/>
                <w:sz w:val="15"/>
                <w:szCs w:val="15"/>
                <w:color w:val="auto"/>
              </w:rPr>
              <w:t>Citibank, N.A., as syndication agent.†</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88"/>
        </w:trPr>
        <w:tc>
          <w:tcPr>
            <w:tcW w:w="980" w:type="dxa"/>
            <w:vAlign w:val="bottom"/>
            <w:gridSpan w:val="2"/>
          </w:tcPr>
          <w:p>
            <w:pPr>
              <w:spacing w:after="0"/>
              <w:rPr>
                <w:sz w:val="20"/>
                <w:szCs w:val="20"/>
                <w:color w:val="auto"/>
              </w:rPr>
            </w:pPr>
            <w:r>
              <w:rPr>
                <w:rFonts w:ascii="Arial" w:cs="Arial" w:eastAsia="Arial" w:hAnsi="Arial"/>
                <w:sz w:val="15"/>
                <w:szCs w:val="15"/>
                <w:color w:val="auto"/>
              </w:rPr>
              <w:t>Exhibit 10.2</w:t>
            </w:r>
          </w:p>
        </w:tc>
        <w:tc>
          <w:tcPr>
            <w:tcW w:w="8500" w:type="dxa"/>
            <w:vAlign w:val="bottom"/>
            <w:gridSpan w:val="5"/>
          </w:tcPr>
          <w:p>
            <w:pPr>
              <w:ind w:left="280"/>
              <w:spacing w:after="0"/>
              <w:rPr>
                <w:sz w:val="20"/>
                <w:szCs w:val="20"/>
                <w:color w:val="auto"/>
              </w:rPr>
            </w:pPr>
            <w:r>
              <w:rPr>
                <w:rFonts w:ascii="Arial" w:cs="Arial" w:eastAsia="Arial" w:hAnsi="Arial"/>
                <w:sz w:val="15"/>
                <w:szCs w:val="15"/>
                <w:color w:val="auto"/>
                <w:w w:val="91"/>
              </w:rPr>
              <w:t>Amended and Restated 5-Year Revolving Credit Agreement, dated as of October 17, 2014, among General Motors Company, General</w:t>
            </w:r>
          </w:p>
        </w:tc>
        <w:tc>
          <w:tcPr>
            <w:tcW w:w="1240" w:type="dxa"/>
            <w:vAlign w:val="bottom"/>
            <w:gridSpan w:val="3"/>
          </w:tcPr>
          <w:p>
            <w:pPr>
              <w:ind w:left="60"/>
              <w:spacing w:after="0"/>
              <w:rPr>
                <w:sz w:val="20"/>
                <w:szCs w:val="20"/>
                <w:color w:val="auto"/>
              </w:rPr>
            </w:pPr>
            <w:r>
              <w:rPr>
                <w:rFonts w:ascii="Arial" w:cs="Arial" w:eastAsia="Arial" w:hAnsi="Arial"/>
                <w:sz w:val="15"/>
                <w:szCs w:val="15"/>
                <w:color w:val="auto"/>
                <w:w w:val="90"/>
              </w:rPr>
              <w:t>Attached as Exhibit</w:t>
            </w:r>
          </w:p>
        </w:tc>
      </w:tr>
      <w:tr>
        <w:trPr>
          <w:trHeight w:val="177"/>
        </w:trPr>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500" w:type="dxa"/>
            <w:vAlign w:val="bottom"/>
            <w:gridSpan w:val="5"/>
          </w:tcPr>
          <w:p>
            <w:pPr>
              <w:ind w:left="280"/>
              <w:spacing w:after="0"/>
              <w:rPr>
                <w:sz w:val="20"/>
                <w:szCs w:val="20"/>
                <w:color w:val="auto"/>
              </w:rPr>
            </w:pPr>
            <w:r>
              <w:rPr>
                <w:rFonts w:ascii="Arial" w:cs="Arial" w:eastAsia="Arial" w:hAnsi="Arial"/>
                <w:sz w:val="15"/>
                <w:szCs w:val="15"/>
                <w:color w:val="auto"/>
                <w:w w:val="91"/>
              </w:rPr>
              <w:t>Motors Financial Company, Inc., General Motors do Brasil Ltda., the subsidiary borrowers from time to time parties thereto, the several</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8"/>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500" w:type="dxa"/>
            <w:vAlign w:val="bottom"/>
            <w:gridSpan w:val="5"/>
          </w:tcPr>
          <w:p>
            <w:pPr>
              <w:ind w:left="280"/>
              <w:spacing w:after="0"/>
              <w:rPr>
                <w:sz w:val="20"/>
                <w:szCs w:val="20"/>
                <w:color w:val="auto"/>
              </w:rPr>
            </w:pPr>
            <w:r>
              <w:rPr>
                <w:rFonts w:ascii="Arial" w:cs="Arial" w:eastAsia="Arial" w:hAnsi="Arial"/>
                <w:sz w:val="15"/>
                <w:szCs w:val="15"/>
                <w:color w:val="auto"/>
                <w:w w:val="90"/>
              </w:rPr>
              <w:t>lenders from time to time party thereto, JPMorgan Chase Bank, N.A., as administrative agent, and Citibank, N.A., as syndication agent.†</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1"/>
        </w:trPr>
        <w:tc>
          <w:tcPr>
            <w:tcW w:w="980" w:type="dxa"/>
            <w:vAlign w:val="bottom"/>
            <w:gridSpan w:val="2"/>
          </w:tcPr>
          <w:p>
            <w:pPr>
              <w:spacing w:after="0"/>
              <w:rPr>
                <w:sz w:val="20"/>
                <w:szCs w:val="20"/>
                <w:color w:val="auto"/>
              </w:rPr>
            </w:pPr>
            <w:r>
              <w:rPr>
                <w:rFonts w:ascii="Arial" w:cs="Arial" w:eastAsia="Arial" w:hAnsi="Arial"/>
                <w:sz w:val="15"/>
                <w:szCs w:val="15"/>
                <w:color w:val="auto"/>
              </w:rPr>
              <w:t>Exhibit 99.1</w:t>
            </w:r>
          </w:p>
        </w:tc>
        <w:tc>
          <w:tcPr>
            <w:tcW w:w="8500" w:type="dxa"/>
            <w:vAlign w:val="bottom"/>
            <w:gridSpan w:val="5"/>
          </w:tcPr>
          <w:p>
            <w:pPr>
              <w:ind w:left="280"/>
              <w:spacing w:after="0"/>
              <w:rPr>
                <w:sz w:val="20"/>
                <w:szCs w:val="20"/>
                <w:color w:val="auto"/>
              </w:rPr>
            </w:pPr>
            <w:r>
              <w:rPr>
                <w:rFonts w:ascii="Arial" w:cs="Arial" w:eastAsia="Arial" w:hAnsi="Arial"/>
                <w:sz w:val="15"/>
                <w:szCs w:val="15"/>
                <w:color w:val="auto"/>
              </w:rPr>
              <w:t>News Release Dated October 17, 2014</w:t>
            </w:r>
          </w:p>
        </w:tc>
        <w:tc>
          <w:tcPr>
            <w:tcW w:w="1240" w:type="dxa"/>
            <w:vAlign w:val="bottom"/>
            <w:gridSpan w:val="3"/>
          </w:tcPr>
          <w:p>
            <w:pPr>
              <w:ind w:left="60"/>
              <w:spacing w:after="0"/>
              <w:rPr>
                <w:sz w:val="20"/>
                <w:szCs w:val="20"/>
                <w:color w:val="auto"/>
              </w:rPr>
            </w:pPr>
            <w:r>
              <w:rPr>
                <w:rFonts w:ascii="Arial" w:cs="Arial" w:eastAsia="Arial" w:hAnsi="Arial"/>
                <w:sz w:val="15"/>
                <w:szCs w:val="15"/>
                <w:color w:val="auto"/>
                <w:w w:val="90"/>
              </w:rPr>
              <w:t>Attached as Exhibit</w:t>
            </w:r>
          </w:p>
        </w:tc>
      </w:tr>
    </w:tbl>
    <w:p>
      <w:pPr>
        <w:spacing w:after="0" w:line="100" w:lineRule="exact"/>
        <w:rPr>
          <w:sz w:val="20"/>
          <w:szCs w:val="20"/>
          <w:color w:val="auto"/>
        </w:rPr>
      </w:pPr>
    </w:p>
    <w:p>
      <w:pPr>
        <w:ind w:left="40" w:hanging="9"/>
        <w:spacing w:after="0" w:line="267" w:lineRule="auto"/>
        <w:tabs>
          <w:tab w:leader="none" w:pos="151" w:val="left"/>
        </w:tabs>
        <w:numPr>
          <w:ilvl w:val="0"/>
          <w:numId w:val="2"/>
        </w:numPr>
        <w:rPr>
          <w:rFonts w:ascii="Arial" w:cs="Arial" w:eastAsia="Arial" w:hAnsi="Arial"/>
          <w:sz w:val="15"/>
          <w:szCs w:val="15"/>
          <w:color w:val="auto"/>
        </w:rPr>
      </w:pPr>
      <w:r>
        <w:rPr>
          <w:rFonts w:ascii="Arial" w:cs="Arial" w:eastAsia="Arial" w:hAnsi="Arial"/>
          <w:sz w:val="15"/>
          <w:szCs w:val="15"/>
          <w:color w:val="auto"/>
        </w:rPr>
        <w:t>Portions of these exhibits have been omitted under a request for confidential treatment pursuant to Rule 24b-2 of the Securities Exchange Act of 1934 and filed separately with the United States Securities and Exchange Commission.</w:t>
      </w:r>
    </w:p>
    <w:p>
      <w:pPr>
        <w:sectPr>
          <w:pgSz w:w="11900" w:h="16838" w:orient="portrait"/>
          <w:cols w:equalWidth="0" w:num="1">
            <w:col w:w="11140"/>
          </w:cols>
          <w:pgMar w:left="220" w:top="501"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SIGNATURE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3"/>
              </w:rPr>
              <w:t>GENERAL MOTORS COMPANY</w:t>
            </w: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0" w:type="dxa"/>
            <w:vAlign w:val="bottom"/>
            <w:gridSpan w:val="2"/>
          </w:tcPr>
          <w:p>
            <w:pPr>
              <w:spacing w:after="0"/>
              <w:rPr>
                <w:sz w:val="20"/>
                <w:szCs w:val="20"/>
                <w:color w:val="auto"/>
              </w:rPr>
            </w:pPr>
            <w:r>
              <w:rPr>
                <w:rFonts w:ascii="Arial" w:cs="Arial" w:eastAsia="Arial" w:hAnsi="Arial"/>
                <w:sz w:val="15"/>
                <w:szCs w:val="15"/>
                <w:color w:val="auto"/>
              </w:rPr>
              <w:t>(Registrant)</w:t>
            </w:r>
          </w:p>
        </w:tc>
        <w:tc>
          <w:tcPr>
            <w:tcW w:w="0" w:type="dxa"/>
            <w:vAlign w:val="bottom"/>
          </w:tcPr>
          <w:p>
            <w:pPr>
              <w:spacing w:after="0"/>
              <w:rPr>
                <w:sz w:val="1"/>
                <w:szCs w:val="1"/>
                <w:color w:val="auto"/>
              </w:rPr>
            </w:pPr>
          </w:p>
        </w:tc>
      </w:tr>
      <w:tr>
        <w:trPr>
          <w:trHeight w:val="576"/>
        </w:trPr>
        <w:tc>
          <w:tcPr>
            <w:tcW w:w="3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5"/>
                <w:szCs w:val="15"/>
                <w:color w:val="auto"/>
              </w:rPr>
              <w:t>/s/ THOMAS S. TIMKO</w:t>
            </w:r>
          </w:p>
        </w:tc>
        <w:tc>
          <w:tcPr>
            <w:tcW w:w="0" w:type="dxa"/>
            <w:vAlign w:val="bottom"/>
          </w:tcPr>
          <w:p>
            <w:pPr>
              <w:spacing w:after="0"/>
              <w:rPr>
                <w:sz w:val="1"/>
                <w:szCs w:val="1"/>
                <w:color w:val="auto"/>
              </w:rPr>
            </w:pPr>
          </w:p>
        </w:tc>
      </w:tr>
      <w:tr>
        <w:trPr>
          <w:trHeight w:val="22"/>
        </w:trPr>
        <w:tc>
          <w:tcPr>
            <w:tcW w:w="3440" w:type="dxa"/>
            <w:vAlign w:val="bottom"/>
            <w:vMerge w:val="restart"/>
          </w:tcPr>
          <w:p>
            <w:pPr>
              <w:spacing w:after="0"/>
              <w:rPr>
                <w:sz w:val="20"/>
                <w:szCs w:val="20"/>
                <w:color w:val="auto"/>
              </w:rPr>
            </w:pPr>
            <w:r>
              <w:rPr>
                <w:rFonts w:ascii="Arial" w:cs="Arial" w:eastAsia="Arial" w:hAnsi="Arial"/>
                <w:sz w:val="15"/>
                <w:szCs w:val="15"/>
                <w:color w:val="auto"/>
              </w:rPr>
              <w:t>Date: October 22, 2014</w:t>
            </w:r>
          </w:p>
        </w:tc>
        <w:tc>
          <w:tcPr>
            <w:tcW w:w="2760" w:type="dxa"/>
            <w:vAlign w:val="bottom"/>
            <w:vMerge w:val="restart"/>
          </w:tcPr>
          <w:p>
            <w:pPr>
              <w:ind w:left="2080"/>
              <w:spacing w:after="0"/>
              <w:rPr>
                <w:sz w:val="20"/>
                <w:szCs w:val="20"/>
                <w:color w:val="auto"/>
              </w:rPr>
            </w:pPr>
            <w:r>
              <w:rPr>
                <w:rFonts w:ascii="Arial" w:cs="Arial" w:eastAsia="Arial" w:hAnsi="Arial"/>
                <w:sz w:val="15"/>
                <w:szCs w:val="15"/>
                <w:color w:val="auto"/>
              </w:rPr>
              <w:t>By:</w:t>
            </w: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gridSpan w:val="2"/>
          </w:tcPr>
          <w:p>
            <w:pPr>
              <w:spacing w:after="0"/>
              <w:rPr>
                <w:sz w:val="20"/>
                <w:szCs w:val="20"/>
                <w:color w:val="auto"/>
              </w:rPr>
            </w:pPr>
            <w:r>
              <w:rPr>
                <w:rFonts w:ascii="Arial" w:cs="Arial" w:eastAsia="Arial" w:hAnsi="Arial"/>
                <w:sz w:val="15"/>
                <w:szCs w:val="15"/>
                <w:color w:val="auto"/>
              </w:rPr>
              <w:t>Thomas S. Timko</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0" w:type="dxa"/>
            <w:vAlign w:val="bottom"/>
            <w:gridSpan w:val="2"/>
          </w:tcPr>
          <w:p>
            <w:pPr>
              <w:spacing w:after="0"/>
              <w:rPr>
                <w:sz w:val="20"/>
                <w:szCs w:val="20"/>
                <w:color w:val="auto"/>
              </w:rPr>
            </w:pPr>
            <w:r>
              <w:rPr>
                <w:rFonts w:ascii="Arial" w:cs="Arial" w:eastAsia="Arial" w:hAnsi="Arial"/>
                <w:sz w:val="15"/>
                <w:szCs w:val="15"/>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60"/>
          </w:cols>
          <w:pgMar w:left="220" w:top="501"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358"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AMENDED AND RESTATED 3-YEAR REVOLVING CREDIT AGREEMENT</w:t>
      </w: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Among</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GENERAL MOTORS COMPANY,</w:t>
      </w:r>
    </w:p>
    <w:p>
      <w:pPr>
        <w:spacing w:after="0" w:line="17" w:lineRule="exact"/>
        <w:rPr>
          <w:sz w:val="20"/>
          <w:szCs w:val="20"/>
          <w:color w:val="auto"/>
        </w:rPr>
      </w:pPr>
    </w:p>
    <w:p>
      <w:pPr>
        <w:jc w:val="center"/>
        <w:ind w:left="240" w:right="2780"/>
        <w:spacing w:after="0" w:line="244" w:lineRule="auto"/>
        <w:rPr>
          <w:sz w:val="20"/>
          <w:szCs w:val="20"/>
          <w:color w:val="auto"/>
        </w:rPr>
      </w:pPr>
      <w:r>
        <w:rPr>
          <w:rFonts w:ascii="Arial" w:cs="Arial" w:eastAsia="Arial" w:hAnsi="Arial"/>
          <w:sz w:val="18"/>
          <w:szCs w:val="18"/>
          <w:color w:val="auto"/>
        </w:rPr>
        <w:t>GENERAL MOTORS FINANCIAL COMPANY, INC., GM EUROPE TREASURY COMPANY AB, GENERAL MOTORS DO BRASIL LTDA., THE SUBSIDIARY BORROWERS FROM TIME TO TIME PARTIES HERETO, THE SEVERAL LENDERS FROM TIME TO TIME PARTIES HERETO,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17, 2014</w:t>
      </w:r>
    </w:p>
    <w:p>
      <w:pPr>
        <w:spacing w:after="0" w:line="200" w:lineRule="exact"/>
        <w:rPr>
          <w:sz w:val="20"/>
          <w:szCs w:val="20"/>
          <w:color w:val="auto"/>
        </w:rPr>
      </w:pPr>
    </w:p>
    <w:p>
      <w:pPr>
        <w:spacing w:after="0" w:line="282"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5380" w:type="dxa"/>
            <w:vAlign w:val="bottom"/>
            <w:gridSpan w:val="2"/>
          </w:tcPr>
          <w:p>
            <w:pPr>
              <w:jc w:val="center"/>
              <w:spacing w:after="0"/>
              <w:rPr>
                <w:sz w:val="20"/>
                <w:szCs w:val="20"/>
                <w:color w:val="auto"/>
              </w:rPr>
            </w:pPr>
            <w:r>
              <w:rPr>
                <w:rFonts w:ascii="Arial" w:cs="Arial" w:eastAsia="Arial" w:hAnsi="Arial"/>
                <w:sz w:val="16"/>
                <w:szCs w:val="16"/>
                <w:color w:val="auto"/>
                <w:w w:val="98"/>
              </w:rPr>
              <w:t>JPMORGAN CHASE BANK, N.A.,</w:t>
            </w:r>
          </w:p>
        </w:tc>
        <w:tc>
          <w:tcPr>
            <w:tcW w:w="5300" w:type="dxa"/>
            <w:vAlign w:val="bottom"/>
            <w:gridSpan w:val="2"/>
          </w:tcPr>
          <w:p>
            <w:pPr>
              <w:jc w:val="center"/>
              <w:spacing w:after="0"/>
              <w:rPr>
                <w:sz w:val="20"/>
                <w:szCs w:val="20"/>
                <w:color w:val="auto"/>
              </w:rPr>
            </w:pPr>
            <w:r>
              <w:rPr>
                <w:rFonts w:ascii="Arial" w:cs="Arial" w:eastAsia="Arial" w:hAnsi="Arial"/>
                <w:sz w:val="16"/>
                <w:szCs w:val="16"/>
                <w:color w:val="auto"/>
              </w:rPr>
              <w:t>CITIBANK, N.A.,</w:t>
            </w:r>
          </w:p>
        </w:tc>
      </w:tr>
      <w:tr>
        <w:trPr>
          <w:trHeight w:val="207"/>
        </w:trPr>
        <w:tc>
          <w:tcPr>
            <w:tcW w:w="5380" w:type="dxa"/>
            <w:vAlign w:val="bottom"/>
            <w:gridSpan w:val="2"/>
          </w:tcPr>
          <w:p>
            <w:pPr>
              <w:jc w:val="center"/>
              <w:spacing w:after="0"/>
              <w:rPr>
                <w:sz w:val="20"/>
                <w:szCs w:val="20"/>
                <w:color w:val="auto"/>
              </w:rPr>
            </w:pPr>
            <w:r>
              <w:rPr>
                <w:rFonts w:ascii="Arial" w:cs="Arial" w:eastAsia="Arial" w:hAnsi="Arial"/>
                <w:sz w:val="16"/>
                <w:szCs w:val="16"/>
                <w:i w:val="1"/>
                <w:iCs w:val="1"/>
                <w:color w:val="auto"/>
                <w:w w:val="92"/>
              </w:rPr>
              <w:t>as Administrative Agent</w:t>
            </w:r>
          </w:p>
        </w:tc>
        <w:tc>
          <w:tcPr>
            <w:tcW w:w="53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0"/>
              </w:rPr>
              <w:t>as Syndication Agent</w:t>
            </w:r>
          </w:p>
        </w:tc>
      </w:tr>
      <w:tr>
        <w:trPr>
          <w:trHeight w:val="214"/>
        </w:trPr>
        <w:tc>
          <w:tcPr>
            <w:tcW w:w="5380" w:type="dxa"/>
            <w:vAlign w:val="bottom"/>
            <w:gridSpan w:val="2"/>
          </w:tcPr>
          <w:p>
            <w:pPr>
              <w:jc w:val="center"/>
              <w:spacing w:after="0"/>
              <w:rPr>
                <w:sz w:val="20"/>
                <w:szCs w:val="20"/>
                <w:color w:val="auto"/>
              </w:rPr>
            </w:pPr>
            <w:r>
              <w:rPr>
                <w:rFonts w:ascii="Arial" w:cs="Arial" w:eastAsia="Arial" w:hAnsi="Arial"/>
                <w:sz w:val="16"/>
                <w:szCs w:val="16"/>
                <w:color w:val="auto"/>
                <w:w w:val="95"/>
              </w:rPr>
              <w:t xml:space="preserve">J.P. MORGAN SECURITIES LLC, </w:t>
            </w:r>
            <w:r>
              <w:rPr>
                <w:rFonts w:ascii="Arial" w:cs="Arial" w:eastAsia="Arial" w:hAnsi="Arial"/>
                <w:sz w:val="16"/>
                <w:szCs w:val="16"/>
                <w:i w:val="1"/>
                <w:iCs w:val="1"/>
                <w:color w:val="auto"/>
                <w:w w:val="95"/>
              </w:rPr>
              <w:t>as Global Coordinator, Joint Lead Arranger</w:t>
            </w:r>
          </w:p>
        </w:tc>
        <w:tc>
          <w:tcPr>
            <w:tcW w:w="5300" w:type="dxa"/>
            <w:vAlign w:val="bottom"/>
            <w:gridSpan w:val="2"/>
          </w:tcPr>
          <w:p>
            <w:pPr>
              <w:jc w:val="center"/>
              <w:spacing w:after="0"/>
              <w:rPr>
                <w:sz w:val="20"/>
                <w:szCs w:val="20"/>
                <w:color w:val="auto"/>
              </w:rPr>
            </w:pPr>
            <w:r>
              <w:rPr>
                <w:rFonts w:ascii="Arial" w:cs="Arial" w:eastAsia="Arial" w:hAnsi="Arial"/>
                <w:sz w:val="16"/>
                <w:szCs w:val="16"/>
                <w:color w:val="auto"/>
                <w:w w:val="96"/>
              </w:rPr>
              <w:t xml:space="preserve">CITIGROUP GLOBAL MARKETS INC., </w:t>
            </w:r>
            <w:r>
              <w:rPr>
                <w:rFonts w:ascii="Arial" w:cs="Arial" w:eastAsia="Arial" w:hAnsi="Arial"/>
                <w:sz w:val="16"/>
                <w:szCs w:val="16"/>
                <w:i w:val="1"/>
                <w:iCs w:val="1"/>
                <w:color w:val="auto"/>
                <w:w w:val="96"/>
              </w:rPr>
              <w:t>as Global Coordinator, Joint Lead</w:t>
            </w:r>
          </w:p>
        </w:tc>
      </w:tr>
      <w:tr>
        <w:trPr>
          <w:trHeight w:val="207"/>
        </w:trPr>
        <w:tc>
          <w:tcPr>
            <w:tcW w:w="5380" w:type="dxa"/>
            <w:vAlign w:val="bottom"/>
            <w:gridSpan w:val="2"/>
          </w:tcPr>
          <w:p>
            <w:pPr>
              <w:jc w:val="center"/>
              <w:spacing w:after="0"/>
              <w:rPr>
                <w:sz w:val="20"/>
                <w:szCs w:val="20"/>
                <w:color w:val="auto"/>
              </w:rPr>
            </w:pPr>
            <w:r>
              <w:rPr>
                <w:rFonts w:ascii="Arial" w:cs="Arial" w:eastAsia="Arial" w:hAnsi="Arial"/>
                <w:sz w:val="16"/>
                <w:szCs w:val="16"/>
                <w:i w:val="1"/>
                <w:iCs w:val="1"/>
                <w:color w:val="auto"/>
                <w:w w:val="93"/>
              </w:rPr>
              <w:t>and Joint Bookrunner</w:t>
            </w:r>
          </w:p>
        </w:tc>
        <w:tc>
          <w:tcPr>
            <w:tcW w:w="53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5"/>
              </w:rPr>
              <w:t>Arranger and Joint Bookrunner</w:t>
            </w:r>
          </w:p>
        </w:tc>
      </w:tr>
      <w:tr>
        <w:trPr>
          <w:trHeight w:val="472"/>
        </w:trPr>
        <w:tc>
          <w:tcPr>
            <w:tcW w:w="27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169"/>
        </w:trPr>
        <w:tc>
          <w:tcPr>
            <w:tcW w:w="2740" w:type="dxa"/>
            <w:vAlign w:val="bottom"/>
          </w:tcPr>
          <w:p>
            <w:pPr>
              <w:jc w:val="center"/>
              <w:spacing w:after="0" w:line="169" w:lineRule="exact"/>
              <w:rPr>
                <w:sz w:val="20"/>
                <w:szCs w:val="20"/>
                <w:color w:val="auto"/>
              </w:rPr>
            </w:pPr>
            <w:r>
              <w:rPr>
                <w:rFonts w:ascii="Arial" w:cs="Arial" w:eastAsia="Arial" w:hAnsi="Arial"/>
                <w:sz w:val="16"/>
                <w:szCs w:val="16"/>
                <w:color w:val="auto"/>
              </w:rPr>
              <w:t>INDUSTRIAL AND COMMERCIAL</w:t>
            </w:r>
          </w:p>
        </w:tc>
        <w:tc>
          <w:tcPr>
            <w:tcW w:w="2640" w:type="dxa"/>
            <w:vAlign w:val="bottom"/>
          </w:tcPr>
          <w:p>
            <w:pPr>
              <w:jc w:val="center"/>
              <w:ind w:right="40"/>
              <w:spacing w:after="0" w:line="169" w:lineRule="exact"/>
              <w:rPr>
                <w:sz w:val="20"/>
                <w:szCs w:val="20"/>
                <w:color w:val="auto"/>
              </w:rPr>
            </w:pPr>
            <w:r>
              <w:rPr>
                <w:rFonts w:ascii="Arial" w:cs="Arial" w:eastAsia="Arial" w:hAnsi="Arial"/>
                <w:sz w:val="15"/>
                <w:szCs w:val="15"/>
                <w:color w:val="auto"/>
              </w:rPr>
              <w:t>LLOYDS BANK PLC</w:t>
            </w:r>
            <w:r>
              <w:rPr>
                <w:rFonts w:ascii="Arial" w:cs="Arial" w:eastAsia="Arial" w:hAnsi="Arial"/>
                <w:sz w:val="19"/>
                <w:szCs w:val="19"/>
                <w:color w:val="auto"/>
                <w:vertAlign w:val="superscript"/>
              </w:rPr>
              <w:t>1,2</w:t>
            </w:r>
          </w:p>
        </w:tc>
        <w:tc>
          <w:tcPr>
            <w:tcW w:w="2620" w:type="dxa"/>
            <w:vAlign w:val="bottom"/>
          </w:tcPr>
          <w:p>
            <w:pPr>
              <w:jc w:val="center"/>
              <w:spacing w:after="0" w:line="169" w:lineRule="exact"/>
              <w:rPr>
                <w:sz w:val="20"/>
                <w:szCs w:val="20"/>
                <w:color w:val="auto"/>
              </w:rPr>
            </w:pPr>
            <w:r>
              <w:rPr>
                <w:rFonts w:ascii="Arial" w:cs="Arial" w:eastAsia="Arial" w:hAnsi="Arial"/>
                <w:sz w:val="16"/>
                <w:szCs w:val="16"/>
                <w:color w:val="auto"/>
                <w:w w:val="99"/>
              </w:rPr>
              <w:t>TORONTO DOMINION (TEXAS)</w:t>
            </w:r>
          </w:p>
        </w:tc>
        <w:tc>
          <w:tcPr>
            <w:tcW w:w="2680" w:type="dxa"/>
            <w:vAlign w:val="bottom"/>
          </w:tcPr>
          <w:p>
            <w:pPr>
              <w:jc w:val="center"/>
              <w:spacing w:after="0" w:line="169" w:lineRule="exact"/>
              <w:rPr>
                <w:sz w:val="20"/>
                <w:szCs w:val="20"/>
                <w:color w:val="auto"/>
              </w:rPr>
            </w:pPr>
            <w:r>
              <w:rPr>
                <w:rFonts w:ascii="Arial" w:cs="Arial" w:eastAsia="Arial" w:hAnsi="Arial"/>
                <w:sz w:val="15"/>
                <w:szCs w:val="15"/>
                <w:color w:val="auto"/>
              </w:rPr>
              <w:t>BANCO DO BRASIL S.A.</w:t>
            </w:r>
            <w:r>
              <w:rPr>
                <w:rFonts w:ascii="Arial" w:cs="Arial" w:eastAsia="Arial" w:hAnsi="Arial"/>
                <w:sz w:val="19"/>
                <w:szCs w:val="19"/>
                <w:color w:val="auto"/>
                <w:vertAlign w:val="superscript"/>
              </w:rPr>
              <w:t>3</w:t>
            </w:r>
          </w:p>
        </w:tc>
      </w:tr>
      <w:tr>
        <w:trPr>
          <w:trHeight w:val="188"/>
        </w:trPr>
        <w:tc>
          <w:tcPr>
            <w:tcW w:w="2740" w:type="dxa"/>
            <w:vAlign w:val="bottom"/>
          </w:tcPr>
          <w:p>
            <w:pPr>
              <w:jc w:val="center"/>
              <w:spacing w:after="0"/>
              <w:rPr>
                <w:sz w:val="20"/>
                <w:szCs w:val="20"/>
                <w:color w:val="auto"/>
              </w:rPr>
            </w:pPr>
            <w:r>
              <w:rPr>
                <w:rFonts w:ascii="Arial" w:cs="Arial" w:eastAsia="Arial" w:hAnsi="Arial"/>
                <w:sz w:val="16"/>
                <w:szCs w:val="16"/>
                <w:color w:val="auto"/>
              </w:rPr>
              <w:t>BANK OF CHINA LIMITED NEW</w:t>
            </w:r>
          </w:p>
        </w:tc>
        <w:tc>
          <w:tcPr>
            <w:tcW w:w="2640" w:type="dxa"/>
            <w:vAlign w:val="bottom"/>
          </w:tcPr>
          <w:p>
            <w:pPr>
              <w:spacing w:after="0"/>
              <w:rPr>
                <w:sz w:val="16"/>
                <w:szCs w:val="16"/>
                <w:color w:val="auto"/>
              </w:rPr>
            </w:pPr>
          </w:p>
        </w:tc>
        <w:tc>
          <w:tcPr>
            <w:tcW w:w="2620" w:type="dxa"/>
            <w:vAlign w:val="bottom"/>
          </w:tcPr>
          <w:p>
            <w:pPr>
              <w:jc w:val="center"/>
              <w:spacing w:after="0" w:line="189" w:lineRule="exact"/>
              <w:rPr>
                <w:sz w:val="20"/>
                <w:szCs w:val="20"/>
                <w:color w:val="auto"/>
              </w:rPr>
            </w:pPr>
            <w:r>
              <w:rPr>
                <w:rFonts w:ascii="Arial" w:cs="Arial" w:eastAsia="Arial" w:hAnsi="Arial"/>
                <w:sz w:val="21"/>
                <w:szCs w:val="21"/>
                <w:color w:val="auto"/>
                <w:vertAlign w:val="subscript"/>
              </w:rPr>
              <w:t>LLC</w:t>
            </w:r>
            <w:r>
              <w:rPr>
                <w:rFonts w:ascii="Arial" w:cs="Arial" w:eastAsia="Arial" w:hAnsi="Arial"/>
                <w:sz w:val="8"/>
                <w:szCs w:val="8"/>
                <w:color w:val="auto"/>
              </w:rPr>
              <w:t>1,2</w:t>
            </w:r>
          </w:p>
        </w:tc>
        <w:tc>
          <w:tcPr>
            <w:tcW w:w="2680" w:type="dxa"/>
            <w:vAlign w:val="bottom"/>
          </w:tcPr>
          <w:p>
            <w:pPr>
              <w:jc w:val="center"/>
              <w:spacing w:after="0"/>
              <w:rPr>
                <w:sz w:val="20"/>
                <w:szCs w:val="20"/>
                <w:color w:val="auto"/>
              </w:rPr>
            </w:pPr>
            <w:r>
              <w:rPr>
                <w:rFonts w:ascii="Arial" w:cs="Arial" w:eastAsia="Arial" w:hAnsi="Arial"/>
                <w:sz w:val="16"/>
                <w:szCs w:val="16"/>
                <w:color w:val="auto"/>
                <w:w w:val="96"/>
              </w:rPr>
              <w:t>BANCO BRADESCO S.A.</w:t>
            </w:r>
          </w:p>
        </w:tc>
      </w:tr>
      <w:tr>
        <w:trPr>
          <w:trHeight w:val="233"/>
        </w:trPr>
        <w:tc>
          <w:tcPr>
            <w:tcW w:w="2740" w:type="dxa"/>
            <w:vAlign w:val="bottom"/>
          </w:tcPr>
          <w:p>
            <w:pPr>
              <w:jc w:val="center"/>
              <w:spacing w:after="0"/>
              <w:rPr>
                <w:sz w:val="20"/>
                <w:szCs w:val="20"/>
                <w:color w:val="auto"/>
              </w:rPr>
            </w:pPr>
            <w:r>
              <w:rPr>
                <w:rFonts w:ascii="Arial" w:cs="Arial" w:eastAsia="Arial" w:hAnsi="Arial"/>
                <w:sz w:val="16"/>
                <w:szCs w:val="16"/>
                <w:color w:val="auto"/>
                <w:w w:val="95"/>
              </w:rPr>
              <w:t>YORK BRANCH</w:t>
            </w:r>
            <w:r>
              <w:rPr>
                <w:rFonts w:ascii="Arial" w:cs="Arial" w:eastAsia="Arial" w:hAnsi="Arial"/>
                <w:sz w:val="20"/>
                <w:szCs w:val="20"/>
                <w:color w:val="auto"/>
                <w:w w:val="95"/>
                <w:vertAlign w:val="superscript"/>
              </w:rPr>
              <w:t>1,2</w:t>
            </w:r>
          </w:p>
        </w:tc>
        <w:tc>
          <w:tcPr>
            <w:tcW w:w="2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188"/>
        </w:trPr>
        <w:tc>
          <w:tcPr>
            <w:tcW w:w="27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6"/>
                <w:szCs w:val="16"/>
                <w:i w:val="1"/>
                <w:iCs w:val="1"/>
                <w:color w:val="auto"/>
                <w:w w:val="93"/>
              </w:rPr>
              <w:t>as North American Regional</w:t>
            </w:r>
          </w:p>
        </w:tc>
        <w:tc>
          <w:tcPr>
            <w:tcW w:w="2680" w:type="dxa"/>
            <w:vAlign w:val="bottom"/>
          </w:tcPr>
          <w:p>
            <w:pPr>
              <w:jc w:val="center"/>
              <w:spacing w:after="0"/>
              <w:rPr>
                <w:sz w:val="20"/>
                <w:szCs w:val="20"/>
                <w:color w:val="auto"/>
              </w:rPr>
            </w:pPr>
            <w:r>
              <w:rPr>
                <w:rFonts w:ascii="Arial" w:cs="Arial" w:eastAsia="Arial" w:hAnsi="Arial"/>
                <w:sz w:val="16"/>
                <w:szCs w:val="16"/>
                <w:i w:val="1"/>
                <w:iCs w:val="1"/>
                <w:color w:val="auto"/>
                <w:w w:val="93"/>
              </w:rPr>
              <w:t>as Co-Latin American Regional</w:t>
            </w:r>
          </w:p>
        </w:tc>
      </w:tr>
      <w:tr>
        <w:trPr>
          <w:trHeight w:val="207"/>
        </w:trPr>
        <w:tc>
          <w:tcPr>
            <w:tcW w:w="2740" w:type="dxa"/>
            <w:vAlign w:val="bottom"/>
          </w:tcPr>
          <w:p>
            <w:pPr>
              <w:jc w:val="center"/>
              <w:spacing w:after="0"/>
              <w:rPr>
                <w:sz w:val="20"/>
                <w:szCs w:val="20"/>
                <w:color w:val="auto"/>
              </w:rPr>
            </w:pPr>
            <w:r>
              <w:rPr>
                <w:rFonts w:ascii="Arial" w:cs="Arial" w:eastAsia="Arial" w:hAnsi="Arial"/>
                <w:sz w:val="16"/>
                <w:szCs w:val="16"/>
                <w:i w:val="1"/>
                <w:iCs w:val="1"/>
                <w:color w:val="auto"/>
                <w:w w:val="93"/>
              </w:rPr>
              <w:t>as Asian Pacific Regional Coordinator</w:t>
            </w:r>
          </w:p>
        </w:tc>
        <w:tc>
          <w:tcPr>
            <w:tcW w:w="2640" w:type="dxa"/>
            <w:vAlign w:val="bottom"/>
          </w:tcPr>
          <w:p>
            <w:pPr>
              <w:jc w:val="center"/>
              <w:ind w:right="20"/>
              <w:spacing w:after="0"/>
              <w:rPr>
                <w:sz w:val="20"/>
                <w:szCs w:val="20"/>
                <w:color w:val="auto"/>
              </w:rPr>
            </w:pPr>
            <w:r>
              <w:rPr>
                <w:rFonts w:ascii="Arial" w:cs="Arial" w:eastAsia="Arial" w:hAnsi="Arial"/>
                <w:sz w:val="16"/>
                <w:szCs w:val="16"/>
                <w:i w:val="1"/>
                <w:iCs w:val="1"/>
                <w:color w:val="auto"/>
                <w:w w:val="93"/>
              </w:rPr>
              <w:t>as European Regional Coordinator</w:t>
            </w:r>
          </w:p>
        </w:tc>
        <w:tc>
          <w:tcPr>
            <w:tcW w:w="2620" w:type="dxa"/>
            <w:vAlign w:val="bottom"/>
          </w:tcPr>
          <w:p>
            <w:pPr>
              <w:jc w:val="center"/>
              <w:spacing w:after="0"/>
              <w:rPr>
                <w:sz w:val="20"/>
                <w:szCs w:val="20"/>
                <w:color w:val="auto"/>
              </w:rPr>
            </w:pPr>
            <w:r>
              <w:rPr>
                <w:rFonts w:ascii="Arial" w:cs="Arial" w:eastAsia="Arial" w:hAnsi="Arial"/>
                <w:sz w:val="16"/>
                <w:szCs w:val="16"/>
                <w:i w:val="1"/>
                <w:iCs w:val="1"/>
                <w:color w:val="auto"/>
                <w:w w:val="95"/>
              </w:rPr>
              <w:t>Coordinator</w:t>
            </w:r>
          </w:p>
        </w:tc>
        <w:tc>
          <w:tcPr>
            <w:tcW w:w="2680" w:type="dxa"/>
            <w:vAlign w:val="bottom"/>
          </w:tcPr>
          <w:p>
            <w:pPr>
              <w:jc w:val="center"/>
              <w:spacing w:after="0"/>
              <w:rPr>
                <w:sz w:val="20"/>
                <w:szCs w:val="20"/>
                <w:color w:val="auto"/>
              </w:rPr>
            </w:pPr>
            <w:r>
              <w:rPr>
                <w:rFonts w:ascii="Arial" w:cs="Arial" w:eastAsia="Arial" w:hAnsi="Arial"/>
                <w:sz w:val="16"/>
                <w:szCs w:val="16"/>
                <w:i w:val="1"/>
                <w:iCs w:val="1"/>
                <w:color w:val="auto"/>
                <w:w w:val="96"/>
              </w:rPr>
              <w:t>Coordinators</w:t>
            </w:r>
          </w:p>
        </w:tc>
      </w:tr>
      <w:tr>
        <w:trPr>
          <w:trHeight w:val="447"/>
        </w:trPr>
        <w:tc>
          <w:tcPr>
            <w:tcW w:w="2740" w:type="dxa"/>
            <w:vAlign w:val="bottom"/>
          </w:tcPr>
          <w:p>
            <w:pPr>
              <w:jc w:val="center"/>
              <w:ind w:right="39"/>
              <w:spacing w:after="0"/>
              <w:rPr>
                <w:sz w:val="20"/>
                <w:szCs w:val="20"/>
                <w:color w:val="auto"/>
              </w:rPr>
            </w:pPr>
            <w:r>
              <w:rPr>
                <w:rFonts w:ascii="Arial" w:cs="Arial" w:eastAsia="Arial" w:hAnsi="Arial"/>
                <w:sz w:val="16"/>
                <w:szCs w:val="16"/>
                <w:color w:val="auto"/>
                <w:w w:val="97"/>
              </w:rPr>
              <w:t>BARCLAYS BANK PLC</w:t>
            </w:r>
            <w:r>
              <w:rPr>
                <w:rFonts w:ascii="Arial" w:cs="Arial" w:eastAsia="Arial" w:hAnsi="Arial"/>
                <w:sz w:val="20"/>
                <w:szCs w:val="20"/>
                <w:color w:val="auto"/>
                <w:w w:val="97"/>
                <w:vertAlign w:val="superscript"/>
              </w:rPr>
              <w:t>1,2</w:t>
            </w:r>
          </w:p>
        </w:tc>
        <w:tc>
          <w:tcPr>
            <w:tcW w:w="2640" w:type="dxa"/>
            <w:vAlign w:val="bottom"/>
          </w:tcPr>
          <w:p>
            <w:pPr>
              <w:jc w:val="center"/>
              <w:ind w:right="40"/>
              <w:spacing w:after="0"/>
              <w:rPr>
                <w:sz w:val="20"/>
                <w:szCs w:val="20"/>
                <w:color w:val="auto"/>
              </w:rPr>
            </w:pPr>
            <w:r>
              <w:rPr>
                <w:rFonts w:ascii="Arial" w:cs="Arial" w:eastAsia="Arial" w:hAnsi="Arial"/>
                <w:sz w:val="16"/>
                <w:szCs w:val="16"/>
                <w:color w:val="auto"/>
                <w:w w:val="92"/>
              </w:rPr>
              <w:t>BNP PARIBAS</w:t>
            </w:r>
            <w:r>
              <w:rPr>
                <w:rFonts w:ascii="Arial" w:cs="Arial" w:eastAsia="Arial" w:hAnsi="Arial"/>
                <w:sz w:val="20"/>
                <w:szCs w:val="20"/>
                <w:color w:val="auto"/>
                <w:w w:val="92"/>
                <w:vertAlign w:val="superscript"/>
              </w:rPr>
              <w:t>1,2</w:t>
            </w:r>
          </w:p>
        </w:tc>
        <w:tc>
          <w:tcPr>
            <w:tcW w:w="2620" w:type="dxa"/>
            <w:vAlign w:val="bottom"/>
          </w:tcPr>
          <w:p>
            <w:pPr>
              <w:jc w:val="center"/>
              <w:spacing w:after="0"/>
              <w:rPr>
                <w:sz w:val="20"/>
                <w:szCs w:val="20"/>
                <w:color w:val="auto"/>
              </w:rPr>
            </w:pPr>
            <w:r>
              <w:rPr>
                <w:rFonts w:ascii="Arial" w:cs="Arial" w:eastAsia="Arial" w:hAnsi="Arial"/>
                <w:sz w:val="16"/>
                <w:szCs w:val="16"/>
                <w:color w:val="auto"/>
              </w:rPr>
              <w:t>COMMERZBANK CAPITAL</w:t>
            </w:r>
          </w:p>
        </w:tc>
        <w:tc>
          <w:tcPr>
            <w:tcW w:w="2680" w:type="dxa"/>
            <w:vAlign w:val="bottom"/>
          </w:tcPr>
          <w:p>
            <w:pPr>
              <w:jc w:val="center"/>
              <w:spacing w:after="0"/>
              <w:rPr>
                <w:sz w:val="20"/>
                <w:szCs w:val="20"/>
                <w:color w:val="auto"/>
              </w:rPr>
            </w:pPr>
            <w:r>
              <w:rPr>
                <w:rFonts w:ascii="Arial" w:cs="Arial" w:eastAsia="Arial" w:hAnsi="Arial"/>
                <w:sz w:val="16"/>
                <w:szCs w:val="16"/>
                <w:color w:val="auto"/>
                <w:w w:val="96"/>
              </w:rPr>
              <w:t>CREDIT AGRICOLE CORPORATE</w:t>
            </w:r>
          </w:p>
        </w:tc>
      </w:tr>
      <w:tr>
        <w:trPr>
          <w:trHeight w:val="233"/>
        </w:trPr>
        <w:tc>
          <w:tcPr>
            <w:tcW w:w="2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5"/>
              </w:rPr>
              <w:t>MARKETS</w:t>
            </w:r>
            <w:r>
              <w:rPr>
                <w:rFonts w:ascii="Arial" w:cs="Arial" w:eastAsia="Arial" w:hAnsi="Arial"/>
                <w:sz w:val="20"/>
                <w:szCs w:val="20"/>
                <w:color w:val="auto"/>
                <w:w w:val="95"/>
                <w:vertAlign w:val="superscript"/>
              </w:rPr>
              <w:t>1,2</w:t>
            </w:r>
          </w:p>
        </w:tc>
        <w:tc>
          <w:tcPr>
            <w:tcW w:w="2680" w:type="dxa"/>
            <w:vAlign w:val="bottom"/>
          </w:tcPr>
          <w:p>
            <w:pPr>
              <w:jc w:val="center"/>
              <w:spacing w:after="0"/>
              <w:rPr>
                <w:sz w:val="20"/>
                <w:szCs w:val="20"/>
                <w:color w:val="auto"/>
              </w:rPr>
            </w:pPr>
            <w:r>
              <w:rPr>
                <w:rFonts w:ascii="Arial" w:cs="Arial" w:eastAsia="Arial" w:hAnsi="Arial"/>
                <w:sz w:val="16"/>
                <w:szCs w:val="16"/>
                <w:color w:val="auto"/>
                <w:w w:val="99"/>
              </w:rPr>
              <w:t>AND INVESTMNT BANK</w:t>
            </w:r>
            <w:r>
              <w:rPr>
                <w:rFonts w:ascii="Arial" w:cs="Arial" w:eastAsia="Arial" w:hAnsi="Arial"/>
                <w:sz w:val="20"/>
                <w:szCs w:val="20"/>
                <w:color w:val="auto"/>
                <w:w w:val="99"/>
                <w:vertAlign w:val="superscript"/>
              </w:rPr>
              <w:t>1,2</w:t>
            </w:r>
          </w:p>
        </w:tc>
      </w:tr>
      <w:tr>
        <w:trPr>
          <w:trHeight w:val="188"/>
        </w:trPr>
        <w:tc>
          <w:tcPr>
            <w:tcW w:w="2740" w:type="dxa"/>
            <w:vAlign w:val="bottom"/>
          </w:tcPr>
          <w:p>
            <w:pPr>
              <w:jc w:val="center"/>
              <w:spacing w:after="0"/>
              <w:rPr>
                <w:sz w:val="20"/>
                <w:szCs w:val="20"/>
                <w:color w:val="auto"/>
              </w:rPr>
            </w:pPr>
            <w:r>
              <w:rPr>
                <w:rFonts w:ascii="Arial" w:cs="Arial" w:eastAsia="Arial" w:hAnsi="Arial"/>
                <w:sz w:val="16"/>
                <w:szCs w:val="16"/>
                <w:color w:val="auto"/>
                <w:w w:val="95"/>
              </w:rPr>
              <w:t>CREDIT SUISSE SECURITIES (USA)</w:t>
            </w:r>
          </w:p>
        </w:tc>
        <w:tc>
          <w:tcPr>
            <w:tcW w:w="2640" w:type="dxa"/>
            <w:vAlign w:val="bottom"/>
          </w:tcPr>
          <w:p>
            <w:pPr>
              <w:jc w:val="center"/>
              <w:ind w:right="20"/>
              <w:spacing w:after="0"/>
              <w:rPr>
                <w:sz w:val="20"/>
                <w:szCs w:val="20"/>
                <w:color w:val="auto"/>
              </w:rPr>
            </w:pPr>
            <w:r>
              <w:rPr>
                <w:rFonts w:ascii="Arial" w:cs="Arial" w:eastAsia="Arial" w:hAnsi="Arial"/>
                <w:sz w:val="16"/>
                <w:szCs w:val="16"/>
                <w:color w:val="auto"/>
                <w:w w:val="97"/>
              </w:rPr>
              <w:t>DEUTSCHE BANK SECURITIES</w:t>
            </w:r>
          </w:p>
        </w:tc>
        <w:tc>
          <w:tcPr>
            <w:tcW w:w="2620" w:type="dxa"/>
            <w:vAlign w:val="bottom"/>
          </w:tcPr>
          <w:p>
            <w:pPr>
              <w:jc w:val="center"/>
              <w:spacing w:after="0" w:line="188" w:lineRule="exact"/>
              <w:rPr>
                <w:sz w:val="20"/>
                <w:szCs w:val="20"/>
                <w:color w:val="auto"/>
              </w:rPr>
            </w:pPr>
            <w:r>
              <w:rPr>
                <w:rFonts w:ascii="Arial" w:cs="Arial" w:eastAsia="Arial" w:hAnsi="Arial"/>
                <w:sz w:val="16"/>
                <w:szCs w:val="16"/>
                <w:color w:val="auto"/>
                <w:w w:val="98"/>
              </w:rPr>
              <w:t>GOLDMAN SACHS BANK USA</w:t>
            </w:r>
            <w:r>
              <w:rPr>
                <w:rFonts w:ascii="Arial" w:cs="Arial" w:eastAsia="Arial" w:hAnsi="Arial"/>
                <w:sz w:val="20"/>
                <w:szCs w:val="20"/>
                <w:color w:val="auto"/>
                <w:w w:val="98"/>
                <w:vertAlign w:val="superscript"/>
              </w:rPr>
              <w:t>1,2</w:t>
            </w:r>
          </w:p>
        </w:tc>
        <w:tc>
          <w:tcPr>
            <w:tcW w:w="2680" w:type="dxa"/>
            <w:vAlign w:val="bottom"/>
          </w:tcPr>
          <w:p>
            <w:pPr>
              <w:jc w:val="center"/>
              <w:spacing w:after="0"/>
              <w:rPr>
                <w:sz w:val="20"/>
                <w:szCs w:val="20"/>
                <w:color w:val="auto"/>
              </w:rPr>
            </w:pPr>
            <w:r>
              <w:rPr>
                <w:rFonts w:ascii="Arial" w:cs="Arial" w:eastAsia="Arial" w:hAnsi="Arial"/>
                <w:sz w:val="16"/>
                <w:szCs w:val="16"/>
                <w:color w:val="auto"/>
                <w:w w:val="98"/>
              </w:rPr>
              <w:t>MERRILL LYNCH, PIERCE,</w:t>
            </w:r>
          </w:p>
        </w:tc>
      </w:tr>
      <w:tr>
        <w:trPr>
          <w:trHeight w:val="188"/>
        </w:trPr>
        <w:tc>
          <w:tcPr>
            <w:tcW w:w="2740" w:type="dxa"/>
            <w:vAlign w:val="bottom"/>
          </w:tcPr>
          <w:p>
            <w:pPr>
              <w:ind w:left="1120"/>
              <w:spacing w:after="0" w:line="188" w:lineRule="exact"/>
              <w:rPr>
                <w:sz w:val="20"/>
                <w:szCs w:val="20"/>
                <w:color w:val="auto"/>
              </w:rPr>
            </w:pPr>
            <w:r>
              <w:rPr>
                <w:rFonts w:ascii="Arial" w:cs="Arial" w:eastAsia="Arial" w:hAnsi="Arial"/>
                <w:sz w:val="16"/>
                <w:szCs w:val="16"/>
                <w:color w:val="auto"/>
              </w:rPr>
              <w:t>LLC</w:t>
            </w:r>
            <w:r>
              <w:rPr>
                <w:rFonts w:ascii="Arial" w:cs="Arial" w:eastAsia="Arial" w:hAnsi="Arial"/>
                <w:sz w:val="20"/>
                <w:szCs w:val="20"/>
                <w:color w:val="auto"/>
                <w:vertAlign w:val="superscript"/>
              </w:rPr>
              <w:t>1</w:t>
            </w:r>
          </w:p>
        </w:tc>
        <w:tc>
          <w:tcPr>
            <w:tcW w:w="2640" w:type="dxa"/>
            <w:vAlign w:val="bottom"/>
          </w:tcPr>
          <w:p>
            <w:pPr>
              <w:jc w:val="center"/>
              <w:ind w:right="40"/>
              <w:spacing w:after="0" w:line="188" w:lineRule="exact"/>
              <w:rPr>
                <w:sz w:val="20"/>
                <w:szCs w:val="20"/>
                <w:color w:val="auto"/>
              </w:rPr>
            </w:pPr>
            <w:r>
              <w:rPr>
                <w:rFonts w:ascii="Arial" w:cs="Arial" w:eastAsia="Arial" w:hAnsi="Arial"/>
                <w:sz w:val="16"/>
                <w:szCs w:val="16"/>
                <w:color w:val="auto"/>
                <w:w w:val="86"/>
              </w:rPr>
              <w:t>INC.</w:t>
            </w:r>
            <w:r>
              <w:rPr>
                <w:rFonts w:ascii="Arial" w:cs="Arial" w:eastAsia="Arial" w:hAnsi="Arial"/>
                <w:sz w:val="20"/>
                <w:szCs w:val="20"/>
                <w:color w:val="auto"/>
                <w:w w:val="86"/>
                <w:vertAlign w:val="superscript"/>
              </w:rPr>
              <w:t>1,2</w:t>
            </w:r>
          </w:p>
        </w:tc>
        <w:tc>
          <w:tcPr>
            <w:tcW w:w="262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w w:val="99"/>
              </w:rPr>
              <w:t>FENNER &amp; SMITH</w:t>
            </w:r>
          </w:p>
        </w:tc>
      </w:tr>
      <w:tr>
        <w:trPr>
          <w:trHeight w:val="188"/>
        </w:trPr>
        <w:tc>
          <w:tcPr>
            <w:tcW w:w="2740" w:type="dxa"/>
            <w:vAlign w:val="bottom"/>
          </w:tcPr>
          <w:p>
            <w:pPr>
              <w:jc w:val="center"/>
              <w:spacing w:after="0" w:line="188" w:lineRule="exact"/>
              <w:rPr>
                <w:sz w:val="20"/>
                <w:szCs w:val="20"/>
                <w:color w:val="auto"/>
              </w:rPr>
            </w:pPr>
            <w:r>
              <w:rPr>
                <w:rFonts w:ascii="Arial" w:cs="Arial" w:eastAsia="Arial" w:hAnsi="Arial"/>
                <w:sz w:val="16"/>
                <w:szCs w:val="16"/>
                <w:color w:val="auto"/>
                <w:w w:val="95"/>
              </w:rPr>
              <w:t>CREDIT SUISSE AG</w:t>
            </w:r>
            <w:r>
              <w:rPr>
                <w:rFonts w:ascii="Arial" w:cs="Arial" w:eastAsia="Arial" w:hAnsi="Arial"/>
                <w:sz w:val="20"/>
                <w:szCs w:val="20"/>
                <w:color w:val="auto"/>
                <w:w w:val="95"/>
                <w:vertAlign w:val="superscript"/>
              </w:rPr>
              <w:t>2</w:t>
            </w:r>
          </w:p>
        </w:tc>
        <w:tc>
          <w:tcPr>
            <w:tcW w:w="2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80" w:type="dxa"/>
            <w:vAlign w:val="bottom"/>
          </w:tcPr>
          <w:p>
            <w:pPr>
              <w:jc w:val="center"/>
              <w:spacing w:after="0" w:line="188" w:lineRule="exact"/>
              <w:rPr>
                <w:sz w:val="20"/>
                <w:szCs w:val="20"/>
                <w:color w:val="auto"/>
              </w:rPr>
            </w:pPr>
            <w:r>
              <w:rPr>
                <w:rFonts w:ascii="Arial" w:cs="Arial" w:eastAsia="Arial" w:hAnsi="Arial"/>
                <w:sz w:val="16"/>
                <w:szCs w:val="16"/>
                <w:color w:val="auto"/>
                <w:w w:val="93"/>
              </w:rPr>
              <w:t>INCORPORATED</w:t>
            </w:r>
            <w:r>
              <w:rPr>
                <w:rFonts w:ascii="Arial" w:cs="Arial" w:eastAsia="Arial" w:hAnsi="Arial"/>
                <w:sz w:val="20"/>
                <w:szCs w:val="20"/>
                <w:color w:val="auto"/>
                <w:w w:val="93"/>
                <w:vertAlign w:val="superscript"/>
              </w:rPr>
              <w:t>1</w:t>
            </w:r>
          </w:p>
        </w:tc>
      </w:tr>
      <w:tr>
        <w:trPr>
          <w:trHeight w:val="207"/>
        </w:trPr>
        <w:tc>
          <w:tcPr>
            <w:tcW w:w="2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i w:val="1"/>
                <w:iCs w:val="1"/>
                <w:color w:val="auto"/>
                <w:w w:val="90"/>
              </w:rPr>
              <w:t>as Co-Syndication Agent</w:t>
            </w:r>
          </w:p>
        </w:tc>
      </w:tr>
    </w:tbl>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14"/>
        </w:trPr>
        <w:tc>
          <w:tcPr>
            <w:tcW w:w="4260" w:type="dxa"/>
            <w:vAlign w:val="bottom"/>
          </w:tcPr>
          <w:p>
            <w:pPr>
              <w:spacing w:after="0" w:line="214" w:lineRule="exact"/>
              <w:rPr>
                <w:sz w:val="20"/>
                <w:szCs w:val="20"/>
                <w:color w:val="auto"/>
              </w:rPr>
            </w:pPr>
            <w:r>
              <w:rPr>
                <w:rFonts w:ascii="Arial" w:cs="Arial" w:eastAsia="Arial" w:hAnsi="Arial"/>
                <w:sz w:val="16"/>
                <w:szCs w:val="16"/>
                <w:color w:val="auto"/>
              </w:rPr>
              <w:t>MIZUHO BANK, LTD.</w:t>
            </w:r>
            <w:r>
              <w:rPr>
                <w:rFonts w:ascii="Arial" w:cs="Arial" w:eastAsia="Arial" w:hAnsi="Arial"/>
                <w:sz w:val="20"/>
                <w:szCs w:val="20"/>
                <w:color w:val="auto"/>
                <w:vertAlign w:val="superscript"/>
              </w:rPr>
              <w:t>1,2</w:t>
            </w:r>
            <w:r>
              <w:rPr>
                <w:rFonts w:ascii="Arial" w:cs="Arial" w:eastAsia="Arial" w:hAnsi="Arial"/>
                <w:sz w:val="16"/>
                <w:szCs w:val="16"/>
                <w:color w:val="auto"/>
              </w:rPr>
              <w:t xml:space="preserve">     MORGAN STANLEY SENIOR</w:t>
            </w:r>
          </w:p>
        </w:tc>
        <w:tc>
          <w:tcPr>
            <w:tcW w:w="1840" w:type="dxa"/>
            <w:vAlign w:val="bottom"/>
          </w:tcPr>
          <w:p>
            <w:pPr>
              <w:jc w:val="center"/>
              <w:ind w:right="19"/>
              <w:spacing w:after="0"/>
              <w:rPr>
                <w:sz w:val="20"/>
                <w:szCs w:val="20"/>
                <w:color w:val="auto"/>
              </w:rPr>
            </w:pPr>
            <w:r>
              <w:rPr>
                <w:rFonts w:ascii="Arial" w:cs="Arial" w:eastAsia="Arial" w:hAnsi="Arial"/>
                <w:sz w:val="16"/>
                <w:szCs w:val="16"/>
                <w:color w:val="auto"/>
                <w:w w:val="97"/>
              </w:rPr>
              <w:t>RBC CAPITAL</w:t>
            </w:r>
          </w:p>
        </w:tc>
        <w:tc>
          <w:tcPr>
            <w:tcW w:w="2220" w:type="dxa"/>
            <w:vAlign w:val="bottom"/>
          </w:tcPr>
          <w:p>
            <w:pPr>
              <w:jc w:val="center"/>
              <w:ind w:left="19"/>
              <w:spacing w:after="0"/>
              <w:rPr>
                <w:sz w:val="20"/>
                <w:szCs w:val="20"/>
                <w:color w:val="auto"/>
              </w:rPr>
            </w:pPr>
            <w:r>
              <w:rPr>
                <w:rFonts w:ascii="Arial" w:cs="Arial" w:eastAsia="Arial" w:hAnsi="Arial"/>
                <w:sz w:val="16"/>
                <w:szCs w:val="16"/>
                <w:color w:val="auto"/>
                <w:w w:val="95"/>
              </w:rPr>
              <w:t>RBS SECURITIES</w:t>
            </w:r>
          </w:p>
        </w:tc>
        <w:tc>
          <w:tcPr>
            <w:tcW w:w="1920" w:type="dxa"/>
            <w:vAlign w:val="bottom"/>
          </w:tcPr>
          <w:p>
            <w:pPr>
              <w:ind w:left="220"/>
              <w:spacing w:after="0" w:line="214" w:lineRule="exact"/>
              <w:rPr>
                <w:sz w:val="20"/>
                <w:szCs w:val="20"/>
                <w:color w:val="auto"/>
              </w:rPr>
            </w:pPr>
            <w:r>
              <w:rPr>
                <w:rFonts w:ascii="Arial" w:cs="Arial" w:eastAsia="Arial" w:hAnsi="Arial"/>
                <w:sz w:val="16"/>
                <w:szCs w:val="16"/>
                <w:color w:val="auto"/>
                <w:w w:val="93"/>
              </w:rPr>
              <w:t>SOCIÉTÉ GÉNÉRALE</w:t>
            </w:r>
            <w:r>
              <w:rPr>
                <w:rFonts w:ascii="Arial" w:cs="Arial" w:eastAsia="Arial" w:hAnsi="Arial"/>
                <w:sz w:val="20"/>
                <w:szCs w:val="20"/>
                <w:color w:val="auto"/>
                <w:w w:val="93"/>
                <w:vertAlign w:val="superscript"/>
              </w:rPr>
              <w:t>1,2</w:t>
            </w:r>
          </w:p>
        </w:tc>
      </w:tr>
      <w:tr>
        <w:trPr>
          <w:trHeight w:val="188"/>
        </w:trPr>
        <w:tc>
          <w:tcPr>
            <w:tcW w:w="4260" w:type="dxa"/>
            <w:vAlign w:val="bottom"/>
          </w:tcPr>
          <w:p>
            <w:pPr>
              <w:ind w:left="2360"/>
              <w:spacing w:after="0" w:line="188" w:lineRule="exact"/>
              <w:rPr>
                <w:sz w:val="20"/>
                <w:szCs w:val="20"/>
                <w:color w:val="auto"/>
              </w:rPr>
            </w:pPr>
            <w:r>
              <w:rPr>
                <w:rFonts w:ascii="Arial" w:cs="Arial" w:eastAsia="Arial" w:hAnsi="Arial"/>
                <w:sz w:val="16"/>
                <w:szCs w:val="16"/>
                <w:color w:val="auto"/>
              </w:rPr>
              <w:t>FUNDING, INC.</w:t>
            </w:r>
            <w:r>
              <w:rPr>
                <w:rFonts w:ascii="Arial" w:cs="Arial" w:eastAsia="Arial" w:hAnsi="Arial"/>
                <w:sz w:val="20"/>
                <w:szCs w:val="20"/>
                <w:color w:val="auto"/>
                <w:vertAlign w:val="superscript"/>
              </w:rPr>
              <w:t>1,2</w:t>
            </w:r>
          </w:p>
        </w:tc>
        <w:tc>
          <w:tcPr>
            <w:tcW w:w="1840" w:type="dxa"/>
            <w:vAlign w:val="bottom"/>
          </w:tcPr>
          <w:p>
            <w:pPr>
              <w:ind w:left="420"/>
              <w:spacing w:after="0" w:line="188" w:lineRule="exact"/>
              <w:rPr>
                <w:sz w:val="20"/>
                <w:szCs w:val="20"/>
                <w:color w:val="auto"/>
              </w:rPr>
            </w:pPr>
            <w:r>
              <w:rPr>
                <w:rFonts w:ascii="Arial" w:cs="Arial" w:eastAsia="Arial" w:hAnsi="Arial"/>
                <w:sz w:val="16"/>
                <w:szCs w:val="16"/>
                <w:color w:val="auto"/>
              </w:rPr>
              <w:t>MARKETS</w:t>
            </w:r>
            <w:r>
              <w:rPr>
                <w:rFonts w:ascii="Arial" w:cs="Arial" w:eastAsia="Arial" w:hAnsi="Arial"/>
                <w:sz w:val="20"/>
                <w:szCs w:val="20"/>
                <w:color w:val="auto"/>
                <w:vertAlign w:val="superscript"/>
              </w:rPr>
              <w:t>1</w:t>
            </w:r>
          </w:p>
        </w:tc>
        <w:tc>
          <w:tcPr>
            <w:tcW w:w="2220" w:type="dxa"/>
            <w:vAlign w:val="bottom"/>
          </w:tcPr>
          <w:p>
            <w:pPr>
              <w:jc w:val="center"/>
              <w:ind w:left="19"/>
              <w:spacing w:after="0" w:line="188" w:lineRule="exact"/>
              <w:rPr>
                <w:sz w:val="20"/>
                <w:szCs w:val="20"/>
                <w:color w:val="auto"/>
              </w:rPr>
            </w:pPr>
            <w:r>
              <w:rPr>
                <w:rFonts w:ascii="Arial" w:cs="Arial" w:eastAsia="Arial" w:hAnsi="Arial"/>
                <w:sz w:val="16"/>
                <w:szCs w:val="16"/>
                <w:color w:val="auto"/>
                <w:w w:val="91"/>
              </w:rPr>
              <w:t>INC.</w:t>
            </w:r>
            <w:r>
              <w:rPr>
                <w:rFonts w:ascii="Arial" w:cs="Arial" w:eastAsia="Arial" w:hAnsi="Arial"/>
                <w:sz w:val="20"/>
                <w:szCs w:val="20"/>
                <w:color w:val="auto"/>
                <w:w w:val="91"/>
                <w:vertAlign w:val="superscript"/>
              </w:rPr>
              <w:t>1</w:t>
            </w:r>
          </w:p>
        </w:tc>
        <w:tc>
          <w:tcPr>
            <w:tcW w:w="1920" w:type="dxa"/>
            <w:vAlign w:val="bottom"/>
          </w:tcPr>
          <w:p>
            <w:pPr>
              <w:spacing w:after="0"/>
              <w:rPr>
                <w:sz w:val="16"/>
                <w:szCs w:val="16"/>
                <w:color w:val="auto"/>
              </w:rPr>
            </w:pPr>
          </w:p>
        </w:tc>
      </w:tr>
      <w:tr>
        <w:trPr>
          <w:trHeight w:val="188"/>
        </w:trPr>
        <w:tc>
          <w:tcPr>
            <w:tcW w:w="4260" w:type="dxa"/>
            <w:vAlign w:val="bottom"/>
          </w:tcPr>
          <w:p>
            <w:pPr>
              <w:spacing w:after="0"/>
              <w:rPr>
                <w:sz w:val="16"/>
                <w:szCs w:val="16"/>
                <w:color w:val="auto"/>
              </w:rPr>
            </w:pPr>
          </w:p>
        </w:tc>
        <w:tc>
          <w:tcPr>
            <w:tcW w:w="1840" w:type="dxa"/>
            <w:vAlign w:val="bottom"/>
          </w:tcPr>
          <w:p>
            <w:pPr>
              <w:jc w:val="center"/>
              <w:ind w:right="19"/>
              <w:spacing w:after="0"/>
              <w:rPr>
                <w:sz w:val="20"/>
                <w:szCs w:val="20"/>
                <w:color w:val="auto"/>
              </w:rPr>
            </w:pPr>
            <w:r>
              <w:rPr>
                <w:rFonts w:ascii="Arial" w:cs="Arial" w:eastAsia="Arial" w:hAnsi="Arial"/>
                <w:sz w:val="16"/>
                <w:szCs w:val="16"/>
                <w:color w:val="auto"/>
              </w:rPr>
              <w:t>ROYAL BANK OF</w:t>
            </w:r>
          </w:p>
        </w:tc>
        <w:tc>
          <w:tcPr>
            <w:tcW w:w="2220" w:type="dxa"/>
            <w:vAlign w:val="bottom"/>
          </w:tcPr>
          <w:p>
            <w:pPr>
              <w:jc w:val="center"/>
              <w:ind w:left="19"/>
              <w:spacing w:after="0"/>
              <w:rPr>
                <w:sz w:val="20"/>
                <w:szCs w:val="20"/>
                <w:color w:val="auto"/>
              </w:rPr>
            </w:pPr>
            <w:r>
              <w:rPr>
                <w:rFonts w:ascii="Arial" w:cs="Arial" w:eastAsia="Arial" w:hAnsi="Arial"/>
                <w:sz w:val="16"/>
                <w:szCs w:val="16"/>
                <w:color w:val="auto"/>
                <w:w w:val="99"/>
              </w:rPr>
              <w:t>THE ROYAL BANK OF</w:t>
            </w:r>
          </w:p>
        </w:tc>
        <w:tc>
          <w:tcPr>
            <w:tcW w:w="1920" w:type="dxa"/>
            <w:vAlign w:val="bottom"/>
          </w:tcPr>
          <w:p>
            <w:pPr>
              <w:spacing w:after="0"/>
              <w:rPr>
                <w:sz w:val="16"/>
                <w:szCs w:val="16"/>
                <w:color w:val="auto"/>
              </w:rPr>
            </w:pPr>
          </w:p>
        </w:tc>
      </w:tr>
      <w:tr>
        <w:trPr>
          <w:trHeight w:val="244"/>
        </w:trPr>
        <w:tc>
          <w:tcPr>
            <w:tcW w:w="4260" w:type="dxa"/>
            <w:vAlign w:val="bottom"/>
          </w:tcPr>
          <w:p>
            <w:pPr>
              <w:spacing w:after="0"/>
              <w:rPr>
                <w:sz w:val="21"/>
                <w:szCs w:val="21"/>
                <w:color w:val="auto"/>
              </w:rPr>
            </w:pPr>
          </w:p>
        </w:tc>
        <w:tc>
          <w:tcPr>
            <w:tcW w:w="1840" w:type="dxa"/>
            <w:vAlign w:val="bottom"/>
          </w:tcPr>
          <w:p>
            <w:pPr>
              <w:jc w:val="center"/>
              <w:ind w:right="19"/>
              <w:spacing w:after="0"/>
              <w:rPr>
                <w:sz w:val="20"/>
                <w:szCs w:val="20"/>
                <w:color w:val="auto"/>
              </w:rPr>
            </w:pPr>
            <w:r>
              <w:rPr>
                <w:rFonts w:ascii="Arial" w:cs="Arial" w:eastAsia="Arial" w:hAnsi="Arial"/>
                <w:sz w:val="16"/>
                <w:szCs w:val="16"/>
                <w:color w:val="auto"/>
                <w:w w:val="99"/>
              </w:rPr>
              <w:t>CANADA</w:t>
            </w:r>
            <w:r>
              <w:rPr>
                <w:rFonts w:ascii="Arial" w:cs="Arial" w:eastAsia="Arial" w:hAnsi="Arial"/>
                <w:sz w:val="20"/>
                <w:szCs w:val="20"/>
                <w:color w:val="auto"/>
                <w:w w:val="99"/>
                <w:vertAlign w:val="superscript"/>
              </w:rPr>
              <w:t>2</w:t>
            </w:r>
          </w:p>
        </w:tc>
        <w:tc>
          <w:tcPr>
            <w:tcW w:w="2220" w:type="dxa"/>
            <w:vAlign w:val="bottom"/>
          </w:tcPr>
          <w:p>
            <w:pPr>
              <w:jc w:val="center"/>
              <w:ind w:left="39"/>
              <w:spacing w:after="0"/>
              <w:rPr>
                <w:sz w:val="20"/>
                <w:szCs w:val="20"/>
                <w:color w:val="auto"/>
              </w:rPr>
            </w:pPr>
            <w:r>
              <w:rPr>
                <w:rFonts w:ascii="Arial" w:cs="Arial" w:eastAsia="Arial" w:hAnsi="Arial"/>
                <w:sz w:val="16"/>
                <w:szCs w:val="16"/>
                <w:color w:val="auto"/>
                <w:w w:val="96"/>
              </w:rPr>
              <w:t>SCOTLAND PLC</w:t>
            </w:r>
            <w:r>
              <w:rPr>
                <w:rFonts w:ascii="Arial" w:cs="Arial" w:eastAsia="Arial" w:hAnsi="Arial"/>
                <w:sz w:val="20"/>
                <w:szCs w:val="20"/>
                <w:color w:val="auto"/>
                <w:w w:val="96"/>
                <w:vertAlign w:val="superscript"/>
              </w:rPr>
              <w:t>2</w:t>
            </w:r>
          </w:p>
        </w:tc>
        <w:tc>
          <w:tcPr>
            <w:tcW w:w="1920" w:type="dxa"/>
            <w:vAlign w:val="bottom"/>
          </w:tcPr>
          <w:p>
            <w:pPr>
              <w:spacing w:after="0"/>
              <w:rPr>
                <w:sz w:val="21"/>
                <w:szCs w:val="21"/>
                <w:color w:val="auto"/>
              </w:rPr>
            </w:pPr>
          </w:p>
        </w:tc>
      </w:tr>
    </w:tbl>
    <w:p>
      <w:pPr>
        <w:jc w:val="center"/>
        <w:spacing w:after="0" w:line="184" w:lineRule="auto"/>
        <w:rPr>
          <w:sz w:val="20"/>
          <w:szCs w:val="20"/>
          <w:color w:val="auto"/>
        </w:rPr>
      </w:pPr>
      <w:r>
        <w:rPr>
          <w:rFonts w:ascii="Arial" w:cs="Arial" w:eastAsia="Arial" w:hAnsi="Arial"/>
          <w:sz w:val="15"/>
          <w:szCs w:val="15"/>
          <w:i w:val="1"/>
          <w:iCs w:val="1"/>
          <w:color w:val="auto"/>
        </w:rPr>
        <w:t xml:space="preserve">As Joint Bookrunners and Joint Lead Arrangers when noted ( </w:t>
      </w:r>
      <w:r>
        <w:rPr>
          <w:rFonts w:ascii="Arial" w:cs="Arial" w:eastAsia="Arial" w:hAnsi="Arial"/>
          <w:sz w:val="20"/>
          <w:szCs w:val="20"/>
          <w:i w:val="1"/>
          <w:iCs w:val="1"/>
          <w:color w:val="auto"/>
          <w:vertAlign w:val="superscript"/>
        </w:rPr>
        <w:t>1</w:t>
      </w:r>
      <w:r>
        <w:rPr>
          <w:rFonts w:ascii="Arial" w:cs="Arial" w:eastAsia="Arial" w:hAnsi="Arial"/>
          <w:sz w:val="15"/>
          <w:szCs w:val="15"/>
          <w:i w:val="1"/>
          <w:iCs w:val="1"/>
          <w:color w:val="auto"/>
        </w:rPr>
        <w:t xml:space="preserve"> ), as Documentation Agents when noted ( </w:t>
      </w:r>
      <w:r>
        <w:rPr>
          <w:rFonts w:ascii="Arial" w:cs="Arial" w:eastAsia="Arial" w:hAnsi="Arial"/>
          <w:sz w:val="20"/>
          <w:szCs w:val="20"/>
          <w:i w:val="1"/>
          <w:iCs w:val="1"/>
          <w:color w:val="auto"/>
          <w:vertAlign w:val="superscript"/>
        </w:rPr>
        <w:t>2</w:t>
      </w:r>
      <w:r>
        <w:rPr>
          <w:rFonts w:ascii="Arial" w:cs="Arial" w:eastAsia="Arial" w:hAnsi="Arial"/>
          <w:sz w:val="15"/>
          <w:szCs w:val="15"/>
          <w:i w:val="1"/>
          <w:iCs w:val="1"/>
          <w:color w:val="auto"/>
        </w:rPr>
        <w:t xml:space="preserve"> ),</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 xml:space="preserve">and as Brazilian Administrative Agent when noted ( </w:t>
      </w:r>
      <w:r>
        <w:rPr>
          <w:rFonts w:ascii="Arial" w:cs="Arial" w:eastAsia="Arial" w:hAnsi="Arial"/>
          <w:sz w:val="20"/>
          <w:szCs w:val="20"/>
          <w:i w:val="1"/>
          <w:iCs w:val="1"/>
          <w:color w:val="auto"/>
          <w:vertAlign w:val="superscript"/>
        </w:rPr>
        <w:t>3</w:t>
      </w:r>
      <w:r>
        <w:rPr>
          <w:rFonts w:ascii="Arial" w:cs="Arial" w:eastAsia="Arial" w:hAnsi="Arial"/>
          <w:sz w:val="15"/>
          <w:szCs w:val="15"/>
          <w:i w:val="1"/>
          <w:iCs w:val="1"/>
          <w:color w:val="auto"/>
        </w:rPr>
        <w:t xml:space="preserve"> )</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460"/>
          </w:cols>
          <w:pgMar w:left="220" w:top="128" w:right="219" w:bottom="1440" w:gutter="0" w:footer="0" w:header="0"/>
        </w:sectPr>
      </w:pPr>
    </w:p>
    <w:bookmarkStart w:id="5" w:name="page6"/>
    <w:bookmarkEnd w:id="5"/>
    <w:tbl>
      <w:tblPr>
        <w:tblLayout w:type="fixed"/>
        <w:tblInd w:w="4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734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2640" w:type="dxa"/>
            <w:vAlign w:val="bottom"/>
          </w:tcPr>
          <w:p>
            <w:pPr>
              <w:spacing w:after="0"/>
              <w:rPr>
                <w:sz w:val="19"/>
                <w:szCs w:val="19"/>
                <w:color w:val="auto"/>
              </w:rPr>
            </w:pPr>
          </w:p>
        </w:tc>
      </w:tr>
      <w:tr>
        <w:trPr>
          <w:trHeight w:val="244"/>
        </w:trPr>
        <w:tc>
          <w:tcPr>
            <w:tcW w:w="13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44"/>
        </w:trPr>
        <w:tc>
          <w:tcPr>
            <w:tcW w:w="1320" w:type="dxa"/>
            <w:vAlign w:val="bottom"/>
          </w:tcPr>
          <w:p>
            <w:pPr>
              <w:spacing w:after="0"/>
              <w:rPr>
                <w:sz w:val="20"/>
                <w:szCs w:val="20"/>
                <w:color w:val="auto"/>
              </w:rPr>
            </w:pPr>
            <w:r>
              <w:rPr>
                <w:rFonts w:ascii="Arial" w:cs="Arial" w:eastAsia="Arial" w:hAnsi="Arial"/>
                <w:sz w:val="18"/>
                <w:szCs w:val="18"/>
                <w:color w:val="auto"/>
              </w:rPr>
              <w:t>SECTION 1.</w:t>
            </w:r>
          </w:p>
        </w:tc>
        <w:tc>
          <w:tcPr>
            <w:tcW w:w="7340" w:type="dxa"/>
            <w:vAlign w:val="bottom"/>
          </w:tcPr>
          <w:p>
            <w:pPr>
              <w:ind w:left="600"/>
              <w:spacing w:after="0"/>
              <w:rPr>
                <w:sz w:val="20"/>
                <w:szCs w:val="20"/>
                <w:color w:val="auto"/>
              </w:rPr>
            </w:pPr>
            <w:r>
              <w:rPr>
                <w:rFonts w:ascii="Arial" w:cs="Arial" w:eastAsia="Arial" w:hAnsi="Arial"/>
                <w:sz w:val="18"/>
                <w:szCs w:val="18"/>
                <w:color w:val="auto"/>
              </w:rPr>
              <w:t>DEFINITIONS</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320" w:type="dxa"/>
            <w:vAlign w:val="bottom"/>
          </w:tcPr>
          <w:p>
            <w:pPr>
              <w:ind w:left="260"/>
              <w:spacing w:after="0"/>
              <w:rPr>
                <w:sz w:val="20"/>
                <w:szCs w:val="20"/>
                <w:color w:val="auto"/>
              </w:rPr>
            </w:pPr>
            <w:r>
              <w:rPr>
                <w:rFonts w:ascii="Arial" w:cs="Arial" w:eastAsia="Arial" w:hAnsi="Arial"/>
                <w:sz w:val="18"/>
                <w:szCs w:val="18"/>
                <w:color w:val="auto"/>
              </w:rPr>
              <w:t>1.1</w:t>
            </w:r>
          </w:p>
        </w:tc>
        <w:tc>
          <w:tcPr>
            <w:tcW w:w="7340" w:type="dxa"/>
            <w:vAlign w:val="bottom"/>
          </w:tcPr>
          <w:p>
            <w:pPr>
              <w:ind w:left="380"/>
              <w:spacing w:after="0"/>
              <w:rPr>
                <w:sz w:val="20"/>
                <w:szCs w:val="20"/>
                <w:color w:val="auto"/>
              </w:rPr>
            </w:pPr>
            <w:r>
              <w:rPr>
                <w:rFonts w:ascii="Arial" w:cs="Arial" w:eastAsia="Arial" w:hAnsi="Arial"/>
                <w:sz w:val="18"/>
                <w:szCs w:val="18"/>
                <w:color w:val="auto"/>
              </w:rPr>
              <w:t>Defined Terms</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1.2</w:t>
            </w:r>
          </w:p>
        </w:tc>
        <w:tc>
          <w:tcPr>
            <w:tcW w:w="7340" w:type="dxa"/>
            <w:vAlign w:val="bottom"/>
          </w:tcPr>
          <w:p>
            <w:pPr>
              <w:ind w:left="380"/>
              <w:spacing w:after="0"/>
              <w:rPr>
                <w:sz w:val="20"/>
                <w:szCs w:val="20"/>
                <w:color w:val="auto"/>
              </w:rPr>
            </w:pPr>
            <w:r>
              <w:rPr>
                <w:rFonts w:ascii="Arial" w:cs="Arial" w:eastAsia="Arial" w:hAnsi="Arial"/>
                <w:sz w:val="18"/>
                <w:szCs w:val="18"/>
                <w:color w:val="auto"/>
              </w:rPr>
              <w:t>Other Definitional Provisions</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1.3</w:t>
            </w:r>
          </w:p>
        </w:tc>
        <w:tc>
          <w:tcPr>
            <w:tcW w:w="7340" w:type="dxa"/>
            <w:vAlign w:val="bottom"/>
          </w:tcPr>
          <w:p>
            <w:pPr>
              <w:ind w:left="380"/>
              <w:spacing w:after="0"/>
              <w:rPr>
                <w:sz w:val="20"/>
                <w:szCs w:val="20"/>
                <w:color w:val="auto"/>
              </w:rPr>
            </w:pPr>
            <w:r>
              <w:rPr>
                <w:rFonts w:ascii="Arial" w:cs="Arial" w:eastAsia="Arial" w:hAnsi="Arial"/>
                <w:sz w:val="18"/>
                <w:szCs w:val="18"/>
                <w:color w:val="auto"/>
              </w:rPr>
              <w:t>Conversion of Foreign Currencies</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1.4</w:t>
            </w:r>
          </w:p>
        </w:tc>
        <w:tc>
          <w:tcPr>
            <w:tcW w:w="7340" w:type="dxa"/>
            <w:vAlign w:val="bottom"/>
          </w:tcPr>
          <w:p>
            <w:pPr>
              <w:ind w:left="380"/>
              <w:spacing w:after="0"/>
              <w:rPr>
                <w:sz w:val="20"/>
                <w:szCs w:val="20"/>
                <w:color w:val="auto"/>
              </w:rPr>
            </w:pPr>
            <w:r>
              <w:rPr>
                <w:rFonts w:ascii="Arial" w:cs="Arial" w:eastAsia="Arial" w:hAnsi="Arial"/>
                <w:sz w:val="18"/>
                <w:szCs w:val="18"/>
                <w:color w:val="auto"/>
              </w:rPr>
              <w:t>Other Interpretive Provisions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SECTION 2.</w:t>
            </w:r>
          </w:p>
        </w:tc>
        <w:tc>
          <w:tcPr>
            <w:tcW w:w="7340" w:type="dxa"/>
            <w:vAlign w:val="bottom"/>
          </w:tcPr>
          <w:p>
            <w:pPr>
              <w:ind w:left="600"/>
              <w:spacing w:after="0"/>
              <w:rPr>
                <w:sz w:val="20"/>
                <w:szCs w:val="20"/>
                <w:color w:val="auto"/>
              </w:rPr>
            </w:pPr>
            <w:r>
              <w:rPr>
                <w:rFonts w:ascii="Arial" w:cs="Arial" w:eastAsia="Arial" w:hAnsi="Arial"/>
                <w:sz w:val="18"/>
                <w:szCs w:val="18"/>
                <w:color w:val="auto"/>
              </w:rPr>
              <w:t>AMOUNT AND TERMS OF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320" w:type="dxa"/>
            <w:vAlign w:val="bottom"/>
          </w:tcPr>
          <w:p>
            <w:pPr>
              <w:ind w:left="260"/>
              <w:spacing w:after="0"/>
              <w:rPr>
                <w:sz w:val="20"/>
                <w:szCs w:val="20"/>
                <w:color w:val="auto"/>
              </w:rPr>
            </w:pPr>
            <w:r>
              <w:rPr>
                <w:rFonts w:ascii="Arial" w:cs="Arial" w:eastAsia="Arial" w:hAnsi="Arial"/>
                <w:sz w:val="18"/>
                <w:szCs w:val="18"/>
                <w:color w:val="auto"/>
              </w:rPr>
              <w:t>2.1</w:t>
            </w:r>
          </w:p>
        </w:tc>
        <w:tc>
          <w:tcPr>
            <w:tcW w:w="7340" w:type="dxa"/>
            <w:vAlign w:val="bottom"/>
          </w:tcPr>
          <w:p>
            <w:pPr>
              <w:ind w:left="380"/>
              <w:spacing w:after="0"/>
              <w:rPr>
                <w:sz w:val="20"/>
                <w:szCs w:val="20"/>
                <w:color w:val="auto"/>
              </w:rPr>
            </w:pPr>
            <w:r>
              <w:rPr>
                <w:rFonts w:ascii="Arial" w:cs="Arial" w:eastAsia="Arial" w:hAnsi="Arial"/>
                <w:sz w:val="18"/>
                <w:szCs w:val="18"/>
                <w:color w:val="auto"/>
              </w:rPr>
              <w:t>Domestic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w:t>
            </w:r>
          </w:p>
        </w:tc>
        <w:tc>
          <w:tcPr>
            <w:tcW w:w="7340" w:type="dxa"/>
            <w:vAlign w:val="bottom"/>
          </w:tcPr>
          <w:p>
            <w:pPr>
              <w:ind w:left="380"/>
              <w:spacing w:after="0"/>
              <w:rPr>
                <w:sz w:val="20"/>
                <w:szCs w:val="20"/>
                <w:color w:val="auto"/>
              </w:rPr>
            </w:pPr>
            <w:r>
              <w:rPr>
                <w:rFonts w:ascii="Arial" w:cs="Arial" w:eastAsia="Arial" w:hAnsi="Arial"/>
                <w:sz w:val="18"/>
                <w:szCs w:val="18"/>
                <w:color w:val="auto"/>
              </w:rPr>
              <w:t>Procedure for Domestic Loan Borrowing</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2.3</w:t>
            </w:r>
          </w:p>
        </w:tc>
        <w:tc>
          <w:tcPr>
            <w:tcW w:w="7340" w:type="dxa"/>
            <w:vAlign w:val="bottom"/>
          </w:tcPr>
          <w:p>
            <w:pPr>
              <w:ind w:left="380"/>
              <w:spacing w:after="0"/>
              <w:rPr>
                <w:sz w:val="20"/>
                <w:szCs w:val="20"/>
                <w:color w:val="auto"/>
              </w:rPr>
            </w:pPr>
            <w:r>
              <w:rPr>
                <w:rFonts w:ascii="Arial" w:cs="Arial" w:eastAsia="Arial" w:hAnsi="Arial"/>
                <w:sz w:val="18"/>
                <w:szCs w:val="18"/>
                <w:color w:val="auto"/>
              </w:rPr>
              <w:t>Multicurrency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2.4</w:t>
            </w:r>
          </w:p>
        </w:tc>
        <w:tc>
          <w:tcPr>
            <w:tcW w:w="7340" w:type="dxa"/>
            <w:vAlign w:val="bottom"/>
          </w:tcPr>
          <w:p>
            <w:pPr>
              <w:ind w:left="380"/>
              <w:spacing w:after="0"/>
              <w:rPr>
                <w:sz w:val="20"/>
                <w:szCs w:val="20"/>
                <w:color w:val="auto"/>
              </w:rPr>
            </w:pPr>
            <w:r>
              <w:rPr>
                <w:rFonts w:ascii="Arial" w:cs="Arial" w:eastAsia="Arial" w:hAnsi="Arial"/>
                <w:sz w:val="18"/>
                <w:szCs w:val="18"/>
                <w:color w:val="auto"/>
              </w:rPr>
              <w:t>Procedure for Multicurrency Loan Borrowing</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2.5</w:t>
            </w:r>
          </w:p>
        </w:tc>
        <w:tc>
          <w:tcPr>
            <w:tcW w:w="7340" w:type="dxa"/>
            <w:vAlign w:val="bottom"/>
          </w:tcPr>
          <w:p>
            <w:pPr>
              <w:ind w:left="380"/>
              <w:spacing w:after="0"/>
              <w:rPr>
                <w:sz w:val="20"/>
                <w:szCs w:val="20"/>
                <w:color w:val="auto"/>
              </w:rPr>
            </w:pPr>
            <w:r>
              <w:rPr>
                <w:rFonts w:ascii="Arial" w:cs="Arial" w:eastAsia="Arial" w:hAnsi="Arial"/>
                <w:sz w:val="18"/>
                <w:szCs w:val="18"/>
                <w:color w:val="auto"/>
              </w:rPr>
              <w:t>Brazilian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2.6</w:t>
            </w:r>
          </w:p>
        </w:tc>
        <w:tc>
          <w:tcPr>
            <w:tcW w:w="7340" w:type="dxa"/>
            <w:vAlign w:val="bottom"/>
          </w:tcPr>
          <w:p>
            <w:pPr>
              <w:ind w:left="380"/>
              <w:spacing w:after="0"/>
              <w:rPr>
                <w:sz w:val="20"/>
                <w:szCs w:val="20"/>
                <w:color w:val="auto"/>
              </w:rPr>
            </w:pPr>
            <w:r>
              <w:rPr>
                <w:rFonts w:ascii="Arial" w:cs="Arial" w:eastAsia="Arial" w:hAnsi="Arial"/>
                <w:sz w:val="18"/>
                <w:szCs w:val="18"/>
                <w:color w:val="auto"/>
              </w:rPr>
              <w:t>Brazilian Reporting</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2.7</w:t>
            </w:r>
          </w:p>
        </w:tc>
        <w:tc>
          <w:tcPr>
            <w:tcW w:w="7340" w:type="dxa"/>
            <w:vAlign w:val="bottom"/>
          </w:tcPr>
          <w:p>
            <w:pPr>
              <w:ind w:left="380"/>
              <w:spacing w:after="0"/>
              <w:rPr>
                <w:sz w:val="20"/>
                <w:szCs w:val="20"/>
                <w:color w:val="auto"/>
              </w:rPr>
            </w:pPr>
            <w:r>
              <w:rPr>
                <w:rFonts w:ascii="Arial" w:cs="Arial" w:eastAsia="Arial" w:hAnsi="Arial"/>
                <w:sz w:val="18"/>
                <w:szCs w:val="18"/>
                <w:color w:val="auto"/>
              </w:rPr>
              <w:t>L/C Tranche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2.8</w:t>
            </w:r>
          </w:p>
        </w:tc>
        <w:tc>
          <w:tcPr>
            <w:tcW w:w="7340" w:type="dxa"/>
            <w:vAlign w:val="bottom"/>
          </w:tcPr>
          <w:p>
            <w:pPr>
              <w:ind w:left="380"/>
              <w:spacing w:after="0"/>
              <w:rPr>
                <w:sz w:val="20"/>
                <w:szCs w:val="20"/>
                <w:color w:val="auto"/>
              </w:rPr>
            </w:pPr>
            <w:r>
              <w:rPr>
                <w:rFonts w:ascii="Arial" w:cs="Arial" w:eastAsia="Arial" w:hAnsi="Arial"/>
                <w:sz w:val="18"/>
                <w:szCs w:val="18"/>
                <w:color w:val="auto"/>
              </w:rPr>
              <w:t>Procedure for L/C Tranche Loan Borrowing</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2.9</w:t>
            </w:r>
          </w:p>
        </w:tc>
        <w:tc>
          <w:tcPr>
            <w:tcW w:w="7340" w:type="dxa"/>
            <w:vAlign w:val="bottom"/>
          </w:tcPr>
          <w:p>
            <w:pPr>
              <w:ind w:left="380"/>
              <w:spacing w:after="0"/>
              <w:rPr>
                <w:sz w:val="20"/>
                <w:szCs w:val="20"/>
                <w:color w:val="auto"/>
              </w:rPr>
            </w:pPr>
            <w:r>
              <w:rPr>
                <w:rFonts w:ascii="Arial" w:cs="Arial" w:eastAsia="Arial" w:hAnsi="Arial"/>
                <w:sz w:val="18"/>
                <w:szCs w:val="18"/>
                <w:color w:val="auto"/>
              </w:rPr>
              <w:t>[Reserved]</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2.10</w:t>
            </w:r>
          </w:p>
        </w:tc>
        <w:tc>
          <w:tcPr>
            <w:tcW w:w="7340" w:type="dxa"/>
            <w:vAlign w:val="bottom"/>
          </w:tcPr>
          <w:p>
            <w:pPr>
              <w:ind w:left="380"/>
              <w:spacing w:after="0"/>
              <w:rPr>
                <w:sz w:val="20"/>
                <w:szCs w:val="20"/>
                <w:color w:val="auto"/>
              </w:rPr>
            </w:pPr>
            <w:r>
              <w:rPr>
                <w:rFonts w:ascii="Arial" w:cs="Arial" w:eastAsia="Arial" w:hAnsi="Arial"/>
                <w:sz w:val="18"/>
                <w:szCs w:val="18"/>
                <w:color w:val="auto"/>
              </w:rPr>
              <w:t>[Reserved]</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2.11</w:t>
            </w:r>
          </w:p>
        </w:tc>
        <w:tc>
          <w:tcPr>
            <w:tcW w:w="7340" w:type="dxa"/>
            <w:vAlign w:val="bottom"/>
          </w:tcPr>
          <w:p>
            <w:pPr>
              <w:ind w:left="380"/>
              <w:spacing w:after="0"/>
              <w:rPr>
                <w:sz w:val="20"/>
                <w:szCs w:val="20"/>
                <w:color w:val="auto"/>
              </w:rPr>
            </w:pPr>
            <w:r>
              <w:rPr>
                <w:rFonts w:ascii="Arial" w:cs="Arial" w:eastAsia="Arial" w:hAnsi="Arial"/>
                <w:sz w:val="18"/>
                <w:szCs w:val="18"/>
                <w:color w:val="auto"/>
              </w:rPr>
              <w:t>[Reserved]</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2.12</w:t>
            </w:r>
          </w:p>
        </w:tc>
        <w:tc>
          <w:tcPr>
            <w:tcW w:w="7340" w:type="dxa"/>
            <w:vAlign w:val="bottom"/>
          </w:tcPr>
          <w:p>
            <w:pPr>
              <w:ind w:left="380"/>
              <w:spacing w:after="0"/>
              <w:rPr>
                <w:sz w:val="20"/>
                <w:szCs w:val="20"/>
                <w:color w:val="auto"/>
              </w:rPr>
            </w:pPr>
            <w:r>
              <w:rPr>
                <w:rFonts w:ascii="Arial" w:cs="Arial" w:eastAsia="Arial" w:hAnsi="Arial"/>
                <w:sz w:val="18"/>
                <w:szCs w:val="18"/>
                <w:color w:val="auto"/>
              </w:rPr>
              <w:t>Competitive Bid Procedure</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2.13</w:t>
            </w:r>
          </w:p>
        </w:tc>
        <w:tc>
          <w:tcPr>
            <w:tcW w:w="7340" w:type="dxa"/>
            <w:vAlign w:val="bottom"/>
          </w:tcPr>
          <w:p>
            <w:pPr>
              <w:ind w:left="380"/>
              <w:spacing w:after="0"/>
              <w:rPr>
                <w:sz w:val="20"/>
                <w:szCs w:val="20"/>
                <w:color w:val="auto"/>
              </w:rPr>
            </w:pPr>
            <w:r>
              <w:rPr>
                <w:rFonts w:ascii="Arial" w:cs="Arial" w:eastAsia="Arial" w:hAnsi="Arial"/>
                <w:sz w:val="18"/>
                <w:szCs w:val="18"/>
                <w:color w:val="auto"/>
              </w:rPr>
              <w:t>Facility Fees, etc.</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2.14</w:t>
            </w:r>
          </w:p>
        </w:tc>
        <w:tc>
          <w:tcPr>
            <w:tcW w:w="7340" w:type="dxa"/>
            <w:vAlign w:val="bottom"/>
          </w:tcPr>
          <w:p>
            <w:pPr>
              <w:ind w:left="380"/>
              <w:spacing w:after="0"/>
              <w:rPr>
                <w:sz w:val="20"/>
                <w:szCs w:val="20"/>
                <w:color w:val="auto"/>
              </w:rPr>
            </w:pPr>
            <w:r>
              <w:rPr>
                <w:rFonts w:ascii="Arial" w:cs="Arial" w:eastAsia="Arial" w:hAnsi="Arial"/>
                <w:sz w:val="18"/>
                <w:szCs w:val="18"/>
                <w:color w:val="auto"/>
              </w:rPr>
              <w:t>Termination, Reduction and Reallocation of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2.15</w:t>
            </w:r>
          </w:p>
        </w:tc>
        <w:tc>
          <w:tcPr>
            <w:tcW w:w="7340" w:type="dxa"/>
            <w:vAlign w:val="bottom"/>
          </w:tcPr>
          <w:p>
            <w:pPr>
              <w:ind w:left="380"/>
              <w:spacing w:after="0"/>
              <w:rPr>
                <w:sz w:val="20"/>
                <w:szCs w:val="20"/>
                <w:color w:val="auto"/>
              </w:rPr>
            </w:pPr>
            <w:r>
              <w:rPr>
                <w:rFonts w:ascii="Arial" w:cs="Arial" w:eastAsia="Arial" w:hAnsi="Arial"/>
                <w:sz w:val="18"/>
                <w:szCs w:val="18"/>
                <w:color w:val="auto"/>
              </w:rPr>
              <w:t>Optional Prepayments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2.16</w:t>
            </w:r>
          </w:p>
        </w:tc>
        <w:tc>
          <w:tcPr>
            <w:tcW w:w="7340" w:type="dxa"/>
            <w:vAlign w:val="bottom"/>
          </w:tcPr>
          <w:p>
            <w:pPr>
              <w:ind w:left="380"/>
              <w:spacing w:after="0"/>
              <w:rPr>
                <w:sz w:val="20"/>
                <w:szCs w:val="20"/>
                <w:color w:val="auto"/>
              </w:rPr>
            </w:pPr>
            <w:r>
              <w:rPr>
                <w:rFonts w:ascii="Arial" w:cs="Arial" w:eastAsia="Arial" w:hAnsi="Arial"/>
                <w:sz w:val="18"/>
                <w:szCs w:val="18"/>
                <w:color w:val="auto"/>
              </w:rPr>
              <w:t>Mandatory Prepayments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2.17</w:t>
            </w:r>
          </w:p>
        </w:tc>
        <w:tc>
          <w:tcPr>
            <w:tcW w:w="7340" w:type="dxa"/>
            <w:vAlign w:val="bottom"/>
          </w:tcPr>
          <w:p>
            <w:pPr>
              <w:ind w:left="380"/>
              <w:spacing w:after="0"/>
              <w:rPr>
                <w:sz w:val="20"/>
                <w:szCs w:val="20"/>
                <w:color w:val="auto"/>
              </w:rPr>
            </w:pPr>
            <w:r>
              <w:rPr>
                <w:rFonts w:ascii="Arial" w:cs="Arial" w:eastAsia="Arial" w:hAnsi="Arial"/>
                <w:sz w:val="18"/>
                <w:szCs w:val="18"/>
                <w:color w:val="auto"/>
              </w:rPr>
              <w:t>Conversion and Continuation Options</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2.18</w:t>
            </w:r>
          </w:p>
        </w:tc>
        <w:tc>
          <w:tcPr>
            <w:tcW w:w="7340" w:type="dxa"/>
            <w:vAlign w:val="bottom"/>
          </w:tcPr>
          <w:p>
            <w:pPr>
              <w:ind w:left="380"/>
              <w:spacing w:after="0"/>
              <w:rPr>
                <w:sz w:val="20"/>
                <w:szCs w:val="20"/>
                <w:color w:val="auto"/>
              </w:rPr>
            </w:pPr>
            <w:r>
              <w:rPr>
                <w:rFonts w:ascii="Arial" w:cs="Arial" w:eastAsia="Arial" w:hAnsi="Arial"/>
                <w:sz w:val="18"/>
                <w:szCs w:val="18"/>
                <w:color w:val="auto"/>
              </w:rPr>
              <w:t>Limitations on Eurocurrency Tranches</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2.19</w:t>
            </w:r>
          </w:p>
        </w:tc>
        <w:tc>
          <w:tcPr>
            <w:tcW w:w="7340" w:type="dxa"/>
            <w:vAlign w:val="bottom"/>
          </w:tcPr>
          <w:p>
            <w:pPr>
              <w:ind w:left="380"/>
              <w:spacing w:after="0"/>
              <w:rPr>
                <w:sz w:val="20"/>
                <w:szCs w:val="20"/>
                <w:color w:val="auto"/>
              </w:rPr>
            </w:pPr>
            <w:r>
              <w:rPr>
                <w:rFonts w:ascii="Arial" w:cs="Arial" w:eastAsia="Arial" w:hAnsi="Arial"/>
                <w:sz w:val="18"/>
                <w:szCs w:val="18"/>
                <w:color w:val="auto"/>
              </w:rPr>
              <w:t>Interest Rates and Payment Dates</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2.20</w:t>
            </w:r>
          </w:p>
        </w:tc>
        <w:tc>
          <w:tcPr>
            <w:tcW w:w="7340" w:type="dxa"/>
            <w:vAlign w:val="bottom"/>
          </w:tcPr>
          <w:p>
            <w:pPr>
              <w:ind w:left="380"/>
              <w:spacing w:after="0"/>
              <w:rPr>
                <w:sz w:val="20"/>
                <w:szCs w:val="20"/>
                <w:color w:val="auto"/>
              </w:rPr>
            </w:pPr>
            <w:r>
              <w:rPr>
                <w:rFonts w:ascii="Arial" w:cs="Arial" w:eastAsia="Arial" w:hAnsi="Arial"/>
                <w:sz w:val="18"/>
                <w:szCs w:val="18"/>
                <w:color w:val="auto"/>
              </w:rPr>
              <w:t>Computation of Interest and Fees</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2.21</w:t>
            </w:r>
          </w:p>
        </w:tc>
        <w:tc>
          <w:tcPr>
            <w:tcW w:w="7340" w:type="dxa"/>
            <w:vAlign w:val="bottom"/>
          </w:tcPr>
          <w:p>
            <w:pPr>
              <w:ind w:left="380"/>
              <w:spacing w:after="0"/>
              <w:rPr>
                <w:sz w:val="20"/>
                <w:szCs w:val="20"/>
                <w:color w:val="auto"/>
              </w:rPr>
            </w:pPr>
            <w:r>
              <w:rPr>
                <w:rFonts w:ascii="Arial" w:cs="Arial" w:eastAsia="Arial" w:hAnsi="Arial"/>
                <w:sz w:val="18"/>
                <w:szCs w:val="18"/>
                <w:color w:val="auto"/>
              </w:rPr>
              <w:t>Inability to Determine Interest Rate; Illegality</w:t>
            </w:r>
          </w:p>
        </w:tc>
        <w:tc>
          <w:tcPr>
            <w:tcW w:w="2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2.22</w:t>
            </w:r>
          </w:p>
        </w:tc>
        <w:tc>
          <w:tcPr>
            <w:tcW w:w="7340" w:type="dxa"/>
            <w:vAlign w:val="bottom"/>
          </w:tcPr>
          <w:p>
            <w:pPr>
              <w:ind w:left="380"/>
              <w:spacing w:after="0"/>
              <w:rPr>
                <w:sz w:val="20"/>
                <w:szCs w:val="20"/>
                <w:color w:val="auto"/>
              </w:rPr>
            </w:pPr>
            <w:r>
              <w:rPr>
                <w:rFonts w:ascii="Arial" w:cs="Arial" w:eastAsia="Arial" w:hAnsi="Arial"/>
                <w:sz w:val="18"/>
                <w:szCs w:val="18"/>
                <w:color w:val="auto"/>
              </w:rPr>
              <w:t>Pro Rata Treatment and Payments; Evidence of Debt</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2.23</w:t>
            </w:r>
          </w:p>
        </w:tc>
        <w:tc>
          <w:tcPr>
            <w:tcW w:w="7340" w:type="dxa"/>
            <w:vAlign w:val="bottom"/>
          </w:tcPr>
          <w:p>
            <w:pPr>
              <w:ind w:left="380"/>
              <w:spacing w:after="0"/>
              <w:rPr>
                <w:sz w:val="20"/>
                <w:szCs w:val="20"/>
                <w:color w:val="auto"/>
              </w:rPr>
            </w:pPr>
            <w:r>
              <w:rPr>
                <w:rFonts w:ascii="Arial" w:cs="Arial" w:eastAsia="Arial" w:hAnsi="Arial"/>
                <w:sz w:val="18"/>
                <w:szCs w:val="18"/>
                <w:color w:val="auto"/>
              </w:rPr>
              <w:t>Requirements of Law</w:t>
            </w:r>
          </w:p>
        </w:tc>
        <w:tc>
          <w:tcPr>
            <w:tcW w:w="2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2.24</w:t>
            </w:r>
          </w:p>
        </w:tc>
        <w:tc>
          <w:tcPr>
            <w:tcW w:w="7340" w:type="dxa"/>
            <w:vAlign w:val="bottom"/>
          </w:tcPr>
          <w:p>
            <w:pPr>
              <w:ind w:left="380"/>
              <w:spacing w:after="0"/>
              <w:rPr>
                <w:sz w:val="20"/>
                <w:szCs w:val="20"/>
                <w:color w:val="auto"/>
              </w:rPr>
            </w:pPr>
            <w:r>
              <w:rPr>
                <w:rFonts w:ascii="Arial" w:cs="Arial" w:eastAsia="Arial" w:hAnsi="Arial"/>
                <w:sz w:val="18"/>
                <w:szCs w:val="18"/>
                <w:color w:val="auto"/>
              </w:rPr>
              <w:t>Taxes</w:t>
            </w:r>
          </w:p>
        </w:tc>
        <w:tc>
          <w:tcPr>
            <w:tcW w:w="2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2.25</w:t>
            </w:r>
          </w:p>
        </w:tc>
        <w:tc>
          <w:tcPr>
            <w:tcW w:w="7340" w:type="dxa"/>
            <w:vAlign w:val="bottom"/>
          </w:tcPr>
          <w:p>
            <w:pPr>
              <w:ind w:left="380"/>
              <w:spacing w:after="0"/>
              <w:rPr>
                <w:sz w:val="20"/>
                <w:szCs w:val="20"/>
                <w:color w:val="auto"/>
              </w:rPr>
            </w:pPr>
            <w:r>
              <w:rPr>
                <w:rFonts w:ascii="Arial" w:cs="Arial" w:eastAsia="Arial" w:hAnsi="Arial"/>
                <w:sz w:val="18"/>
                <w:szCs w:val="18"/>
                <w:color w:val="auto"/>
              </w:rPr>
              <w:t>Indemnity</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2.26</w:t>
            </w:r>
          </w:p>
        </w:tc>
        <w:tc>
          <w:tcPr>
            <w:tcW w:w="7340" w:type="dxa"/>
            <w:vAlign w:val="bottom"/>
          </w:tcPr>
          <w:p>
            <w:pPr>
              <w:ind w:left="380"/>
              <w:spacing w:after="0"/>
              <w:rPr>
                <w:sz w:val="20"/>
                <w:szCs w:val="20"/>
                <w:color w:val="auto"/>
              </w:rPr>
            </w:pPr>
            <w:r>
              <w:rPr>
                <w:rFonts w:ascii="Arial" w:cs="Arial" w:eastAsia="Arial" w:hAnsi="Arial"/>
                <w:sz w:val="18"/>
                <w:szCs w:val="18"/>
                <w:color w:val="auto"/>
              </w:rPr>
              <w:t>Change of Applicable Lending Office</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2.27</w:t>
            </w:r>
          </w:p>
        </w:tc>
        <w:tc>
          <w:tcPr>
            <w:tcW w:w="7340" w:type="dxa"/>
            <w:vAlign w:val="bottom"/>
          </w:tcPr>
          <w:p>
            <w:pPr>
              <w:ind w:left="380"/>
              <w:spacing w:after="0"/>
              <w:rPr>
                <w:sz w:val="20"/>
                <w:szCs w:val="20"/>
                <w:color w:val="auto"/>
              </w:rPr>
            </w:pPr>
            <w:r>
              <w:rPr>
                <w:rFonts w:ascii="Arial" w:cs="Arial" w:eastAsia="Arial" w:hAnsi="Arial"/>
                <w:sz w:val="18"/>
                <w:szCs w:val="18"/>
                <w:color w:val="auto"/>
              </w:rPr>
              <w:t>Replacement/Termination of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2.28</w:t>
            </w:r>
          </w:p>
        </w:tc>
        <w:tc>
          <w:tcPr>
            <w:tcW w:w="7340" w:type="dxa"/>
            <w:vAlign w:val="bottom"/>
          </w:tcPr>
          <w:p>
            <w:pPr>
              <w:ind w:left="380"/>
              <w:spacing w:after="0"/>
              <w:rPr>
                <w:sz w:val="20"/>
                <w:szCs w:val="20"/>
                <w:color w:val="auto"/>
              </w:rPr>
            </w:pPr>
            <w:r>
              <w:rPr>
                <w:rFonts w:ascii="Arial" w:cs="Arial" w:eastAsia="Arial" w:hAnsi="Arial"/>
                <w:sz w:val="18"/>
                <w:szCs w:val="18"/>
                <w:color w:val="auto"/>
              </w:rPr>
              <w:t>Defaulting Lender</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2.29</w:t>
            </w:r>
          </w:p>
        </w:tc>
        <w:tc>
          <w:tcPr>
            <w:tcW w:w="7340" w:type="dxa"/>
            <w:vAlign w:val="bottom"/>
          </w:tcPr>
          <w:p>
            <w:pPr>
              <w:ind w:left="380"/>
              <w:spacing w:after="0"/>
              <w:rPr>
                <w:sz w:val="20"/>
                <w:szCs w:val="20"/>
                <w:color w:val="auto"/>
              </w:rPr>
            </w:pPr>
            <w:r>
              <w:rPr>
                <w:rFonts w:ascii="Arial" w:cs="Arial" w:eastAsia="Arial" w:hAnsi="Arial"/>
                <w:sz w:val="18"/>
                <w:szCs w:val="18"/>
                <w:color w:val="auto"/>
              </w:rPr>
              <w:t>Reallocation of Payments for the Account of Defaulting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2.30</w:t>
            </w:r>
          </w:p>
        </w:tc>
        <w:tc>
          <w:tcPr>
            <w:tcW w:w="7340" w:type="dxa"/>
            <w:vAlign w:val="bottom"/>
          </w:tcPr>
          <w:p>
            <w:pPr>
              <w:ind w:left="380"/>
              <w:spacing w:after="0"/>
              <w:rPr>
                <w:sz w:val="20"/>
                <w:szCs w:val="20"/>
                <w:color w:val="auto"/>
              </w:rPr>
            </w:pPr>
            <w:r>
              <w:rPr>
                <w:rFonts w:ascii="Arial" w:cs="Arial" w:eastAsia="Arial" w:hAnsi="Arial"/>
                <w:sz w:val="18"/>
                <w:szCs w:val="18"/>
                <w:color w:val="auto"/>
              </w:rPr>
              <w:t>New Local Facilities</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2.31</w:t>
            </w:r>
          </w:p>
        </w:tc>
        <w:tc>
          <w:tcPr>
            <w:tcW w:w="7340" w:type="dxa"/>
            <w:vAlign w:val="bottom"/>
          </w:tcPr>
          <w:p>
            <w:pPr>
              <w:ind w:left="380"/>
              <w:spacing w:after="0"/>
              <w:rPr>
                <w:sz w:val="20"/>
                <w:szCs w:val="20"/>
                <w:color w:val="auto"/>
              </w:rPr>
            </w:pPr>
            <w:r>
              <w:rPr>
                <w:rFonts w:ascii="Arial" w:cs="Arial" w:eastAsia="Arial" w:hAnsi="Arial"/>
                <w:sz w:val="18"/>
                <w:szCs w:val="18"/>
                <w:color w:val="auto"/>
              </w:rPr>
              <w:t>Incremental Commitments/Facilities</w:t>
            </w:r>
          </w:p>
        </w:tc>
        <w:tc>
          <w:tcPr>
            <w:tcW w:w="2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2.32</w:t>
            </w:r>
          </w:p>
        </w:tc>
        <w:tc>
          <w:tcPr>
            <w:tcW w:w="7340" w:type="dxa"/>
            <w:vAlign w:val="bottom"/>
          </w:tcPr>
          <w:p>
            <w:pPr>
              <w:ind w:left="380"/>
              <w:spacing w:after="0"/>
              <w:rPr>
                <w:sz w:val="20"/>
                <w:szCs w:val="20"/>
                <w:color w:val="auto"/>
              </w:rPr>
            </w:pPr>
            <w:r>
              <w:rPr>
                <w:rFonts w:ascii="Arial" w:cs="Arial" w:eastAsia="Arial" w:hAnsi="Arial"/>
                <w:sz w:val="18"/>
                <w:szCs w:val="18"/>
                <w:color w:val="auto"/>
              </w:rPr>
              <w:t>Termination Date Extension</w:t>
            </w:r>
          </w:p>
        </w:tc>
        <w:tc>
          <w:tcPr>
            <w:tcW w:w="2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2.33</w:t>
            </w:r>
          </w:p>
        </w:tc>
        <w:tc>
          <w:tcPr>
            <w:tcW w:w="7340" w:type="dxa"/>
            <w:vAlign w:val="bottom"/>
          </w:tcPr>
          <w:p>
            <w:pPr>
              <w:ind w:left="380"/>
              <w:spacing w:after="0"/>
              <w:rPr>
                <w:sz w:val="20"/>
                <w:szCs w:val="20"/>
                <w:color w:val="auto"/>
              </w:rPr>
            </w:pPr>
            <w:r>
              <w:rPr>
                <w:rFonts w:ascii="Arial" w:cs="Arial" w:eastAsia="Arial" w:hAnsi="Arial"/>
                <w:sz w:val="18"/>
                <w:szCs w:val="18"/>
                <w:color w:val="auto"/>
              </w:rPr>
              <w:t>Ancillary Facilities</w:t>
            </w:r>
          </w:p>
        </w:tc>
        <w:tc>
          <w:tcPr>
            <w:tcW w:w="26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340"/>
          </w:cols>
          <w:pgMar w:left="220" w:top="250" w:right="339"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SECTION 3.</w:t>
            </w:r>
          </w:p>
        </w:tc>
        <w:tc>
          <w:tcPr>
            <w:tcW w:w="7880" w:type="dxa"/>
            <w:vAlign w:val="bottom"/>
          </w:tcPr>
          <w:p>
            <w:pPr>
              <w:ind w:left="600"/>
              <w:spacing w:after="0"/>
              <w:rPr>
                <w:sz w:val="20"/>
                <w:szCs w:val="20"/>
                <w:color w:val="auto"/>
              </w:rPr>
            </w:pPr>
            <w:r>
              <w:rPr>
                <w:rFonts w:ascii="Arial" w:cs="Arial" w:eastAsia="Arial" w:hAnsi="Arial"/>
                <w:sz w:val="18"/>
                <w:szCs w:val="18"/>
                <w:color w:val="auto"/>
              </w:rPr>
              <w:t>LETTERS OF CREDIT</w:t>
            </w:r>
          </w:p>
        </w:tc>
        <w:tc>
          <w:tcPr>
            <w:tcW w:w="2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99"/>
        </w:trPr>
        <w:tc>
          <w:tcPr>
            <w:tcW w:w="1320" w:type="dxa"/>
            <w:vAlign w:val="bottom"/>
          </w:tcPr>
          <w:p>
            <w:pPr>
              <w:ind w:left="260"/>
              <w:spacing w:after="0"/>
              <w:rPr>
                <w:sz w:val="20"/>
                <w:szCs w:val="20"/>
                <w:color w:val="auto"/>
              </w:rPr>
            </w:pPr>
            <w:r>
              <w:rPr>
                <w:rFonts w:ascii="Arial" w:cs="Arial" w:eastAsia="Arial" w:hAnsi="Arial"/>
                <w:sz w:val="18"/>
                <w:szCs w:val="18"/>
                <w:color w:val="auto"/>
              </w:rPr>
              <w:t>3.1</w:t>
            </w:r>
          </w:p>
        </w:tc>
        <w:tc>
          <w:tcPr>
            <w:tcW w:w="7880" w:type="dxa"/>
            <w:vAlign w:val="bottom"/>
          </w:tcPr>
          <w:p>
            <w:pPr>
              <w:ind w:left="380"/>
              <w:spacing w:after="0"/>
              <w:rPr>
                <w:sz w:val="20"/>
                <w:szCs w:val="20"/>
                <w:color w:val="auto"/>
              </w:rPr>
            </w:pPr>
            <w:r>
              <w:rPr>
                <w:rFonts w:ascii="Arial" w:cs="Arial" w:eastAsia="Arial" w:hAnsi="Arial"/>
                <w:sz w:val="18"/>
                <w:szCs w:val="18"/>
                <w:color w:val="auto"/>
              </w:rPr>
              <w:t>L/C Commitment</w:t>
            </w:r>
          </w:p>
        </w:tc>
        <w:tc>
          <w:tcPr>
            <w:tcW w:w="2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3.2</w:t>
            </w:r>
          </w:p>
        </w:tc>
        <w:tc>
          <w:tcPr>
            <w:tcW w:w="7880" w:type="dxa"/>
            <w:vAlign w:val="bottom"/>
          </w:tcPr>
          <w:p>
            <w:pPr>
              <w:ind w:left="380"/>
              <w:spacing w:after="0"/>
              <w:rPr>
                <w:sz w:val="20"/>
                <w:szCs w:val="20"/>
                <w:color w:val="auto"/>
              </w:rPr>
            </w:pPr>
            <w:r>
              <w:rPr>
                <w:rFonts w:ascii="Arial" w:cs="Arial" w:eastAsia="Arial" w:hAnsi="Arial"/>
                <w:sz w:val="18"/>
                <w:szCs w:val="18"/>
                <w:color w:val="auto"/>
              </w:rPr>
              <w:t>Procedure for Issuance of Letters of Credit</w:t>
            </w:r>
          </w:p>
        </w:tc>
        <w:tc>
          <w:tcPr>
            <w:tcW w:w="2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3.3</w:t>
            </w:r>
          </w:p>
        </w:tc>
        <w:tc>
          <w:tcPr>
            <w:tcW w:w="7880" w:type="dxa"/>
            <w:vAlign w:val="bottom"/>
          </w:tcPr>
          <w:p>
            <w:pPr>
              <w:ind w:left="380"/>
              <w:spacing w:after="0"/>
              <w:rPr>
                <w:sz w:val="20"/>
                <w:szCs w:val="20"/>
                <w:color w:val="auto"/>
              </w:rPr>
            </w:pPr>
            <w:r>
              <w:rPr>
                <w:rFonts w:ascii="Arial" w:cs="Arial" w:eastAsia="Arial" w:hAnsi="Arial"/>
                <w:sz w:val="18"/>
                <w:szCs w:val="18"/>
                <w:color w:val="auto"/>
              </w:rPr>
              <w:t>Fees and Other Charges</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3.4</w:t>
            </w:r>
          </w:p>
        </w:tc>
        <w:tc>
          <w:tcPr>
            <w:tcW w:w="7880" w:type="dxa"/>
            <w:vAlign w:val="bottom"/>
          </w:tcPr>
          <w:p>
            <w:pPr>
              <w:ind w:left="380"/>
              <w:spacing w:after="0"/>
              <w:rPr>
                <w:sz w:val="20"/>
                <w:szCs w:val="20"/>
                <w:color w:val="auto"/>
              </w:rPr>
            </w:pPr>
            <w:r>
              <w:rPr>
                <w:rFonts w:ascii="Arial" w:cs="Arial" w:eastAsia="Arial" w:hAnsi="Arial"/>
                <w:sz w:val="18"/>
                <w:szCs w:val="18"/>
                <w:color w:val="auto"/>
              </w:rPr>
              <w:t>L/C Participations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3.5</w:t>
            </w:r>
          </w:p>
        </w:tc>
        <w:tc>
          <w:tcPr>
            <w:tcW w:w="7880" w:type="dxa"/>
            <w:vAlign w:val="bottom"/>
          </w:tcPr>
          <w:p>
            <w:pPr>
              <w:ind w:left="380"/>
              <w:spacing w:after="0"/>
              <w:rPr>
                <w:sz w:val="20"/>
                <w:szCs w:val="20"/>
                <w:color w:val="auto"/>
              </w:rPr>
            </w:pPr>
            <w:r>
              <w:rPr>
                <w:rFonts w:ascii="Arial" w:cs="Arial" w:eastAsia="Arial" w:hAnsi="Arial"/>
                <w:sz w:val="18"/>
                <w:szCs w:val="18"/>
                <w:color w:val="auto"/>
              </w:rPr>
              <w:t>Reimbursement Obligation of the Company and the Applicable Account Party</w:t>
            </w:r>
          </w:p>
        </w:tc>
        <w:tc>
          <w:tcPr>
            <w:tcW w:w="2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3.6</w:t>
            </w:r>
          </w:p>
        </w:tc>
        <w:tc>
          <w:tcPr>
            <w:tcW w:w="7880" w:type="dxa"/>
            <w:vAlign w:val="bottom"/>
          </w:tcPr>
          <w:p>
            <w:pPr>
              <w:ind w:left="380"/>
              <w:spacing w:after="0"/>
              <w:rPr>
                <w:sz w:val="20"/>
                <w:szCs w:val="20"/>
                <w:color w:val="auto"/>
              </w:rPr>
            </w:pPr>
            <w:r>
              <w:rPr>
                <w:rFonts w:ascii="Arial" w:cs="Arial" w:eastAsia="Arial" w:hAnsi="Arial"/>
                <w:sz w:val="18"/>
                <w:szCs w:val="18"/>
                <w:color w:val="auto"/>
              </w:rPr>
              <w:t>Obligations Absolute</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3.7</w:t>
            </w:r>
          </w:p>
        </w:tc>
        <w:tc>
          <w:tcPr>
            <w:tcW w:w="7880" w:type="dxa"/>
            <w:vAlign w:val="bottom"/>
          </w:tcPr>
          <w:p>
            <w:pPr>
              <w:ind w:left="380"/>
              <w:spacing w:after="0"/>
              <w:rPr>
                <w:sz w:val="20"/>
                <w:szCs w:val="20"/>
                <w:color w:val="auto"/>
              </w:rPr>
            </w:pPr>
            <w:r>
              <w:rPr>
                <w:rFonts w:ascii="Arial" w:cs="Arial" w:eastAsia="Arial" w:hAnsi="Arial"/>
                <w:sz w:val="18"/>
                <w:szCs w:val="18"/>
                <w:color w:val="auto"/>
              </w:rPr>
              <w:t>Letter of Credit Payments</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3.8</w:t>
            </w:r>
          </w:p>
        </w:tc>
        <w:tc>
          <w:tcPr>
            <w:tcW w:w="7880" w:type="dxa"/>
            <w:vAlign w:val="bottom"/>
          </w:tcPr>
          <w:p>
            <w:pPr>
              <w:ind w:left="380"/>
              <w:spacing w:after="0"/>
              <w:rPr>
                <w:sz w:val="20"/>
                <w:szCs w:val="20"/>
                <w:color w:val="auto"/>
              </w:rPr>
            </w:pPr>
            <w:r>
              <w:rPr>
                <w:rFonts w:ascii="Arial" w:cs="Arial" w:eastAsia="Arial" w:hAnsi="Arial"/>
                <w:sz w:val="18"/>
                <w:szCs w:val="18"/>
                <w:color w:val="auto"/>
              </w:rPr>
              <w:t>Applications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3.9</w:t>
            </w:r>
          </w:p>
        </w:tc>
        <w:tc>
          <w:tcPr>
            <w:tcW w:w="7880" w:type="dxa"/>
            <w:vAlign w:val="bottom"/>
          </w:tcPr>
          <w:p>
            <w:pPr>
              <w:ind w:left="380"/>
              <w:spacing w:after="0"/>
              <w:rPr>
                <w:sz w:val="20"/>
                <w:szCs w:val="20"/>
                <w:color w:val="auto"/>
              </w:rPr>
            </w:pPr>
            <w:r>
              <w:rPr>
                <w:rFonts w:ascii="Arial" w:cs="Arial" w:eastAsia="Arial" w:hAnsi="Arial"/>
                <w:sz w:val="18"/>
                <w:szCs w:val="18"/>
                <w:color w:val="auto"/>
              </w:rPr>
              <w:t>Collateralization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3.10</w:t>
            </w:r>
          </w:p>
        </w:tc>
        <w:tc>
          <w:tcPr>
            <w:tcW w:w="7880" w:type="dxa"/>
            <w:vAlign w:val="bottom"/>
          </w:tcPr>
          <w:p>
            <w:pPr>
              <w:ind w:left="380"/>
              <w:spacing w:after="0"/>
              <w:rPr>
                <w:sz w:val="20"/>
                <w:szCs w:val="20"/>
                <w:color w:val="auto"/>
              </w:rPr>
            </w:pPr>
            <w:r>
              <w:rPr>
                <w:rFonts w:ascii="Arial" w:cs="Arial" w:eastAsia="Arial" w:hAnsi="Arial"/>
                <w:sz w:val="18"/>
                <w:szCs w:val="18"/>
                <w:color w:val="auto"/>
              </w:rPr>
              <w:t>New Issuing Lenders; L/C Commitments</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3.11</w:t>
            </w:r>
          </w:p>
        </w:tc>
        <w:tc>
          <w:tcPr>
            <w:tcW w:w="7880" w:type="dxa"/>
            <w:vAlign w:val="bottom"/>
          </w:tcPr>
          <w:p>
            <w:pPr>
              <w:ind w:left="380"/>
              <w:spacing w:after="0"/>
              <w:rPr>
                <w:sz w:val="20"/>
                <w:szCs w:val="20"/>
                <w:color w:val="auto"/>
              </w:rPr>
            </w:pPr>
            <w:r>
              <w:rPr>
                <w:rFonts w:ascii="Arial" w:cs="Arial" w:eastAsia="Arial" w:hAnsi="Arial"/>
                <w:sz w:val="18"/>
                <w:szCs w:val="18"/>
                <w:color w:val="auto"/>
              </w:rPr>
              <w:t>Existing Letters of Credit and Designated Letters of Credit</w:t>
            </w:r>
          </w:p>
        </w:tc>
        <w:tc>
          <w:tcPr>
            <w:tcW w:w="21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3.12</w:t>
            </w:r>
          </w:p>
        </w:tc>
        <w:tc>
          <w:tcPr>
            <w:tcW w:w="7880" w:type="dxa"/>
            <w:vAlign w:val="bottom"/>
          </w:tcPr>
          <w:p>
            <w:pPr>
              <w:ind w:left="380"/>
              <w:spacing w:after="0"/>
              <w:rPr>
                <w:sz w:val="20"/>
                <w:szCs w:val="20"/>
                <w:color w:val="auto"/>
              </w:rPr>
            </w:pPr>
            <w:r>
              <w:rPr>
                <w:rFonts w:ascii="Arial" w:cs="Arial" w:eastAsia="Arial" w:hAnsi="Arial"/>
                <w:sz w:val="18"/>
                <w:szCs w:val="18"/>
                <w:color w:val="auto"/>
              </w:rPr>
              <w:t>Conflicts</w:t>
            </w:r>
          </w:p>
        </w:tc>
        <w:tc>
          <w:tcPr>
            <w:tcW w:w="2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99"/>
        </w:trPr>
        <w:tc>
          <w:tcPr>
            <w:tcW w:w="1320" w:type="dxa"/>
            <w:vAlign w:val="bottom"/>
          </w:tcPr>
          <w:p>
            <w:pPr>
              <w:spacing w:after="0"/>
              <w:rPr>
                <w:sz w:val="20"/>
                <w:szCs w:val="20"/>
                <w:color w:val="auto"/>
              </w:rPr>
            </w:pPr>
            <w:r>
              <w:rPr>
                <w:rFonts w:ascii="Arial" w:cs="Arial" w:eastAsia="Arial" w:hAnsi="Arial"/>
                <w:sz w:val="18"/>
                <w:szCs w:val="18"/>
                <w:color w:val="auto"/>
              </w:rPr>
              <w:t>SECTION 4.</w:t>
            </w:r>
          </w:p>
        </w:tc>
        <w:tc>
          <w:tcPr>
            <w:tcW w:w="7880" w:type="dxa"/>
            <w:vAlign w:val="bottom"/>
          </w:tcPr>
          <w:p>
            <w:pPr>
              <w:ind w:left="560"/>
              <w:spacing w:after="0"/>
              <w:rPr>
                <w:sz w:val="20"/>
                <w:szCs w:val="20"/>
                <w:color w:val="auto"/>
              </w:rPr>
            </w:pPr>
            <w:r>
              <w:rPr>
                <w:rFonts w:ascii="Arial" w:cs="Arial" w:eastAsia="Arial" w:hAnsi="Arial"/>
                <w:sz w:val="18"/>
                <w:szCs w:val="18"/>
                <w:color w:val="auto"/>
              </w:rPr>
              <w:t>REPRESENTATIONS AND WARRANTIES</w:t>
            </w:r>
          </w:p>
        </w:tc>
        <w:tc>
          <w:tcPr>
            <w:tcW w:w="2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99"/>
        </w:trPr>
        <w:tc>
          <w:tcPr>
            <w:tcW w:w="1320" w:type="dxa"/>
            <w:vAlign w:val="bottom"/>
          </w:tcPr>
          <w:p>
            <w:pPr>
              <w:ind w:left="260"/>
              <w:spacing w:after="0"/>
              <w:rPr>
                <w:sz w:val="20"/>
                <w:szCs w:val="20"/>
                <w:color w:val="auto"/>
              </w:rPr>
            </w:pPr>
            <w:r>
              <w:rPr>
                <w:rFonts w:ascii="Arial" w:cs="Arial" w:eastAsia="Arial" w:hAnsi="Arial"/>
                <w:sz w:val="18"/>
                <w:szCs w:val="18"/>
                <w:color w:val="auto"/>
              </w:rPr>
              <w:t>4.1</w:t>
            </w:r>
          </w:p>
        </w:tc>
        <w:tc>
          <w:tcPr>
            <w:tcW w:w="7880" w:type="dxa"/>
            <w:vAlign w:val="bottom"/>
          </w:tcPr>
          <w:p>
            <w:pPr>
              <w:ind w:left="380"/>
              <w:spacing w:after="0"/>
              <w:rPr>
                <w:sz w:val="20"/>
                <w:szCs w:val="20"/>
                <w:color w:val="auto"/>
              </w:rPr>
            </w:pPr>
            <w:r>
              <w:rPr>
                <w:rFonts w:ascii="Arial" w:cs="Arial" w:eastAsia="Arial" w:hAnsi="Arial"/>
                <w:sz w:val="18"/>
                <w:szCs w:val="18"/>
                <w:color w:val="auto"/>
              </w:rPr>
              <w:t>Financial Condition</w:t>
            </w:r>
          </w:p>
        </w:tc>
        <w:tc>
          <w:tcPr>
            <w:tcW w:w="2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4.2</w:t>
            </w:r>
          </w:p>
        </w:tc>
        <w:tc>
          <w:tcPr>
            <w:tcW w:w="7880" w:type="dxa"/>
            <w:vAlign w:val="bottom"/>
          </w:tcPr>
          <w:p>
            <w:pPr>
              <w:ind w:left="380"/>
              <w:spacing w:after="0"/>
              <w:rPr>
                <w:sz w:val="20"/>
                <w:szCs w:val="20"/>
                <w:color w:val="auto"/>
              </w:rPr>
            </w:pPr>
            <w:r>
              <w:rPr>
                <w:rFonts w:ascii="Arial" w:cs="Arial" w:eastAsia="Arial" w:hAnsi="Arial"/>
                <w:sz w:val="18"/>
                <w:szCs w:val="18"/>
                <w:color w:val="auto"/>
              </w:rPr>
              <w:t>No Change</w:t>
            </w:r>
          </w:p>
        </w:tc>
        <w:tc>
          <w:tcPr>
            <w:tcW w:w="2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4.3</w:t>
            </w:r>
          </w:p>
        </w:tc>
        <w:tc>
          <w:tcPr>
            <w:tcW w:w="7880" w:type="dxa"/>
            <w:vAlign w:val="bottom"/>
          </w:tcPr>
          <w:p>
            <w:pPr>
              <w:ind w:left="380"/>
              <w:spacing w:after="0"/>
              <w:rPr>
                <w:sz w:val="20"/>
                <w:szCs w:val="20"/>
                <w:color w:val="auto"/>
              </w:rPr>
            </w:pPr>
            <w:r>
              <w:rPr>
                <w:rFonts w:ascii="Arial" w:cs="Arial" w:eastAsia="Arial" w:hAnsi="Arial"/>
                <w:sz w:val="18"/>
                <w:szCs w:val="18"/>
                <w:color w:val="auto"/>
              </w:rPr>
              <w:t>Existence</w:t>
            </w:r>
          </w:p>
        </w:tc>
        <w:tc>
          <w:tcPr>
            <w:tcW w:w="2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4.4</w:t>
            </w:r>
          </w:p>
        </w:tc>
        <w:tc>
          <w:tcPr>
            <w:tcW w:w="7880" w:type="dxa"/>
            <w:vAlign w:val="bottom"/>
          </w:tcPr>
          <w:p>
            <w:pPr>
              <w:ind w:left="380"/>
              <w:spacing w:after="0"/>
              <w:rPr>
                <w:sz w:val="20"/>
                <w:szCs w:val="20"/>
                <w:color w:val="auto"/>
              </w:rPr>
            </w:pPr>
            <w:r>
              <w:rPr>
                <w:rFonts w:ascii="Arial" w:cs="Arial" w:eastAsia="Arial" w:hAnsi="Arial"/>
                <w:sz w:val="18"/>
                <w:szCs w:val="18"/>
                <w:color w:val="auto"/>
              </w:rPr>
              <w:t>Power; Authorization; Enforceable Obligations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4.5</w:t>
            </w:r>
          </w:p>
        </w:tc>
        <w:tc>
          <w:tcPr>
            <w:tcW w:w="7880" w:type="dxa"/>
            <w:vAlign w:val="bottom"/>
          </w:tcPr>
          <w:p>
            <w:pPr>
              <w:ind w:left="380"/>
              <w:spacing w:after="0"/>
              <w:rPr>
                <w:sz w:val="20"/>
                <w:szCs w:val="20"/>
                <w:color w:val="auto"/>
              </w:rPr>
            </w:pPr>
            <w:r>
              <w:rPr>
                <w:rFonts w:ascii="Arial" w:cs="Arial" w:eastAsia="Arial" w:hAnsi="Arial"/>
                <w:sz w:val="18"/>
                <w:szCs w:val="18"/>
                <w:color w:val="auto"/>
              </w:rPr>
              <w:t>No Legal Bar</w:t>
            </w:r>
          </w:p>
        </w:tc>
        <w:tc>
          <w:tcPr>
            <w:tcW w:w="2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4.6</w:t>
            </w:r>
          </w:p>
        </w:tc>
        <w:tc>
          <w:tcPr>
            <w:tcW w:w="7880" w:type="dxa"/>
            <w:vAlign w:val="bottom"/>
          </w:tcPr>
          <w:p>
            <w:pPr>
              <w:ind w:left="380"/>
              <w:spacing w:after="0"/>
              <w:rPr>
                <w:sz w:val="20"/>
                <w:szCs w:val="20"/>
                <w:color w:val="auto"/>
              </w:rPr>
            </w:pPr>
            <w:r>
              <w:rPr>
                <w:rFonts w:ascii="Arial" w:cs="Arial" w:eastAsia="Arial" w:hAnsi="Arial"/>
                <w:sz w:val="18"/>
                <w:szCs w:val="18"/>
                <w:color w:val="auto"/>
              </w:rPr>
              <w:t>Litigation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4.7</w:t>
            </w:r>
          </w:p>
        </w:tc>
        <w:tc>
          <w:tcPr>
            <w:tcW w:w="7880" w:type="dxa"/>
            <w:vAlign w:val="bottom"/>
          </w:tcPr>
          <w:p>
            <w:pPr>
              <w:ind w:left="380"/>
              <w:spacing w:after="0"/>
              <w:rPr>
                <w:sz w:val="20"/>
                <w:szCs w:val="20"/>
                <w:color w:val="auto"/>
              </w:rPr>
            </w:pPr>
            <w:r>
              <w:rPr>
                <w:rFonts w:ascii="Arial" w:cs="Arial" w:eastAsia="Arial" w:hAnsi="Arial"/>
                <w:sz w:val="18"/>
                <w:szCs w:val="18"/>
                <w:color w:val="auto"/>
              </w:rPr>
              <w:t>No Default</w:t>
            </w:r>
          </w:p>
        </w:tc>
        <w:tc>
          <w:tcPr>
            <w:tcW w:w="2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4.8</w:t>
            </w:r>
          </w:p>
        </w:tc>
        <w:tc>
          <w:tcPr>
            <w:tcW w:w="7880" w:type="dxa"/>
            <w:vAlign w:val="bottom"/>
          </w:tcPr>
          <w:p>
            <w:pPr>
              <w:ind w:left="380"/>
              <w:spacing w:after="0"/>
              <w:rPr>
                <w:sz w:val="20"/>
                <w:szCs w:val="20"/>
                <w:color w:val="auto"/>
              </w:rPr>
            </w:pPr>
            <w:r>
              <w:rPr>
                <w:rFonts w:ascii="Arial" w:cs="Arial" w:eastAsia="Arial" w:hAnsi="Arial"/>
                <w:sz w:val="18"/>
                <w:szCs w:val="18"/>
                <w:color w:val="auto"/>
              </w:rPr>
              <w:t>Ownership of Property</w:t>
            </w:r>
          </w:p>
        </w:tc>
        <w:tc>
          <w:tcPr>
            <w:tcW w:w="2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4.9</w:t>
            </w:r>
          </w:p>
        </w:tc>
        <w:tc>
          <w:tcPr>
            <w:tcW w:w="7880" w:type="dxa"/>
            <w:vAlign w:val="bottom"/>
          </w:tcPr>
          <w:p>
            <w:pPr>
              <w:ind w:left="380"/>
              <w:spacing w:after="0"/>
              <w:rPr>
                <w:sz w:val="20"/>
                <w:szCs w:val="20"/>
                <w:color w:val="auto"/>
              </w:rPr>
            </w:pPr>
            <w:r>
              <w:rPr>
                <w:rFonts w:ascii="Arial" w:cs="Arial" w:eastAsia="Arial" w:hAnsi="Arial"/>
                <w:sz w:val="18"/>
                <w:szCs w:val="18"/>
                <w:color w:val="auto"/>
              </w:rPr>
              <w:t>Intellectual Property</w:t>
            </w:r>
          </w:p>
        </w:tc>
        <w:tc>
          <w:tcPr>
            <w:tcW w:w="2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4.10</w:t>
            </w:r>
          </w:p>
        </w:tc>
        <w:tc>
          <w:tcPr>
            <w:tcW w:w="7880" w:type="dxa"/>
            <w:vAlign w:val="bottom"/>
          </w:tcPr>
          <w:p>
            <w:pPr>
              <w:ind w:left="380"/>
              <w:spacing w:after="0"/>
              <w:rPr>
                <w:sz w:val="20"/>
                <w:szCs w:val="20"/>
                <w:color w:val="auto"/>
              </w:rPr>
            </w:pPr>
            <w:r>
              <w:rPr>
                <w:rFonts w:ascii="Arial" w:cs="Arial" w:eastAsia="Arial" w:hAnsi="Arial"/>
                <w:sz w:val="18"/>
                <w:szCs w:val="18"/>
                <w:color w:val="auto"/>
              </w:rPr>
              <w:t>Federal Regulations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4.11</w:t>
            </w:r>
          </w:p>
        </w:tc>
        <w:tc>
          <w:tcPr>
            <w:tcW w:w="7880" w:type="dxa"/>
            <w:vAlign w:val="bottom"/>
          </w:tcPr>
          <w:p>
            <w:pPr>
              <w:ind w:left="380"/>
              <w:spacing w:after="0"/>
              <w:rPr>
                <w:sz w:val="20"/>
                <w:szCs w:val="20"/>
                <w:color w:val="auto"/>
              </w:rPr>
            </w:pPr>
            <w:r>
              <w:rPr>
                <w:rFonts w:ascii="Arial" w:cs="Arial" w:eastAsia="Arial" w:hAnsi="Arial"/>
                <w:sz w:val="18"/>
                <w:szCs w:val="18"/>
                <w:color w:val="auto"/>
              </w:rPr>
              <w:t>ERISA</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4.12</w:t>
            </w:r>
          </w:p>
        </w:tc>
        <w:tc>
          <w:tcPr>
            <w:tcW w:w="7880" w:type="dxa"/>
            <w:vAlign w:val="bottom"/>
          </w:tcPr>
          <w:p>
            <w:pPr>
              <w:ind w:left="380"/>
              <w:spacing w:after="0"/>
              <w:rPr>
                <w:sz w:val="20"/>
                <w:szCs w:val="20"/>
                <w:color w:val="auto"/>
              </w:rPr>
            </w:pPr>
            <w:r>
              <w:rPr>
                <w:rFonts w:ascii="Arial" w:cs="Arial" w:eastAsia="Arial" w:hAnsi="Arial"/>
                <w:sz w:val="18"/>
                <w:szCs w:val="18"/>
                <w:color w:val="auto"/>
              </w:rPr>
              <w:t>Investment Company Act</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4.13</w:t>
            </w:r>
          </w:p>
        </w:tc>
        <w:tc>
          <w:tcPr>
            <w:tcW w:w="7880" w:type="dxa"/>
            <w:vAlign w:val="bottom"/>
          </w:tcPr>
          <w:p>
            <w:pPr>
              <w:ind w:left="380"/>
              <w:spacing w:after="0"/>
              <w:rPr>
                <w:sz w:val="20"/>
                <w:szCs w:val="20"/>
                <w:color w:val="auto"/>
              </w:rPr>
            </w:pPr>
            <w:r>
              <w:rPr>
                <w:rFonts w:ascii="Arial" w:cs="Arial" w:eastAsia="Arial" w:hAnsi="Arial"/>
                <w:sz w:val="18"/>
                <w:szCs w:val="18"/>
                <w:color w:val="auto"/>
              </w:rPr>
              <w:t>Ownership of the Subsidiary Borrowers</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4.14</w:t>
            </w:r>
          </w:p>
        </w:tc>
        <w:tc>
          <w:tcPr>
            <w:tcW w:w="7880" w:type="dxa"/>
            <w:vAlign w:val="bottom"/>
          </w:tcPr>
          <w:p>
            <w:pPr>
              <w:ind w:left="380"/>
              <w:spacing w:after="0"/>
              <w:rPr>
                <w:sz w:val="20"/>
                <w:szCs w:val="20"/>
                <w:color w:val="auto"/>
              </w:rPr>
            </w:pPr>
            <w:r>
              <w:rPr>
                <w:rFonts w:ascii="Arial" w:cs="Arial" w:eastAsia="Arial" w:hAnsi="Arial"/>
                <w:sz w:val="18"/>
                <w:szCs w:val="18"/>
                <w:color w:val="auto"/>
              </w:rPr>
              <w:t>[Reserved].</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4.15</w:t>
            </w:r>
          </w:p>
        </w:tc>
        <w:tc>
          <w:tcPr>
            <w:tcW w:w="7880" w:type="dxa"/>
            <w:vAlign w:val="bottom"/>
          </w:tcPr>
          <w:p>
            <w:pPr>
              <w:ind w:left="380"/>
              <w:spacing w:after="0"/>
              <w:rPr>
                <w:sz w:val="20"/>
                <w:szCs w:val="20"/>
                <w:color w:val="auto"/>
              </w:rPr>
            </w:pPr>
            <w:r>
              <w:rPr>
                <w:rFonts w:ascii="Arial" w:cs="Arial" w:eastAsia="Arial" w:hAnsi="Arial"/>
                <w:sz w:val="18"/>
                <w:szCs w:val="18"/>
                <w:color w:val="auto"/>
              </w:rPr>
              <w:t>[Reserved]</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4.16</w:t>
            </w:r>
          </w:p>
        </w:tc>
        <w:tc>
          <w:tcPr>
            <w:tcW w:w="7880" w:type="dxa"/>
            <w:vAlign w:val="bottom"/>
          </w:tcPr>
          <w:p>
            <w:pPr>
              <w:ind w:left="380"/>
              <w:spacing w:after="0"/>
              <w:rPr>
                <w:sz w:val="20"/>
                <w:szCs w:val="20"/>
                <w:color w:val="auto"/>
              </w:rPr>
            </w:pPr>
            <w:r>
              <w:rPr>
                <w:rFonts w:ascii="Arial" w:cs="Arial" w:eastAsia="Arial" w:hAnsi="Arial"/>
                <w:sz w:val="18"/>
                <w:szCs w:val="18"/>
                <w:color w:val="auto"/>
              </w:rPr>
              <w:t>Use of Proceeds</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4.17</w:t>
            </w:r>
          </w:p>
        </w:tc>
        <w:tc>
          <w:tcPr>
            <w:tcW w:w="7880" w:type="dxa"/>
            <w:vAlign w:val="bottom"/>
          </w:tcPr>
          <w:p>
            <w:pPr>
              <w:ind w:left="380"/>
              <w:spacing w:after="0"/>
              <w:rPr>
                <w:sz w:val="20"/>
                <w:szCs w:val="20"/>
                <w:color w:val="auto"/>
              </w:rPr>
            </w:pPr>
            <w:r>
              <w:rPr>
                <w:rFonts w:ascii="Arial" w:cs="Arial" w:eastAsia="Arial" w:hAnsi="Arial"/>
                <w:sz w:val="18"/>
                <w:szCs w:val="18"/>
                <w:color w:val="auto"/>
              </w:rPr>
              <w:t>Anti-Corruption Laws and Sanctions</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99"/>
        </w:trPr>
        <w:tc>
          <w:tcPr>
            <w:tcW w:w="1320" w:type="dxa"/>
            <w:vAlign w:val="bottom"/>
          </w:tcPr>
          <w:p>
            <w:pPr>
              <w:spacing w:after="0"/>
              <w:rPr>
                <w:sz w:val="20"/>
                <w:szCs w:val="20"/>
                <w:color w:val="auto"/>
              </w:rPr>
            </w:pPr>
            <w:r>
              <w:rPr>
                <w:rFonts w:ascii="Arial" w:cs="Arial" w:eastAsia="Arial" w:hAnsi="Arial"/>
                <w:sz w:val="18"/>
                <w:szCs w:val="18"/>
                <w:color w:val="auto"/>
              </w:rPr>
              <w:t>SECTION 5.</w:t>
            </w:r>
          </w:p>
        </w:tc>
        <w:tc>
          <w:tcPr>
            <w:tcW w:w="7880" w:type="dxa"/>
            <w:vAlign w:val="bottom"/>
          </w:tcPr>
          <w:p>
            <w:pPr>
              <w:ind w:left="600"/>
              <w:spacing w:after="0"/>
              <w:rPr>
                <w:sz w:val="20"/>
                <w:szCs w:val="20"/>
                <w:color w:val="auto"/>
              </w:rPr>
            </w:pPr>
            <w:r>
              <w:rPr>
                <w:rFonts w:ascii="Arial" w:cs="Arial" w:eastAsia="Arial" w:hAnsi="Arial"/>
                <w:sz w:val="18"/>
                <w:szCs w:val="18"/>
                <w:color w:val="auto"/>
              </w:rPr>
              <w:t>CONDITIONS PRECEDENT</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99"/>
        </w:trPr>
        <w:tc>
          <w:tcPr>
            <w:tcW w:w="1320" w:type="dxa"/>
            <w:vAlign w:val="bottom"/>
          </w:tcPr>
          <w:p>
            <w:pPr>
              <w:ind w:left="260"/>
              <w:spacing w:after="0"/>
              <w:rPr>
                <w:sz w:val="20"/>
                <w:szCs w:val="20"/>
                <w:color w:val="auto"/>
              </w:rPr>
            </w:pPr>
            <w:r>
              <w:rPr>
                <w:rFonts w:ascii="Arial" w:cs="Arial" w:eastAsia="Arial" w:hAnsi="Arial"/>
                <w:sz w:val="18"/>
                <w:szCs w:val="18"/>
                <w:color w:val="auto"/>
              </w:rPr>
              <w:t>5.1</w:t>
            </w:r>
          </w:p>
        </w:tc>
        <w:tc>
          <w:tcPr>
            <w:tcW w:w="7880" w:type="dxa"/>
            <w:vAlign w:val="bottom"/>
          </w:tcPr>
          <w:p>
            <w:pPr>
              <w:ind w:left="380"/>
              <w:spacing w:after="0"/>
              <w:rPr>
                <w:sz w:val="20"/>
                <w:szCs w:val="20"/>
                <w:color w:val="auto"/>
              </w:rPr>
            </w:pPr>
            <w:r>
              <w:rPr>
                <w:rFonts w:ascii="Arial" w:cs="Arial" w:eastAsia="Arial" w:hAnsi="Arial"/>
                <w:sz w:val="18"/>
                <w:szCs w:val="18"/>
                <w:color w:val="auto"/>
              </w:rPr>
              <w:t>Conditions to Closing Date</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5.2</w:t>
            </w:r>
          </w:p>
        </w:tc>
        <w:tc>
          <w:tcPr>
            <w:tcW w:w="7880" w:type="dxa"/>
            <w:vAlign w:val="bottom"/>
          </w:tcPr>
          <w:p>
            <w:pPr>
              <w:ind w:left="380"/>
              <w:spacing w:after="0"/>
              <w:rPr>
                <w:sz w:val="20"/>
                <w:szCs w:val="20"/>
                <w:color w:val="auto"/>
              </w:rPr>
            </w:pPr>
            <w:r>
              <w:rPr>
                <w:rFonts w:ascii="Arial" w:cs="Arial" w:eastAsia="Arial" w:hAnsi="Arial"/>
                <w:sz w:val="18"/>
                <w:szCs w:val="18"/>
                <w:color w:val="auto"/>
              </w:rPr>
              <w:t>Conditions to Each Extension of Credit</w:t>
            </w:r>
          </w:p>
        </w:tc>
        <w:tc>
          <w:tcPr>
            <w:tcW w:w="2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99"/>
        </w:trPr>
        <w:tc>
          <w:tcPr>
            <w:tcW w:w="1320" w:type="dxa"/>
            <w:vAlign w:val="bottom"/>
          </w:tcPr>
          <w:p>
            <w:pPr>
              <w:spacing w:after="0"/>
              <w:rPr>
                <w:sz w:val="20"/>
                <w:szCs w:val="20"/>
                <w:color w:val="auto"/>
              </w:rPr>
            </w:pPr>
            <w:r>
              <w:rPr>
                <w:rFonts w:ascii="Arial" w:cs="Arial" w:eastAsia="Arial" w:hAnsi="Arial"/>
                <w:sz w:val="18"/>
                <w:szCs w:val="18"/>
                <w:color w:val="auto"/>
              </w:rPr>
              <w:t>SECTION 6.</w:t>
            </w:r>
          </w:p>
        </w:tc>
        <w:tc>
          <w:tcPr>
            <w:tcW w:w="7880" w:type="dxa"/>
            <w:vAlign w:val="bottom"/>
          </w:tcPr>
          <w:p>
            <w:pPr>
              <w:ind w:left="600"/>
              <w:spacing w:after="0"/>
              <w:rPr>
                <w:sz w:val="20"/>
                <w:szCs w:val="20"/>
                <w:color w:val="auto"/>
              </w:rPr>
            </w:pPr>
            <w:r>
              <w:rPr>
                <w:rFonts w:ascii="Arial" w:cs="Arial" w:eastAsia="Arial" w:hAnsi="Arial"/>
                <w:sz w:val="18"/>
                <w:szCs w:val="18"/>
                <w:color w:val="auto"/>
              </w:rPr>
              <w:t>AFFIRMATIVE COVENANTS</w:t>
            </w:r>
          </w:p>
        </w:tc>
        <w:tc>
          <w:tcPr>
            <w:tcW w:w="2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99"/>
        </w:trPr>
        <w:tc>
          <w:tcPr>
            <w:tcW w:w="1320" w:type="dxa"/>
            <w:vAlign w:val="bottom"/>
          </w:tcPr>
          <w:p>
            <w:pPr>
              <w:ind w:left="260"/>
              <w:spacing w:after="0"/>
              <w:rPr>
                <w:sz w:val="20"/>
                <w:szCs w:val="20"/>
                <w:color w:val="auto"/>
              </w:rPr>
            </w:pPr>
            <w:r>
              <w:rPr>
                <w:rFonts w:ascii="Arial" w:cs="Arial" w:eastAsia="Arial" w:hAnsi="Arial"/>
                <w:sz w:val="18"/>
                <w:szCs w:val="18"/>
                <w:color w:val="auto"/>
              </w:rPr>
              <w:t>6.1</w:t>
            </w:r>
          </w:p>
        </w:tc>
        <w:tc>
          <w:tcPr>
            <w:tcW w:w="7880" w:type="dxa"/>
            <w:vAlign w:val="bottom"/>
          </w:tcPr>
          <w:p>
            <w:pPr>
              <w:ind w:left="380"/>
              <w:spacing w:after="0"/>
              <w:rPr>
                <w:sz w:val="20"/>
                <w:szCs w:val="20"/>
                <w:color w:val="auto"/>
              </w:rPr>
            </w:pPr>
            <w:r>
              <w:rPr>
                <w:rFonts w:ascii="Arial" w:cs="Arial" w:eastAsia="Arial" w:hAnsi="Arial"/>
                <w:sz w:val="18"/>
                <w:szCs w:val="18"/>
                <w:color w:val="auto"/>
              </w:rPr>
              <w:t>Financial Statements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6.2</w:t>
            </w:r>
          </w:p>
        </w:tc>
        <w:tc>
          <w:tcPr>
            <w:tcW w:w="7880" w:type="dxa"/>
            <w:vAlign w:val="bottom"/>
          </w:tcPr>
          <w:p>
            <w:pPr>
              <w:ind w:left="380"/>
              <w:spacing w:after="0"/>
              <w:rPr>
                <w:sz w:val="20"/>
                <w:szCs w:val="20"/>
                <w:color w:val="auto"/>
              </w:rPr>
            </w:pPr>
            <w:r>
              <w:rPr>
                <w:rFonts w:ascii="Arial" w:cs="Arial" w:eastAsia="Arial" w:hAnsi="Arial"/>
                <w:sz w:val="18"/>
                <w:szCs w:val="18"/>
                <w:color w:val="auto"/>
              </w:rPr>
              <w:t>Compliance Certificates</w:t>
            </w: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6.3</w:t>
            </w:r>
          </w:p>
        </w:tc>
        <w:tc>
          <w:tcPr>
            <w:tcW w:w="7880" w:type="dxa"/>
            <w:vAlign w:val="bottom"/>
          </w:tcPr>
          <w:p>
            <w:pPr>
              <w:ind w:left="380"/>
              <w:spacing w:after="0"/>
              <w:rPr>
                <w:sz w:val="20"/>
                <w:szCs w:val="20"/>
                <w:color w:val="auto"/>
              </w:rPr>
            </w:pPr>
            <w:r>
              <w:rPr>
                <w:rFonts w:ascii="Arial" w:cs="Arial" w:eastAsia="Arial" w:hAnsi="Arial"/>
                <w:sz w:val="18"/>
                <w:szCs w:val="18"/>
                <w:color w:val="auto"/>
              </w:rPr>
              <w:t>Maintenance of Business; Existence</w:t>
            </w: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6.4</w:t>
            </w:r>
          </w:p>
        </w:tc>
        <w:tc>
          <w:tcPr>
            <w:tcW w:w="7880" w:type="dxa"/>
            <w:vAlign w:val="bottom"/>
          </w:tcPr>
          <w:p>
            <w:pPr>
              <w:ind w:left="380"/>
              <w:spacing w:after="0"/>
              <w:rPr>
                <w:sz w:val="20"/>
                <w:szCs w:val="20"/>
                <w:color w:val="auto"/>
              </w:rPr>
            </w:pPr>
            <w:r>
              <w:rPr>
                <w:rFonts w:ascii="Arial" w:cs="Arial" w:eastAsia="Arial" w:hAnsi="Arial"/>
                <w:sz w:val="18"/>
                <w:szCs w:val="18"/>
                <w:color w:val="auto"/>
              </w:rPr>
              <w:t>Maintenance of Insurance</w:t>
            </w: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44"/>
        </w:trPr>
        <w:tc>
          <w:tcPr>
            <w:tcW w:w="1320" w:type="dxa"/>
            <w:vAlign w:val="bottom"/>
          </w:tcPr>
          <w:p>
            <w:pPr>
              <w:ind w:left="260"/>
              <w:spacing w:after="0"/>
              <w:rPr>
                <w:sz w:val="20"/>
                <w:szCs w:val="20"/>
                <w:color w:val="auto"/>
              </w:rPr>
            </w:pPr>
            <w:r>
              <w:rPr>
                <w:rFonts w:ascii="Arial" w:cs="Arial" w:eastAsia="Arial" w:hAnsi="Arial"/>
                <w:sz w:val="18"/>
                <w:szCs w:val="18"/>
                <w:color w:val="auto"/>
              </w:rPr>
              <w:t>6.5</w:t>
            </w:r>
          </w:p>
        </w:tc>
        <w:tc>
          <w:tcPr>
            <w:tcW w:w="7880" w:type="dxa"/>
            <w:vAlign w:val="bottom"/>
          </w:tcPr>
          <w:p>
            <w:pPr>
              <w:ind w:left="380"/>
              <w:spacing w:after="0"/>
              <w:rPr>
                <w:sz w:val="20"/>
                <w:szCs w:val="20"/>
                <w:color w:val="auto"/>
              </w:rPr>
            </w:pPr>
            <w:r>
              <w:rPr>
                <w:rFonts w:ascii="Arial" w:cs="Arial" w:eastAsia="Arial" w:hAnsi="Arial"/>
                <w:sz w:val="18"/>
                <w:szCs w:val="18"/>
                <w:color w:val="auto"/>
              </w:rPr>
              <w:t>Notices</w:t>
            </w: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340"/>
          </w:cols>
          <w:pgMar w:left="220" w:top="256" w:right="339" w:bottom="1440" w:gutter="0" w:footer="0" w:header="0"/>
        </w:sectPr>
      </w:pPr>
    </w:p>
    <w:bookmarkStart w:id="7" w:name="page8"/>
    <w:bookmarkEnd w:id="7"/>
    <w:tbl>
      <w:tblPr>
        <w:tblLayout w:type="fixed"/>
        <w:tblInd w:w="40" w:type="dxa"/>
        <w:tblCellMar>
          <w:top w:w="0" w:type="dxa"/>
          <w:left w:w="0" w:type="dxa"/>
          <w:bottom w:w="0" w:type="dxa"/>
          <w:right w:w="0" w:type="dxa"/>
        </w:tblCellMar>
      </w:tblPr>
      <w:tr>
        <w:trPr>
          <w:trHeight w:val="224"/>
        </w:trPr>
        <w:tc>
          <w:tcPr>
            <w:tcW w:w="1360" w:type="dxa"/>
            <w:vAlign w:val="bottom"/>
          </w:tcPr>
          <w:p>
            <w:pPr>
              <w:ind w:left="260"/>
              <w:spacing w:after="0"/>
              <w:rPr>
                <w:sz w:val="20"/>
                <w:szCs w:val="20"/>
                <w:color w:val="auto"/>
              </w:rPr>
            </w:pPr>
            <w:r>
              <w:rPr>
                <w:rFonts w:ascii="Arial" w:cs="Arial" w:eastAsia="Arial" w:hAnsi="Arial"/>
                <w:sz w:val="18"/>
                <w:szCs w:val="18"/>
                <w:color w:val="auto"/>
              </w:rPr>
              <w:t>6.6</w:t>
            </w:r>
          </w:p>
        </w:tc>
        <w:tc>
          <w:tcPr>
            <w:tcW w:w="91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6.7</w:t>
            </w:r>
          </w:p>
        </w:tc>
        <w:tc>
          <w:tcPr>
            <w:tcW w:w="9180" w:type="dxa"/>
            <w:vAlign w:val="bottom"/>
          </w:tcPr>
          <w:p>
            <w:pPr>
              <w:ind w:left="340"/>
              <w:spacing w:after="0"/>
              <w:rPr>
                <w:sz w:val="20"/>
                <w:szCs w:val="20"/>
                <w:color w:val="auto"/>
              </w:rPr>
            </w:pPr>
            <w:r>
              <w:rPr>
                <w:rFonts w:ascii="Arial" w:cs="Arial" w:eastAsia="Arial" w:hAnsi="Arial"/>
                <w:sz w:val="18"/>
                <w:szCs w:val="18"/>
                <w:color w:val="auto"/>
              </w:rPr>
              <w:t>Reinstated Guarantors, etc.</w:t>
            </w: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6.8</w:t>
            </w:r>
          </w:p>
        </w:tc>
        <w:tc>
          <w:tcPr>
            <w:tcW w:w="91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6.9</w:t>
            </w:r>
          </w:p>
        </w:tc>
        <w:tc>
          <w:tcPr>
            <w:tcW w:w="9180" w:type="dxa"/>
            <w:vAlign w:val="bottom"/>
          </w:tcPr>
          <w:p>
            <w:pPr>
              <w:ind w:left="340"/>
              <w:spacing w:after="0"/>
              <w:rPr>
                <w:sz w:val="20"/>
                <w:szCs w:val="20"/>
                <w:color w:val="auto"/>
              </w:rPr>
            </w:pPr>
            <w:r>
              <w:rPr>
                <w:rFonts w:ascii="Arial" w:cs="Arial" w:eastAsia="Arial" w:hAnsi="Arial"/>
                <w:sz w:val="18"/>
                <w:szCs w:val="18"/>
                <w:color w:val="auto"/>
              </w:rPr>
              <w:t>Books and Records</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6.10</w:t>
            </w:r>
          </w:p>
        </w:tc>
        <w:tc>
          <w:tcPr>
            <w:tcW w:w="9180" w:type="dxa"/>
            <w:vAlign w:val="bottom"/>
          </w:tcPr>
          <w:p>
            <w:pPr>
              <w:ind w:left="340"/>
              <w:spacing w:after="0"/>
              <w:rPr>
                <w:sz w:val="20"/>
                <w:szCs w:val="20"/>
                <w:color w:val="auto"/>
              </w:rPr>
            </w:pPr>
            <w:r>
              <w:rPr>
                <w:rFonts w:ascii="Arial" w:cs="Arial" w:eastAsia="Arial" w:hAnsi="Arial"/>
                <w:sz w:val="18"/>
                <w:szCs w:val="18"/>
                <w:color w:val="auto"/>
              </w:rPr>
              <w:t>Ratings</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99"/>
        </w:trPr>
        <w:tc>
          <w:tcPr>
            <w:tcW w:w="1360" w:type="dxa"/>
            <w:vAlign w:val="bottom"/>
          </w:tcPr>
          <w:p>
            <w:pPr>
              <w:spacing w:after="0"/>
              <w:rPr>
                <w:sz w:val="20"/>
                <w:szCs w:val="20"/>
                <w:color w:val="auto"/>
              </w:rPr>
            </w:pPr>
            <w:r>
              <w:rPr>
                <w:rFonts w:ascii="Arial" w:cs="Arial" w:eastAsia="Arial" w:hAnsi="Arial"/>
                <w:sz w:val="18"/>
                <w:szCs w:val="18"/>
                <w:color w:val="auto"/>
              </w:rPr>
              <w:t>SECTION 7.</w:t>
            </w:r>
          </w:p>
        </w:tc>
        <w:tc>
          <w:tcPr>
            <w:tcW w:w="9180" w:type="dxa"/>
            <w:vAlign w:val="bottom"/>
          </w:tcPr>
          <w:p>
            <w:pPr>
              <w:ind w:left="520"/>
              <w:spacing w:after="0"/>
              <w:rPr>
                <w:sz w:val="20"/>
                <w:szCs w:val="20"/>
                <w:color w:val="auto"/>
              </w:rPr>
            </w:pPr>
            <w:r>
              <w:rPr>
                <w:rFonts w:ascii="Arial" w:cs="Arial" w:eastAsia="Arial" w:hAnsi="Arial"/>
                <w:sz w:val="18"/>
                <w:szCs w:val="18"/>
                <w:color w:val="auto"/>
              </w:rPr>
              <w:t>NEGATIVE COVENANTS</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99"/>
        </w:trPr>
        <w:tc>
          <w:tcPr>
            <w:tcW w:w="1360" w:type="dxa"/>
            <w:vAlign w:val="bottom"/>
          </w:tcPr>
          <w:p>
            <w:pPr>
              <w:ind w:left="260"/>
              <w:spacing w:after="0"/>
              <w:rPr>
                <w:sz w:val="20"/>
                <w:szCs w:val="20"/>
                <w:color w:val="auto"/>
              </w:rPr>
            </w:pPr>
            <w:r>
              <w:rPr>
                <w:rFonts w:ascii="Arial" w:cs="Arial" w:eastAsia="Arial" w:hAnsi="Arial"/>
                <w:sz w:val="18"/>
                <w:szCs w:val="18"/>
                <w:color w:val="auto"/>
              </w:rPr>
              <w:t>7.1</w:t>
            </w:r>
          </w:p>
        </w:tc>
        <w:tc>
          <w:tcPr>
            <w:tcW w:w="91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7.2</w:t>
            </w:r>
          </w:p>
        </w:tc>
        <w:tc>
          <w:tcPr>
            <w:tcW w:w="9180" w:type="dxa"/>
            <w:vAlign w:val="bottom"/>
          </w:tcPr>
          <w:p>
            <w:pPr>
              <w:ind w:left="340"/>
              <w:spacing w:after="0"/>
              <w:rPr>
                <w:sz w:val="20"/>
                <w:szCs w:val="20"/>
                <w:color w:val="auto"/>
              </w:rPr>
            </w:pPr>
            <w:r>
              <w:rPr>
                <w:rFonts w:ascii="Arial" w:cs="Arial" w:eastAsia="Arial" w:hAnsi="Arial"/>
                <w:sz w:val="18"/>
                <w:szCs w:val="18"/>
                <w:color w:val="auto"/>
              </w:rPr>
              <w:t>Minimum Liquidity</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7.3</w:t>
            </w:r>
          </w:p>
        </w:tc>
        <w:tc>
          <w:tcPr>
            <w:tcW w:w="91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7.4</w:t>
            </w:r>
          </w:p>
        </w:tc>
        <w:tc>
          <w:tcPr>
            <w:tcW w:w="9180" w:type="dxa"/>
            <w:vAlign w:val="bottom"/>
          </w:tcPr>
          <w:p>
            <w:pPr>
              <w:ind w:left="340"/>
              <w:spacing w:after="0"/>
              <w:rPr>
                <w:sz w:val="20"/>
                <w:szCs w:val="20"/>
                <w:color w:val="auto"/>
              </w:rPr>
            </w:pPr>
            <w:r>
              <w:rPr>
                <w:rFonts w:ascii="Arial" w:cs="Arial" w:eastAsia="Arial" w:hAnsi="Arial"/>
                <w:sz w:val="18"/>
                <w:szCs w:val="18"/>
                <w:color w:val="auto"/>
              </w:rPr>
              <w:t>Indebtedness</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7.5</w:t>
            </w:r>
          </w:p>
        </w:tc>
        <w:tc>
          <w:tcPr>
            <w:tcW w:w="9180" w:type="dxa"/>
            <w:vAlign w:val="bottom"/>
          </w:tcPr>
          <w:p>
            <w:pPr>
              <w:ind w:left="340"/>
              <w:spacing w:after="0"/>
              <w:rPr>
                <w:sz w:val="20"/>
                <w:szCs w:val="20"/>
                <w:color w:val="auto"/>
              </w:rPr>
            </w:pPr>
            <w:r>
              <w:rPr>
                <w:rFonts w:ascii="Arial" w:cs="Arial" w:eastAsia="Arial" w:hAnsi="Arial"/>
                <w:sz w:val="18"/>
                <w:szCs w:val="18"/>
                <w:color w:val="auto"/>
              </w:rPr>
              <w:t>Asset Sale Restrictions</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7.6</w:t>
            </w:r>
          </w:p>
        </w:tc>
        <w:tc>
          <w:tcPr>
            <w:tcW w:w="91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7.7</w:t>
            </w:r>
          </w:p>
        </w:tc>
        <w:tc>
          <w:tcPr>
            <w:tcW w:w="9180" w:type="dxa"/>
            <w:vAlign w:val="bottom"/>
          </w:tcPr>
          <w:p>
            <w:pPr>
              <w:ind w:left="340"/>
              <w:spacing w:after="0"/>
              <w:rPr>
                <w:sz w:val="20"/>
                <w:szCs w:val="20"/>
                <w:color w:val="auto"/>
              </w:rPr>
            </w:pPr>
            <w:r>
              <w:rPr>
                <w:rFonts w:ascii="Arial" w:cs="Arial" w:eastAsia="Arial" w:hAnsi="Arial"/>
                <w:sz w:val="18"/>
                <w:szCs w:val="18"/>
                <w:color w:val="auto"/>
              </w:rPr>
              <w:t>Fundamental Changes</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7.8</w:t>
            </w:r>
          </w:p>
        </w:tc>
        <w:tc>
          <w:tcPr>
            <w:tcW w:w="9180" w:type="dxa"/>
            <w:vAlign w:val="bottom"/>
          </w:tcPr>
          <w:p>
            <w:pPr>
              <w:ind w:left="340"/>
              <w:spacing w:after="0"/>
              <w:rPr>
                <w:sz w:val="20"/>
                <w:szCs w:val="20"/>
                <w:color w:val="auto"/>
              </w:rPr>
            </w:pPr>
            <w:r>
              <w:rPr>
                <w:rFonts w:ascii="Arial" w:cs="Arial" w:eastAsia="Arial" w:hAnsi="Arial"/>
                <w:sz w:val="18"/>
                <w:szCs w:val="18"/>
                <w:color w:val="auto"/>
              </w:rPr>
              <w:t>Anti-Corruption Laws and Sanctions</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99"/>
        </w:trPr>
        <w:tc>
          <w:tcPr>
            <w:tcW w:w="1360" w:type="dxa"/>
            <w:vAlign w:val="bottom"/>
          </w:tcPr>
          <w:p>
            <w:pPr>
              <w:spacing w:after="0"/>
              <w:rPr>
                <w:sz w:val="20"/>
                <w:szCs w:val="20"/>
                <w:color w:val="auto"/>
              </w:rPr>
            </w:pPr>
            <w:r>
              <w:rPr>
                <w:rFonts w:ascii="Arial" w:cs="Arial" w:eastAsia="Arial" w:hAnsi="Arial"/>
                <w:sz w:val="18"/>
                <w:szCs w:val="18"/>
                <w:color w:val="auto"/>
              </w:rPr>
              <w:t>SECTION 8.</w:t>
            </w:r>
          </w:p>
        </w:tc>
        <w:tc>
          <w:tcPr>
            <w:tcW w:w="9180" w:type="dxa"/>
            <w:vAlign w:val="bottom"/>
          </w:tcPr>
          <w:p>
            <w:pPr>
              <w:ind w:left="560"/>
              <w:spacing w:after="0"/>
              <w:rPr>
                <w:sz w:val="20"/>
                <w:szCs w:val="20"/>
                <w:color w:val="auto"/>
              </w:rPr>
            </w:pPr>
            <w:r>
              <w:rPr>
                <w:rFonts w:ascii="Arial" w:cs="Arial" w:eastAsia="Arial" w:hAnsi="Arial"/>
                <w:sz w:val="18"/>
                <w:szCs w:val="18"/>
                <w:color w:val="auto"/>
              </w:rPr>
              <w:t>EVENTS OF DEFAULT</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99"/>
        </w:trPr>
        <w:tc>
          <w:tcPr>
            <w:tcW w:w="1360" w:type="dxa"/>
            <w:vAlign w:val="bottom"/>
          </w:tcPr>
          <w:p>
            <w:pPr>
              <w:ind w:left="260"/>
              <w:spacing w:after="0"/>
              <w:rPr>
                <w:sz w:val="20"/>
                <w:szCs w:val="20"/>
                <w:color w:val="auto"/>
              </w:rPr>
            </w:pPr>
            <w:r>
              <w:rPr>
                <w:rFonts w:ascii="Arial" w:cs="Arial" w:eastAsia="Arial" w:hAnsi="Arial"/>
                <w:sz w:val="18"/>
                <w:szCs w:val="18"/>
                <w:color w:val="auto"/>
              </w:rPr>
              <w:t>8.1</w:t>
            </w:r>
          </w:p>
        </w:tc>
        <w:tc>
          <w:tcPr>
            <w:tcW w:w="9180" w:type="dxa"/>
            <w:vAlign w:val="bottom"/>
          </w:tcPr>
          <w:p>
            <w:pPr>
              <w:ind w:left="340"/>
              <w:spacing w:after="0"/>
              <w:rPr>
                <w:sz w:val="20"/>
                <w:szCs w:val="20"/>
                <w:color w:val="auto"/>
              </w:rPr>
            </w:pPr>
            <w:r>
              <w:rPr>
                <w:rFonts w:ascii="Arial" w:cs="Arial" w:eastAsia="Arial" w:hAnsi="Arial"/>
                <w:sz w:val="18"/>
                <w:szCs w:val="18"/>
                <w:color w:val="auto"/>
              </w:rPr>
              <w:t>Events of Default</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99"/>
        </w:trPr>
        <w:tc>
          <w:tcPr>
            <w:tcW w:w="1360" w:type="dxa"/>
            <w:vAlign w:val="bottom"/>
          </w:tcPr>
          <w:p>
            <w:pPr>
              <w:spacing w:after="0"/>
              <w:rPr>
                <w:sz w:val="20"/>
                <w:szCs w:val="20"/>
                <w:color w:val="auto"/>
              </w:rPr>
            </w:pPr>
            <w:r>
              <w:rPr>
                <w:rFonts w:ascii="Arial" w:cs="Arial" w:eastAsia="Arial" w:hAnsi="Arial"/>
                <w:sz w:val="18"/>
                <w:szCs w:val="18"/>
                <w:color w:val="auto"/>
              </w:rPr>
              <w:t>SECTION 9.</w:t>
            </w:r>
          </w:p>
        </w:tc>
        <w:tc>
          <w:tcPr>
            <w:tcW w:w="9180" w:type="dxa"/>
            <w:vAlign w:val="bottom"/>
          </w:tcPr>
          <w:p>
            <w:pPr>
              <w:ind w:left="560"/>
              <w:spacing w:after="0"/>
              <w:rPr>
                <w:sz w:val="20"/>
                <w:szCs w:val="20"/>
                <w:color w:val="auto"/>
              </w:rPr>
            </w:pPr>
            <w:r>
              <w:rPr>
                <w:rFonts w:ascii="Arial" w:cs="Arial" w:eastAsia="Arial" w:hAnsi="Arial"/>
                <w:sz w:val="18"/>
                <w:szCs w:val="18"/>
                <w:color w:val="auto"/>
              </w:rPr>
              <w:t>THE AGENTS</w:t>
            </w: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99"/>
        </w:trPr>
        <w:tc>
          <w:tcPr>
            <w:tcW w:w="1360" w:type="dxa"/>
            <w:vAlign w:val="bottom"/>
          </w:tcPr>
          <w:p>
            <w:pPr>
              <w:ind w:left="260"/>
              <w:spacing w:after="0"/>
              <w:rPr>
                <w:sz w:val="20"/>
                <w:szCs w:val="20"/>
                <w:color w:val="auto"/>
              </w:rPr>
            </w:pPr>
            <w:r>
              <w:rPr>
                <w:rFonts w:ascii="Arial" w:cs="Arial" w:eastAsia="Arial" w:hAnsi="Arial"/>
                <w:sz w:val="18"/>
                <w:szCs w:val="18"/>
                <w:color w:val="auto"/>
              </w:rPr>
              <w:t>9.1</w:t>
            </w:r>
          </w:p>
        </w:tc>
        <w:tc>
          <w:tcPr>
            <w:tcW w:w="9180" w:type="dxa"/>
            <w:vAlign w:val="bottom"/>
          </w:tcPr>
          <w:p>
            <w:pPr>
              <w:ind w:left="340"/>
              <w:spacing w:after="0"/>
              <w:rPr>
                <w:sz w:val="20"/>
                <w:szCs w:val="20"/>
                <w:color w:val="auto"/>
              </w:rPr>
            </w:pPr>
            <w:r>
              <w:rPr>
                <w:rFonts w:ascii="Arial" w:cs="Arial" w:eastAsia="Arial" w:hAnsi="Arial"/>
                <w:sz w:val="18"/>
                <w:szCs w:val="18"/>
                <w:color w:val="auto"/>
              </w:rPr>
              <w:t>Appointment</w:t>
            </w: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9.2</w:t>
            </w:r>
          </w:p>
        </w:tc>
        <w:tc>
          <w:tcPr>
            <w:tcW w:w="9180" w:type="dxa"/>
            <w:vAlign w:val="bottom"/>
          </w:tcPr>
          <w:p>
            <w:pPr>
              <w:ind w:left="340"/>
              <w:spacing w:after="0"/>
              <w:rPr>
                <w:sz w:val="20"/>
                <w:szCs w:val="20"/>
                <w:color w:val="auto"/>
              </w:rPr>
            </w:pPr>
            <w:r>
              <w:rPr>
                <w:rFonts w:ascii="Arial" w:cs="Arial" w:eastAsia="Arial" w:hAnsi="Arial"/>
                <w:sz w:val="18"/>
                <w:szCs w:val="18"/>
                <w:color w:val="auto"/>
              </w:rPr>
              <w:t>Delegation of Duties</w:t>
            </w: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9.3</w:t>
            </w:r>
          </w:p>
        </w:tc>
        <w:tc>
          <w:tcPr>
            <w:tcW w:w="9180" w:type="dxa"/>
            <w:vAlign w:val="bottom"/>
          </w:tcPr>
          <w:p>
            <w:pPr>
              <w:ind w:left="340"/>
              <w:spacing w:after="0"/>
              <w:rPr>
                <w:sz w:val="20"/>
                <w:szCs w:val="20"/>
                <w:color w:val="auto"/>
              </w:rPr>
            </w:pPr>
            <w:r>
              <w:rPr>
                <w:rFonts w:ascii="Arial" w:cs="Arial" w:eastAsia="Arial" w:hAnsi="Arial"/>
                <w:sz w:val="18"/>
                <w:szCs w:val="18"/>
                <w:color w:val="auto"/>
              </w:rPr>
              <w:t>Exculpatory Provisions</w:t>
            </w: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9.4</w:t>
            </w:r>
          </w:p>
        </w:tc>
        <w:tc>
          <w:tcPr>
            <w:tcW w:w="9180" w:type="dxa"/>
            <w:vAlign w:val="bottom"/>
          </w:tcPr>
          <w:p>
            <w:pPr>
              <w:ind w:left="340"/>
              <w:spacing w:after="0"/>
              <w:rPr>
                <w:sz w:val="20"/>
                <w:szCs w:val="20"/>
                <w:color w:val="auto"/>
              </w:rPr>
            </w:pPr>
            <w:r>
              <w:rPr>
                <w:rFonts w:ascii="Arial" w:cs="Arial" w:eastAsia="Arial" w:hAnsi="Arial"/>
                <w:sz w:val="18"/>
                <w:szCs w:val="18"/>
                <w:color w:val="auto"/>
              </w:rPr>
              <w:t>Reliance by Administrative Agent and the Brazilian Administrative Agent</w:t>
            </w: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9.5</w:t>
            </w:r>
          </w:p>
        </w:tc>
        <w:tc>
          <w:tcPr>
            <w:tcW w:w="9180" w:type="dxa"/>
            <w:vAlign w:val="bottom"/>
          </w:tcPr>
          <w:p>
            <w:pPr>
              <w:ind w:left="340"/>
              <w:spacing w:after="0"/>
              <w:rPr>
                <w:sz w:val="20"/>
                <w:szCs w:val="20"/>
                <w:color w:val="auto"/>
              </w:rPr>
            </w:pPr>
            <w:r>
              <w:rPr>
                <w:rFonts w:ascii="Arial" w:cs="Arial" w:eastAsia="Arial" w:hAnsi="Arial"/>
                <w:sz w:val="18"/>
                <w:szCs w:val="18"/>
                <w:color w:val="auto"/>
              </w:rPr>
              <w:t>Notice of Default</w:t>
            </w: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9.6</w:t>
            </w:r>
          </w:p>
        </w:tc>
        <w:tc>
          <w:tcPr>
            <w:tcW w:w="9180" w:type="dxa"/>
            <w:vAlign w:val="bottom"/>
          </w:tcPr>
          <w:p>
            <w:pPr>
              <w:ind w:left="340"/>
              <w:spacing w:after="0"/>
              <w:rPr>
                <w:sz w:val="20"/>
                <w:szCs w:val="20"/>
                <w:color w:val="auto"/>
              </w:rPr>
            </w:pPr>
            <w:r>
              <w:rPr>
                <w:rFonts w:ascii="Arial" w:cs="Arial" w:eastAsia="Arial" w:hAnsi="Arial"/>
                <w:sz w:val="18"/>
                <w:szCs w:val="18"/>
                <w:color w:val="auto"/>
              </w:rPr>
              <w:t>Non-Reliance on Agents and Other Lenders</w:t>
            </w: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9.7</w:t>
            </w:r>
          </w:p>
        </w:tc>
        <w:tc>
          <w:tcPr>
            <w:tcW w:w="9180" w:type="dxa"/>
            <w:vAlign w:val="bottom"/>
          </w:tcPr>
          <w:p>
            <w:pPr>
              <w:ind w:left="340"/>
              <w:spacing w:after="0"/>
              <w:rPr>
                <w:sz w:val="20"/>
                <w:szCs w:val="20"/>
                <w:color w:val="auto"/>
              </w:rPr>
            </w:pPr>
            <w:r>
              <w:rPr>
                <w:rFonts w:ascii="Arial" w:cs="Arial" w:eastAsia="Arial" w:hAnsi="Arial"/>
                <w:sz w:val="18"/>
                <w:szCs w:val="18"/>
                <w:color w:val="auto"/>
              </w:rPr>
              <w:t>Indemnification</w:t>
            </w: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9.8</w:t>
            </w:r>
          </w:p>
        </w:tc>
        <w:tc>
          <w:tcPr>
            <w:tcW w:w="9180" w:type="dxa"/>
            <w:vAlign w:val="bottom"/>
          </w:tcPr>
          <w:p>
            <w:pPr>
              <w:ind w:left="340"/>
              <w:spacing w:after="0"/>
              <w:rPr>
                <w:sz w:val="20"/>
                <w:szCs w:val="20"/>
                <w:color w:val="auto"/>
              </w:rPr>
            </w:pPr>
            <w:r>
              <w:rPr>
                <w:rFonts w:ascii="Arial" w:cs="Arial" w:eastAsia="Arial" w:hAnsi="Arial"/>
                <w:sz w:val="18"/>
                <w:szCs w:val="18"/>
                <w:color w:val="auto"/>
              </w:rPr>
              <w:t>Agent in Its Individual Capacity</w:t>
            </w: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9.9</w:t>
            </w:r>
          </w:p>
        </w:tc>
        <w:tc>
          <w:tcPr>
            <w:tcW w:w="9180" w:type="dxa"/>
            <w:vAlign w:val="bottom"/>
          </w:tcPr>
          <w:p>
            <w:pPr>
              <w:ind w:left="340"/>
              <w:spacing w:after="0"/>
              <w:rPr>
                <w:sz w:val="20"/>
                <w:szCs w:val="20"/>
                <w:color w:val="auto"/>
              </w:rPr>
            </w:pPr>
            <w:r>
              <w:rPr>
                <w:rFonts w:ascii="Arial" w:cs="Arial" w:eastAsia="Arial" w:hAnsi="Arial"/>
                <w:sz w:val="18"/>
                <w:szCs w:val="18"/>
                <w:color w:val="auto"/>
              </w:rPr>
              <w:t>Successor Administrative Agent</w:t>
            </w: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9.10</w:t>
            </w:r>
          </w:p>
        </w:tc>
        <w:tc>
          <w:tcPr>
            <w:tcW w:w="9180" w:type="dxa"/>
            <w:vAlign w:val="bottom"/>
          </w:tcPr>
          <w:p>
            <w:pPr>
              <w:ind w:left="340"/>
              <w:spacing w:after="0"/>
              <w:rPr>
                <w:sz w:val="20"/>
                <w:szCs w:val="20"/>
                <w:color w:val="auto"/>
              </w:rPr>
            </w:pPr>
            <w:r>
              <w:rPr>
                <w:rFonts w:ascii="Arial" w:cs="Arial" w:eastAsia="Arial" w:hAnsi="Arial"/>
                <w:sz w:val="18"/>
                <w:szCs w:val="18"/>
                <w:color w:val="auto"/>
              </w:rPr>
              <w:t>Replacement of Brazilian Administrative Agent</w:t>
            </w: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9"/>
        </w:trPr>
        <w:tc>
          <w:tcPr>
            <w:tcW w:w="136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w w:val="94"/>
              </w:rPr>
              <w:t>Bookrunners, Lead Arrangers, Global and Regional Coordinators, Documentation Agents,Syndication Agent and Co-</w:t>
            </w:r>
          </w:p>
        </w:tc>
        <w:tc>
          <w:tcPr>
            <w:tcW w:w="760" w:type="dxa"/>
            <w:vAlign w:val="bottom"/>
          </w:tcPr>
          <w:p>
            <w:pPr>
              <w:spacing w:after="0"/>
              <w:rPr>
                <w:sz w:val="19"/>
                <w:szCs w:val="19"/>
                <w:color w:val="auto"/>
              </w:rPr>
            </w:pPr>
          </w:p>
        </w:tc>
      </w:tr>
      <w:tr>
        <w:trPr>
          <w:trHeight w:val="224"/>
        </w:trPr>
        <w:tc>
          <w:tcPr>
            <w:tcW w:w="1360" w:type="dxa"/>
            <w:vAlign w:val="bottom"/>
          </w:tcPr>
          <w:p>
            <w:pPr>
              <w:ind w:left="260"/>
              <w:spacing w:after="0"/>
              <w:rPr>
                <w:sz w:val="20"/>
                <w:szCs w:val="20"/>
                <w:color w:val="auto"/>
              </w:rPr>
            </w:pPr>
            <w:r>
              <w:rPr>
                <w:rFonts w:ascii="Arial" w:cs="Arial" w:eastAsia="Arial" w:hAnsi="Arial"/>
                <w:sz w:val="18"/>
                <w:szCs w:val="18"/>
                <w:color w:val="auto"/>
              </w:rPr>
              <w:t>9.11</w:t>
            </w:r>
          </w:p>
        </w:tc>
        <w:tc>
          <w:tcPr>
            <w:tcW w:w="9180" w:type="dxa"/>
            <w:vAlign w:val="bottom"/>
          </w:tcPr>
          <w:p>
            <w:pPr>
              <w:ind w:left="340"/>
              <w:spacing w:after="0"/>
              <w:rPr>
                <w:sz w:val="20"/>
                <w:szCs w:val="20"/>
                <w:color w:val="auto"/>
              </w:rPr>
            </w:pPr>
            <w:r>
              <w:rPr>
                <w:rFonts w:ascii="Arial" w:cs="Arial" w:eastAsia="Arial" w:hAnsi="Arial"/>
                <w:sz w:val="18"/>
                <w:szCs w:val="18"/>
                <w:color w:val="auto"/>
              </w:rPr>
              <w:t>Syndication Agent</w:t>
            </w: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99"/>
        </w:trPr>
        <w:tc>
          <w:tcPr>
            <w:tcW w:w="1360" w:type="dxa"/>
            <w:vAlign w:val="bottom"/>
          </w:tcPr>
          <w:p>
            <w:pPr>
              <w:spacing w:after="0"/>
              <w:rPr>
                <w:sz w:val="20"/>
                <w:szCs w:val="20"/>
                <w:color w:val="auto"/>
              </w:rPr>
            </w:pPr>
            <w:r>
              <w:rPr>
                <w:rFonts w:ascii="Arial" w:cs="Arial" w:eastAsia="Arial" w:hAnsi="Arial"/>
                <w:sz w:val="18"/>
                <w:szCs w:val="18"/>
                <w:color w:val="auto"/>
              </w:rPr>
              <w:t>SECTION 10.</w:t>
            </w:r>
          </w:p>
        </w:tc>
        <w:tc>
          <w:tcPr>
            <w:tcW w:w="9180" w:type="dxa"/>
            <w:vAlign w:val="bottom"/>
          </w:tcPr>
          <w:p>
            <w:pPr>
              <w:ind w:left="340"/>
              <w:spacing w:after="0"/>
              <w:rPr>
                <w:sz w:val="20"/>
                <w:szCs w:val="20"/>
                <w:color w:val="auto"/>
              </w:rPr>
            </w:pPr>
            <w:r>
              <w:rPr>
                <w:rFonts w:ascii="Arial" w:cs="Arial" w:eastAsia="Arial" w:hAnsi="Arial"/>
                <w:sz w:val="18"/>
                <w:szCs w:val="18"/>
                <w:color w:val="auto"/>
              </w:rPr>
              <w:t>MISCELLANEOUS</w:t>
            </w: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99"/>
        </w:trPr>
        <w:tc>
          <w:tcPr>
            <w:tcW w:w="1360" w:type="dxa"/>
            <w:vAlign w:val="bottom"/>
          </w:tcPr>
          <w:p>
            <w:pPr>
              <w:ind w:left="260"/>
              <w:spacing w:after="0"/>
              <w:rPr>
                <w:sz w:val="20"/>
                <w:szCs w:val="20"/>
                <w:color w:val="auto"/>
              </w:rPr>
            </w:pPr>
            <w:r>
              <w:rPr>
                <w:rFonts w:ascii="Arial" w:cs="Arial" w:eastAsia="Arial" w:hAnsi="Arial"/>
                <w:sz w:val="18"/>
                <w:szCs w:val="18"/>
                <w:color w:val="auto"/>
              </w:rPr>
              <w:t>10.1</w:t>
            </w:r>
          </w:p>
        </w:tc>
        <w:tc>
          <w:tcPr>
            <w:tcW w:w="9180" w:type="dxa"/>
            <w:vAlign w:val="bottom"/>
          </w:tcPr>
          <w:p>
            <w:pPr>
              <w:ind w:left="340"/>
              <w:spacing w:after="0"/>
              <w:rPr>
                <w:sz w:val="20"/>
                <w:szCs w:val="20"/>
                <w:color w:val="auto"/>
              </w:rPr>
            </w:pPr>
            <w:r>
              <w:rPr>
                <w:rFonts w:ascii="Arial" w:cs="Arial" w:eastAsia="Arial" w:hAnsi="Arial"/>
                <w:sz w:val="18"/>
                <w:szCs w:val="18"/>
                <w:color w:val="auto"/>
              </w:rPr>
              <w:t>Amendments and Waivers</w:t>
            </w: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10.2</w:t>
            </w:r>
          </w:p>
        </w:tc>
        <w:tc>
          <w:tcPr>
            <w:tcW w:w="9180" w:type="dxa"/>
            <w:vAlign w:val="bottom"/>
          </w:tcPr>
          <w:p>
            <w:pPr>
              <w:ind w:left="340"/>
              <w:spacing w:after="0"/>
              <w:rPr>
                <w:sz w:val="20"/>
                <w:szCs w:val="20"/>
                <w:color w:val="auto"/>
              </w:rPr>
            </w:pPr>
            <w:r>
              <w:rPr>
                <w:rFonts w:ascii="Arial" w:cs="Arial" w:eastAsia="Arial" w:hAnsi="Arial"/>
                <w:sz w:val="18"/>
                <w:szCs w:val="18"/>
                <w:color w:val="auto"/>
              </w:rPr>
              <w:t>Notices</w:t>
            </w: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10.3</w:t>
            </w:r>
          </w:p>
        </w:tc>
        <w:tc>
          <w:tcPr>
            <w:tcW w:w="9180" w:type="dxa"/>
            <w:vAlign w:val="bottom"/>
          </w:tcPr>
          <w:p>
            <w:pPr>
              <w:ind w:left="340"/>
              <w:spacing w:after="0"/>
              <w:rPr>
                <w:sz w:val="20"/>
                <w:szCs w:val="20"/>
                <w:color w:val="auto"/>
              </w:rPr>
            </w:pPr>
            <w:r>
              <w:rPr>
                <w:rFonts w:ascii="Arial" w:cs="Arial" w:eastAsia="Arial" w:hAnsi="Arial"/>
                <w:sz w:val="18"/>
                <w:szCs w:val="18"/>
                <w:color w:val="auto"/>
              </w:rPr>
              <w:t>No Waiver; Cumulative Remedies</w:t>
            </w: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10.4</w:t>
            </w:r>
          </w:p>
        </w:tc>
        <w:tc>
          <w:tcPr>
            <w:tcW w:w="9180" w:type="dxa"/>
            <w:vAlign w:val="bottom"/>
          </w:tcPr>
          <w:p>
            <w:pPr>
              <w:ind w:left="340"/>
              <w:spacing w:after="0"/>
              <w:rPr>
                <w:sz w:val="20"/>
                <w:szCs w:val="20"/>
                <w:color w:val="auto"/>
              </w:rPr>
            </w:pPr>
            <w:r>
              <w:rPr>
                <w:rFonts w:ascii="Arial" w:cs="Arial" w:eastAsia="Arial" w:hAnsi="Arial"/>
                <w:sz w:val="18"/>
                <w:szCs w:val="18"/>
                <w:color w:val="auto"/>
              </w:rPr>
              <w:t>Survival of Representations and Warranties</w:t>
            </w: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10.5</w:t>
            </w:r>
          </w:p>
        </w:tc>
        <w:tc>
          <w:tcPr>
            <w:tcW w:w="9180" w:type="dxa"/>
            <w:vAlign w:val="bottom"/>
          </w:tcPr>
          <w:p>
            <w:pPr>
              <w:ind w:left="340"/>
              <w:spacing w:after="0"/>
              <w:rPr>
                <w:sz w:val="20"/>
                <w:szCs w:val="20"/>
                <w:color w:val="auto"/>
              </w:rPr>
            </w:pPr>
            <w:r>
              <w:rPr>
                <w:rFonts w:ascii="Arial" w:cs="Arial" w:eastAsia="Arial" w:hAnsi="Arial"/>
                <w:sz w:val="18"/>
                <w:szCs w:val="18"/>
                <w:color w:val="auto"/>
              </w:rPr>
              <w:t>Payment of 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10.6</w:t>
            </w:r>
          </w:p>
        </w:tc>
        <w:tc>
          <w:tcPr>
            <w:tcW w:w="9180" w:type="dxa"/>
            <w:vAlign w:val="bottom"/>
          </w:tcPr>
          <w:p>
            <w:pPr>
              <w:ind w:left="340"/>
              <w:spacing w:after="0"/>
              <w:rPr>
                <w:sz w:val="20"/>
                <w:szCs w:val="20"/>
                <w:color w:val="auto"/>
              </w:rPr>
            </w:pPr>
            <w:r>
              <w:rPr>
                <w:rFonts w:ascii="Arial" w:cs="Arial" w:eastAsia="Arial" w:hAnsi="Arial"/>
                <w:sz w:val="18"/>
                <w:szCs w:val="18"/>
                <w:color w:val="auto"/>
              </w:rPr>
              <w:t>Successors and Assigns; Participations and Assignments</w:t>
            </w: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10.7</w:t>
            </w:r>
          </w:p>
        </w:tc>
        <w:tc>
          <w:tcPr>
            <w:tcW w:w="918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10.8</w:t>
            </w:r>
          </w:p>
        </w:tc>
        <w:tc>
          <w:tcPr>
            <w:tcW w:w="9180" w:type="dxa"/>
            <w:vAlign w:val="bottom"/>
          </w:tcPr>
          <w:p>
            <w:pPr>
              <w:ind w:left="340"/>
              <w:spacing w:after="0"/>
              <w:rPr>
                <w:sz w:val="20"/>
                <w:szCs w:val="20"/>
                <w:color w:val="auto"/>
              </w:rPr>
            </w:pPr>
            <w:r>
              <w:rPr>
                <w:rFonts w:ascii="Arial" w:cs="Arial" w:eastAsia="Arial" w:hAnsi="Arial"/>
                <w:sz w:val="18"/>
                <w:szCs w:val="18"/>
                <w:color w:val="auto"/>
              </w:rPr>
              <w:t>Counterparts</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10.9</w:t>
            </w:r>
          </w:p>
        </w:tc>
        <w:tc>
          <w:tcPr>
            <w:tcW w:w="918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4"/>
        </w:trPr>
        <w:tc>
          <w:tcPr>
            <w:tcW w:w="1360" w:type="dxa"/>
            <w:vAlign w:val="bottom"/>
          </w:tcPr>
          <w:p>
            <w:pPr>
              <w:ind w:left="260"/>
              <w:spacing w:after="0"/>
              <w:rPr>
                <w:sz w:val="20"/>
                <w:szCs w:val="20"/>
                <w:color w:val="auto"/>
              </w:rPr>
            </w:pPr>
            <w:r>
              <w:rPr>
                <w:rFonts w:ascii="Arial" w:cs="Arial" w:eastAsia="Arial" w:hAnsi="Arial"/>
                <w:sz w:val="18"/>
                <w:szCs w:val="18"/>
                <w:color w:val="auto"/>
              </w:rPr>
              <w:t>10.10</w:t>
            </w:r>
          </w:p>
        </w:tc>
        <w:tc>
          <w:tcPr>
            <w:tcW w:w="9180" w:type="dxa"/>
            <w:vAlign w:val="bottom"/>
          </w:tcPr>
          <w:p>
            <w:pPr>
              <w:ind w:left="340"/>
              <w:spacing w:after="0"/>
              <w:rPr>
                <w:sz w:val="20"/>
                <w:szCs w:val="20"/>
                <w:color w:val="auto"/>
              </w:rPr>
            </w:pPr>
            <w:r>
              <w:rPr>
                <w:rFonts w:ascii="Arial" w:cs="Arial" w:eastAsia="Arial" w:hAnsi="Arial"/>
                <w:sz w:val="18"/>
                <w:szCs w:val="18"/>
                <w:color w:val="auto"/>
              </w:rPr>
              <w:t>Integration</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340"/>
          </w:cols>
          <w:pgMar w:left="220" w:top="256" w:right="339" w:bottom="1440" w:gutter="0" w:footer="0" w:header="0"/>
        </w:sectPr>
      </w:pPr>
    </w:p>
    <w:bookmarkStart w:id="8" w:name="page9"/>
    <w:bookmarkEnd w:id="8"/>
    <w:tbl>
      <w:tblPr>
        <w:tblLayout w:type="fixed"/>
        <w:tblInd w:w="300" w:type="dxa"/>
        <w:tblCellMar>
          <w:top w:w="0" w:type="dxa"/>
          <w:left w:w="0" w:type="dxa"/>
          <w:bottom w:w="0" w:type="dxa"/>
          <w:right w:w="0" w:type="dxa"/>
        </w:tblCellMar>
      </w:tblPr>
      <w:tr>
        <w:trPr>
          <w:trHeight w:val="224"/>
        </w:trPr>
        <w:tc>
          <w:tcPr>
            <w:tcW w:w="920" w:type="dxa"/>
            <w:vAlign w:val="bottom"/>
          </w:tcPr>
          <w:p>
            <w:pPr>
              <w:jc w:val="right"/>
              <w:ind w:right="431"/>
              <w:spacing w:after="0"/>
              <w:rPr>
                <w:sz w:val="20"/>
                <w:szCs w:val="20"/>
                <w:color w:val="auto"/>
              </w:rPr>
            </w:pPr>
            <w:r>
              <w:rPr>
                <w:rFonts w:ascii="Arial" w:cs="Arial" w:eastAsia="Arial" w:hAnsi="Arial"/>
                <w:sz w:val="18"/>
                <w:szCs w:val="18"/>
                <w:color w:val="auto"/>
                <w:w w:val="84"/>
              </w:rPr>
              <w:t>10.11</w:t>
            </w:r>
          </w:p>
        </w:tc>
        <w:tc>
          <w:tcPr>
            <w:tcW w:w="6480" w:type="dxa"/>
            <w:vAlign w:val="bottom"/>
          </w:tcPr>
          <w:p>
            <w:pPr>
              <w:ind w:left="520"/>
              <w:spacing w:after="0"/>
              <w:rPr>
                <w:sz w:val="20"/>
                <w:szCs w:val="20"/>
                <w:color w:val="auto"/>
              </w:rPr>
            </w:pPr>
            <w:r>
              <w:rPr>
                <w:rFonts w:ascii="Arial" w:cs="Arial" w:eastAsia="Arial" w:hAnsi="Arial"/>
                <w:sz w:val="18"/>
                <w:szCs w:val="18"/>
                <w:color w:val="auto"/>
              </w:rPr>
              <w:t>GOVERNING LAW</w:t>
            </w:r>
          </w:p>
        </w:tc>
        <w:tc>
          <w:tcPr>
            <w:tcW w:w="36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4"/>
        </w:trPr>
        <w:tc>
          <w:tcPr>
            <w:tcW w:w="920" w:type="dxa"/>
            <w:vAlign w:val="bottom"/>
          </w:tcPr>
          <w:p>
            <w:pPr>
              <w:jc w:val="right"/>
              <w:ind w:right="431"/>
              <w:spacing w:after="0"/>
              <w:rPr>
                <w:sz w:val="20"/>
                <w:szCs w:val="20"/>
                <w:color w:val="auto"/>
              </w:rPr>
            </w:pPr>
            <w:r>
              <w:rPr>
                <w:rFonts w:ascii="Arial" w:cs="Arial" w:eastAsia="Arial" w:hAnsi="Arial"/>
                <w:sz w:val="18"/>
                <w:szCs w:val="18"/>
                <w:color w:val="auto"/>
                <w:w w:val="84"/>
              </w:rPr>
              <w:t>10.12</w:t>
            </w:r>
          </w:p>
        </w:tc>
        <w:tc>
          <w:tcPr>
            <w:tcW w:w="6480" w:type="dxa"/>
            <w:vAlign w:val="bottom"/>
          </w:tcPr>
          <w:p>
            <w:pPr>
              <w:ind w:left="520"/>
              <w:spacing w:after="0"/>
              <w:rPr>
                <w:sz w:val="20"/>
                <w:szCs w:val="20"/>
                <w:color w:val="auto"/>
              </w:rPr>
            </w:pPr>
            <w:r>
              <w:rPr>
                <w:rFonts w:ascii="Arial" w:cs="Arial" w:eastAsia="Arial" w:hAnsi="Arial"/>
                <w:sz w:val="18"/>
                <w:szCs w:val="18"/>
                <w:color w:val="auto"/>
              </w:rPr>
              <w:t>Submission to Jurisdiction; Waivers</w:t>
            </w:r>
          </w:p>
        </w:tc>
        <w:tc>
          <w:tcPr>
            <w:tcW w:w="36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4"/>
        </w:trPr>
        <w:tc>
          <w:tcPr>
            <w:tcW w:w="920" w:type="dxa"/>
            <w:vAlign w:val="bottom"/>
          </w:tcPr>
          <w:p>
            <w:pPr>
              <w:jc w:val="right"/>
              <w:ind w:right="431"/>
              <w:spacing w:after="0"/>
              <w:rPr>
                <w:sz w:val="20"/>
                <w:szCs w:val="20"/>
                <w:color w:val="auto"/>
              </w:rPr>
            </w:pPr>
            <w:r>
              <w:rPr>
                <w:rFonts w:ascii="Arial" w:cs="Arial" w:eastAsia="Arial" w:hAnsi="Arial"/>
                <w:sz w:val="18"/>
                <w:szCs w:val="18"/>
                <w:color w:val="auto"/>
                <w:w w:val="84"/>
              </w:rPr>
              <w:t>10.13</w:t>
            </w:r>
          </w:p>
        </w:tc>
        <w:tc>
          <w:tcPr>
            <w:tcW w:w="6480" w:type="dxa"/>
            <w:vAlign w:val="bottom"/>
          </w:tcPr>
          <w:p>
            <w:pPr>
              <w:ind w:left="520"/>
              <w:spacing w:after="0"/>
              <w:rPr>
                <w:sz w:val="20"/>
                <w:szCs w:val="20"/>
                <w:color w:val="auto"/>
              </w:rPr>
            </w:pPr>
            <w:r>
              <w:rPr>
                <w:rFonts w:ascii="Arial" w:cs="Arial" w:eastAsia="Arial" w:hAnsi="Arial"/>
                <w:sz w:val="18"/>
                <w:szCs w:val="18"/>
                <w:color w:val="auto"/>
              </w:rPr>
              <w:t>Judgment</w:t>
            </w:r>
          </w:p>
        </w:tc>
        <w:tc>
          <w:tcPr>
            <w:tcW w:w="3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44"/>
        </w:trPr>
        <w:tc>
          <w:tcPr>
            <w:tcW w:w="920" w:type="dxa"/>
            <w:vAlign w:val="bottom"/>
          </w:tcPr>
          <w:p>
            <w:pPr>
              <w:jc w:val="right"/>
              <w:ind w:right="431"/>
              <w:spacing w:after="0"/>
              <w:rPr>
                <w:sz w:val="20"/>
                <w:szCs w:val="20"/>
                <w:color w:val="auto"/>
              </w:rPr>
            </w:pPr>
            <w:r>
              <w:rPr>
                <w:rFonts w:ascii="Arial" w:cs="Arial" w:eastAsia="Arial" w:hAnsi="Arial"/>
                <w:sz w:val="18"/>
                <w:szCs w:val="18"/>
                <w:color w:val="auto"/>
                <w:w w:val="84"/>
              </w:rPr>
              <w:t>10.14</w:t>
            </w:r>
          </w:p>
        </w:tc>
        <w:tc>
          <w:tcPr>
            <w:tcW w:w="6480" w:type="dxa"/>
            <w:vAlign w:val="bottom"/>
          </w:tcPr>
          <w:p>
            <w:pPr>
              <w:ind w:left="520"/>
              <w:spacing w:after="0"/>
              <w:rPr>
                <w:sz w:val="20"/>
                <w:szCs w:val="20"/>
                <w:color w:val="auto"/>
              </w:rPr>
            </w:pPr>
            <w:r>
              <w:rPr>
                <w:rFonts w:ascii="Arial" w:cs="Arial" w:eastAsia="Arial" w:hAnsi="Arial"/>
                <w:sz w:val="18"/>
                <w:szCs w:val="18"/>
                <w:color w:val="auto"/>
              </w:rPr>
              <w:t>Acknowledgments</w:t>
            </w:r>
          </w:p>
        </w:tc>
        <w:tc>
          <w:tcPr>
            <w:tcW w:w="3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44"/>
        </w:trPr>
        <w:tc>
          <w:tcPr>
            <w:tcW w:w="920" w:type="dxa"/>
            <w:vAlign w:val="bottom"/>
          </w:tcPr>
          <w:p>
            <w:pPr>
              <w:jc w:val="right"/>
              <w:ind w:right="431"/>
              <w:spacing w:after="0"/>
              <w:rPr>
                <w:sz w:val="20"/>
                <w:szCs w:val="20"/>
                <w:color w:val="auto"/>
              </w:rPr>
            </w:pPr>
            <w:r>
              <w:rPr>
                <w:rFonts w:ascii="Arial" w:cs="Arial" w:eastAsia="Arial" w:hAnsi="Arial"/>
                <w:sz w:val="18"/>
                <w:szCs w:val="18"/>
                <w:color w:val="auto"/>
                <w:w w:val="84"/>
              </w:rPr>
              <w:t>10.15</w:t>
            </w:r>
          </w:p>
        </w:tc>
        <w:tc>
          <w:tcPr>
            <w:tcW w:w="6480" w:type="dxa"/>
            <w:vAlign w:val="bottom"/>
          </w:tcPr>
          <w:p>
            <w:pPr>
              <w:ind w:left="520"/>
              <w:spacing w:after="0"/>
              <w:rPr>
                <w:sz w:val="20"/>
                <w:szCs w:val="20"/>
                <w:color w:val="auto"/>
              </w:rPr>
            </w:pPr>
            <w:r>
              <w:rPr>
                <w:rFonts w:ascii="Arial" w:cs="Arial" w:eastAsia="Arial" w:hAnsi="Arial"/>
                <w:sz w:val="18"/>
                <w:szCs w:val="18"/>
                <w:color w:val="auto"/>
              </w:rPr>
              <w:t>Releases of Guarantees and Liens</w:t>
            </w:r>
          </w:p>
        </w:tc>
        <w:tc>
          <w:tcPr>
            <w:tcW w:w="3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44"/>
        </w:trPr>
        <w:tc>
          <w:tcPr>
            <w:tcW w:w="920" w:type="dxa"/>
            <w:vAlign w:val="bottom"/>
          </w:tcPr>
          <w:p>
            <w:pPr>
              <w:jc w:val="right"/>
              <w:ind w:right="431"/>
              <w:spacing w:after="0"/>
              <w:rPr>
                <w:sz w:val="20"/>
                <w:szCs w:val="20"/>
                <w:color w:val="auto"/>
              </w:rPr>
            </w:pPr>
            <w:r>
              <w:rPr>
                <w:rFonts w:ascii="Arial" w:cs="Arial" w:eastAsia="Arial" w:hAnsi="Arial"/>
                <w:sz w:val="18"/>
                <w:szCs w:val="18"/>
                <w:color w:val="auto"/>
                <w:w w:val="84"/>
              </w:rPr>
              <w:t>10.16</w:t>
            </w:r>
          </w:p>
        </w:tc>
        <w:tc>
          <w:tcPr>
            <w:tcW w:w="6480" w:type="dxa"/>
            <w:vAlign w:val="bottom"/>
          </w:tcPr>
          <w:p>
            <w:pPr>
              <w:ind w:left="520"/>
              <w:spacing w:after="0"/>
              <w:rPr>
                <w:sz w:val="20"/>
                <w:szCs w:val="20"/>
                <w:color w:val="auto"/>
              </w:rPr>
            </w:pPr>
            <w:r>
              <w:rPr>
                <w:rFonts w:ascii="Arial" w:cs="Arial" w:eastAsia="Arial" w:hAnsi="Arial"/>
                <w:sz w:val="18"/>
                <w:szCs w:val="18"/>
                <w:color w:val="auto"/>
              </w:rPr>
              <w:t>Confidentiality</w:t>
            </w:r>
          </w:p>
        </w:tc>
        <w:tc>
          <w:tcPr>
            <w:tcW w:w="36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44"/>
        </w:trPr>
        <w:tc>
          <w:tcPr>
            <w:tcW w:w="920" w:type="dxa"/>
            <w:vAlign w:val="bottom"/>
          </w:tcPr>
          <w:p>
            <w:pPr>
              <w:jc w:val="right"/>
              <w:ind w:right="431"/>
              <w:spacing w:after="0"/>
              <w:rPr>
                <w:sz w:val="20"/>
                <w:szCs w:val="20"/>
                <w:color w:val="auto"/>
              </w:rPr>
            </w:pPr>
            <w:r>
              <w:rPr>
                <w:rFonts w:ascii="Arial" w:cs="Arial" w:eastAsia="Arial" w:hAnsi="Arial"/>
                <w:sz w:val="18"/>
                <w:szCs w:val="18"/>
                <w:color w:val="auto"/>
                <w:w w:val="84"/>
              </w:rPr>
              <w:t>10.17</w:t>
            </w:r>
          </w:p>
        </w:tc>
        <w:tc>
          <w:tcPr>
            <w:tcW w:w="6480" w:type="dxa"/>
            <w:vAlign w:val="bottom"/>
          </w:tcPr>
          <w:p>
            <w:pPr>
              <w:ind w:left="520"/>
              <w:spacing w:after="0"/>
              <w:rPr>
                <w:sz w:val="20"/>
                <w:szCs w:val="20"/>
                <w:color w:val="auto"/>
              </w:rPr>
            </w:pPr>
            <w:r>
              <w:rPr>
                <w:rFonts w:ascii="Arial" w:cs="Arial" w:eastAsia="Arial" w:hAnsi="Arial"/>
                <w:sz w:val="18"/>
                <w:szCs w:val="18"/>
                <w:color w:val="auto"/>
              </w:rPr>
              <w:t>WAIVERS OF JURY TRIAL</w:t>
            </w:r>
          </w:p>
        </w:tc>
        <w:tc>
          <w:tcPr>
            <w:tcW w:w="3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44"/>
        </w:trPr>
        <w:tc>
          <w:tcPr>
            <w:tcW w:w="920" w:type="dxa"/>
            <w:vAlign w:val="bottom"/>
          </w:tcPr>
          <w:p>
            <w:pPr>
              <w:jc w:val="right"/>
              <w:ind w:right="431"/>
              <w:spacing w:after="0"/>
              <w:rPr>
                <w:sz w:val="20"/>
                <w:szCs w:val="20"/>
                <w:color w:val="auto"/>
              </w:rPr>
            </w:pPr>
            <w:r>
              <w:rPr>
                <w:rFonts w:ascii="Arial" w:cs="Arial" w:eastAsia="Arial" w:hAnsi="Arial"/>
                <w:sz w:val="18"/>
                <w:szCs w:val="18"/>
                <w:color w:val="auto"/>
                <w:w w:val="84"/>
              </w:rPr>
              <w:t>10.18</w:t>
            </w:r>
          </w:p>
        </w:tc>
        <w:tc>
          <w:tcPr>
            <w:tcW w:w="6480" w:type="dxa"/>
            <w:vAlign w:val="bottom"/>
          </w:tcPr>
          <w:p>
            <w:pPr>
              <w:ind w:left="520"/>
              <w:spacing w:after="0"/>
              <w:rPr>
                <w:sz w:val="20"/>
                <w:szCs w:val="20"/>
                <w:color w:val="auto"/>
              </w:rPr>
            </w:pPr>
            <w:r>
              <w:rPr>
                <w:rFonts w:ascii="Arial" w:cs="Arial" w:eastAsia="Arial" w:hAnsi="Arial"/>
                <w:sz w:val="18"/>
                <w:szCs w:val="18"/>
                <w:color w:val="auto"/>
              </w:rPr>
              <w:t>USA Patriot Act</w:t>
            </w:r>
          </w:p>
        </w:tc>
        <w:tc>
          <w:tcPr>
            <w:tcW w:w="3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44"/>
        </w:trPr>
        <w:tc>
          <w:tcPr>
            <w:tcW w:w="920" w:type="dxa"/>
            <w:vAlign w:val="bottom"/>
          </w:tcPr>
          <w:p>
            <w:pPr>
              <w:jc w:val="right"/>
              <w:ind w:right="431"/>
              <w:spacing w:after="0"/>
              <w:rPr>
                <w:sz w:val="20"/>
                <w:szCs w:val="20"/>
                <w:color w:val="auto"/>
              </w:rPr>
            </w:pPr>
            <w:r>
              <w:rPr>
                <w:rFonts w:ascii="Arial" w:cs="Arial" w:eastAsia="Arial" w:hAnsi="Arial"/>
                <w:sz w:val="18"/>
                <w:szCs w:val="18"/>
                <w:color w:val="auto"/>
                <w:w w:val="84"/>
              </w:rPr>
              <w:t>10.19</w:t>
            </w:r>
          </w:p>
        </w:tc>
        <w:tc>
          <w:tcPr>
            <w:tcW w:w="6480" w:type="dxa"/>
            <w:vAlign w:val="bottom"/>
          </w:tcPr>
          <w:p>
            <w:pPr>
              <w:ind w:left="520"/>
              <w:spacing w:after="0"/>
              <w:rPr>
                <w:sz w:val="20"/>
                <w:szCs w:val="20"/>
                <w:color w:val="auto"/>
              </w:rPr>
            </w:pPr>
            <w:r>
              <w:rPr>
                <w:rFonts w:ascii="Arial" w:cs="Arial" w:eastAsia="Arial" w:hAnsi="Arial"/>
                <w:sz w:val="18"/>
                <w:szCs w:val="18"/>
                <w:color w:val="auto"/>
              </w:rPr>
              <w:t>[Reserved]</w:t>
            </w:r>
          </w:p>
        </w:tc>
        <w:tc>
          <w:tcPr>
            <w:tcW w:w="3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44"/>
        </w:trPr>
        <w:tc>
          <w:tcPr>
            <w:tcW w:w="920" w:type="dxa"/>
            <w:vAlign w:val="bottom"/>
          </w:tcPr>
          <w:p>
            <w:pPr>
              <w:jc w:val="right"/>
              <w:ind w:right="431"/>
              <w:spacing w:after="0"/>
              <w:rPr>
                <w:sz w:val="20"/>
                <w:szCs w:val="20"/>
                <w:color w:val="auto"/>
              </w:rPr>
            </w:pPr>
            <w:r>
              <w:rPr>
                <w:rFonts w:ascii="Arial" w:cs="Arial" w:eastAsia="Arial" w:hAnsi="Arial"/>
                <w:sz w:val="18"/>
                <w:szCs w:val="18"/>
                <w:color w:val="auto"/>
                <w:w w:val="84"/>
              </w:rPr>
              <w:t>10.20</w:t>
            </w:r>
          </w:p>
        </w:tc>
        <w:tc>
          <w:tcPr>
            <w:tcW w:w="6480" w:type="dxa"/>
            <w:vAlign w:val="bottom"/>
          </w:tcPr>
          <w:p>
            <w:pPr>
              <w:ind w:left="520"/>
              <w:spacing w:after="0"/>
              <w:rPr>
                <w:sz w:val="20"/>
                <w:szCs w:val="20"/>
                <w:color w:val="auto"/>
              </w:rPr>
            </w:pPr>
            <w:r>
              <w:rPr>
                <w:rFonts w:ascii="Arial" w:cs="Arial" w:eastAsia="Arial" w:hAnsi="Arial"/>
                <w:sz w:val="18"/>
                <w:szCs w:val="18"/>
                <w:color w:val="auto"/>
              </w:rPr>
              <w:t>No Novation</w:t>
            </w:r>
          </w:p>
        </w:tc>
        <w:tc>
          <w:tcPr>
            <w:tcW w:w="364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340"/>
          </w:cols>
          <w:pgMar w:left="220" w:top="25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SCHEDULES:</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1.1A</w:t>
      </w:r>
      <w:r>
        <w:rPr>
          <w:sz w:val="20"/>
          <w:szCs w:val="20"/>
          <w:color w:val="auto"/>
        </w:rPr>
        <w:tab/>
      </w:r>
      <w:r>
        <w:rPr>
          <w:rFonts w:ascii="Arial" w:cs="Arial" w:eastAsia="Arial" w:hAnsi="Arial"/>
          <w:sz w:val="16"/>
          <w:szCs w:val="16"/>
          <w:color w:val="auto"/>
        </w:rPr>
        <w:t>Commitments</w:t>
      </w:r>
    </w:p>
    <w:p>
      <w:pPr>
        <w:spacing w:after="0" w:line="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1.1B</w:t>
      </w:r>
      <w:r>
        <w:rPr>
          <w:sz w:val="20"/>
          <w:szCs w:val="20"/>
          <w:color w:val="auto"/>
        </w:rPr>
        <w:tab/>
      </w:r>
      <w:r>
        <w:rPr>
          <w:rFonts w:ascii="Arial" w:cs="Arial" w:eastAsia="Arial" w:hAnsi="Arial"/>
          <w:sz w:val="16"/>
          <w:szCs w:val="16"/>
          <w:color w:val="auto"/>
        </w:rPr>
        <w:t>Initial Excluded Subsidiaries</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1.1C</w:t>
      </w:r>
      <w:r>
        <w:rPr>
          <w:sz w:val="20"/>
          <w:szCs w:val="20"/>
          <w:color w:val="auto"/>
        </w:rPr>
        <w:tab/>
      </w:r>
      <w:r>
        <w:rPr>
          <w:rFonts w:ascii="Arial" w:cs="Arial" w:eastAsia="Arial" w:hAnsi="Arial"/>
          <w:sz w:val="16"/>
          <w:szCs w:val="16"/>
          <w:color w:val="auto"/>
        </w:rPr>
        <w:t>Applicable Pricing Grid</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1.1D</w:t>
      </w:r>
      <w:r>
        <w:rPr>
          <w:sz w:val="20"/>
          <w:szCs w:val="20"/>
          <w:color w:val="auto"/>
        </w:rPr>
        <w:tab/>
      </w:r>
      <w:r>
        <w:rPr>
          <w:rFonts w:ascii="Arial" w:cs="Arial" w:eastAsia="Arial" w:hAnsi="Arial"/>
          <w:sz w:val="16"/>
          <w:szCs w:val="16"/>
          <w:color w:val="auto"/>
        </w:rPr>
        <w:t>Existing Liens</w:t>
      </w:r>
    </w:p>
    <w:p>
      <w:pPr>
        <w:spacing w:after="0" w:line="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Litigation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1" w:lineRule="exact"/>
        <w:rPr>
          <w:sz w:val="20"/>
          <w:szCs w:val="20"/>
          <w:color w:val="auto"/>
        </w:rPr>
      </w:pPr>
    </w:p>
    <w:p>
      <w:pPr>
        <w:ind w:right="8599" w:firstLine="9"/>
        <w:spacing w:after="0" w:line="290" w:lineRule="auto"/>
        <w:tabs>
          <w:tab w:leader="none" w:pos="275"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Form of Guarantee B [Reserved]</w:t>
      </w:r>
    </w:p>
    <w:p>
      <w:pPr>
        <w:ind w:right="7559"/>
        <w:spacing w:after="0" w:line="271" w:lineRule="auto"/>
        <w:rPr>
          <w:rFonts w:ascii="Arial" w:cs="Arial" w:eastAsia="Arial" w:hAnsi="Arial"/>
          <w:sz w:val="16"/>
          <w:szCs w:val="16"/>
          <w:color w:val="auto"/>
        </w:rPr>
      </w:pPr>
      <w:r>
        <w:rPr>
          <w:rFonts w:ascii="Arial" w:cs="Arial" w:eastAsia="Arial" w:hAnsi="Arial"/>
          <w:sz w:val="17"/>
          <w:szCs w:val="17"/>
          <w:color w:val="auto"/>
        </w:rPr>
        <w:t>C Form of Competitive Bid Request D Form of Competitive Bid</w:t>
      </w:r>
    </w:p>
    <w:p>
      <w:pPr>
        <w:spacing w:after="0" w:line="1" w:lineRule="exact"/>
        <w:rPr>
          <w:rFonts w:ascii="Arial" w:cs="Arial" w:eastAsia="Arial" w:hAnsi="Arial"/>
          <w:sz w:val="16"/>
          <w:szCs w:val="16"/>
          <w:color w:val="auto"/>
        </w:rPr>
      </w:pPr>
    </w:p>
    <w:p>
      <w:pPr>
        <w:ind w:right="6659"/>
        <w:spacing w:after="0" w:line="256" w:lineRule="auto"/>
        <w:rPr>
          <w:rFonts w:ascii="Arial" w:cs="Arial" w:eastAsia="Arial" w:hAnsi="Arial"/>
          <w:sz w:val="16"/>
          <w:szCs w:val="16"/>
          <w:color w:val="auto"/>
        </w:rPr>
      </w:pPr>
      <w:r>
        <w:rPr>
          <w:rFonts w:ascii="Arial" w:cs="Arial" w:eastAsia="Arial" w:hAnsi="Arial"/>
          <w:sz w:val="18"/>
          <w:szCs w:val="18"/>
          <w:color w:val="auto"/>
        </w:rPr>
        <w:t>E Form of Competitive Bid Accept/Reject Letter F [Reserved]</w:t>
      </w:r>
    </w:p>
    <w:p>
      <w:pPr>
        <w:spacing w:after="0" w:line="1" w:lineRule="exact"/>
        <w:rPr>
          <w:rFonts w:ascii="Arial" w:cs="Arial" w:eastAsia="Arial" w:hAnsi="Arial"/>
          <w:sz w:val="16"/>
          <w:szCs w:val="16"/>
          <w:color w:val="auto"/>
        </w:rPr>
      </w:pPr>
    </w:p>
    <w:p>
      <w:pPr>
        <w:ind w:right="6779"/>
        <w:spacing w:after="0" w:line="256" w:lineRule="auto"/>
        <w:rPr>
          <w:rFonts w:ascii="Arial" w:cs="Arial" w:eastAsia="Arial" w:hAnsi="Arial"/>
          <w:sz w:val="16"/>
          <w:szCs w:val="16"/>
          <w:color w:val="auto"/>
        </w:rPr>
      </w:pPr>
      <w:r>
        <w:rPr>
          <w:rFonts w:ascii="Arial" w:cs="Arial" w:eastAsia="Arial" w:hAnsi="Arial"/>
          <w:sz w:val="18"/>
          <w:szCs w:val="18"/>
          <w:color w:val="auto"/>
        </w:rPr>
        <w:t>G Form of Incremental Loan Activation Notice H Form of Closing Certificate</w:t>
      </w:r>
    </w:p>
    <w:p>
      <w:pPr>
        <w:spacing w:after="0" w:line="1" w:lineRule="exact"/>
        <w:rPr>
          <w:rFonts w:ascii="Arial" w:cs="Arial" w:eastAsia="Arial" w:hAnsi="Arial"/>
          <w:sz w:val="16"/>
          <w:szCs w:val="16"/>
          <w:color w:val="auto"/>
        </w:rPr>
      </w:pPr>
    </w:p>
    <w:p>
      <w:pPr>
        <w:jc w:val="both"/>
        <w:ind w:right="7319"/>
        <w:spacing w:after="0" w:line="288" w:lineRule="auto"/>
        <w:rPr>
          <w:rFonts w:ascii="Arial" w:cs="Arial" w:eastAsia="Arial" w:hAnsi="Arial"/>
          <w:sz w:val="16"/>
          <w:szCs w:val="16"/>
          <w:color w:val="auto"/>
        </w:rPr>
      </w:pPr>
      <w:r>
        <w:rPr>
          <w:rFonts w:ascii="Arial" w:cs="Arial" w:eastAsia="Arial" w:hAnsi="Arial"/>
          <w:sz w:val="16"/>
          <w:szCs w:val="16"/>
          <w:color w:val="auto"/>
        </w:rPr>
        <w:t>I Form of Assignment and Assumption J Form of Borrower Joinder Agreement</w:t>
      </w:r>
    </w:p>
    <w:p>
      <w:pPr>
        <w:spacing w:after="0" w:line="1" w:lineRule="exact"/>
        <w:rPr>
          <w:rFonts w:ascii="Arial" w:cs="Arial" w:eastAsia="Arial" w:hAnsi="Arial"/>
          <w:sz w:val="16"/>
          <w:szCs w:val="16"/>
          <w:color w:val="auto"/>
        </w:rPr>
      </w:pPr>
    </w:p>
    <w:p>
      <w:pPr>
        <w:ind w:right="4819"/>
        <w:spacing w:after="0" w:line="288" w:lineRule="auto"/>
        <w:rPr>
          <w:rFonts w:ascii="Arial" w:cs="Arial" w:eastAsia="Arial" w:hAnsi="Arial"/>
          <w:sz w:val="16"/>
          <w:szCs w:val="16"/>
          <w:color w:val="auto"/>
        </w:rPr>
      </w:pPr>
      <w:r>
        <w:rPr>
          <w:rFonts w:ascii="Arial" w:cs="Arial" w:eastAsia="Arial" w:hAnsi="Arial"/>
          <w:sz w:val="16"/>
          <w:szCs w:val="16"/>
          <w:color w:val="auto"/>
        </w:rPr>
        <w:t>K-1 Form of Exemption Certificate for Non-Partnership Non-U.S. Lenders K-2 Form of Exemption Certificate for Partnership Non-U.S. Lenders</w:t>
      </w:r>
    </w:p>
    <w:p>
      <w:pPr>
        <w:spacing w:after="0" w:line="1" w:lineRule="exact"/>
        <w:rPr>
          <w:rFonts w:ascii="Arial" w:cs="Arial" w:eastAsia="Arial" w:hAnsi="Arial"/>
          <w:sz w:val="16"/>
          <w:szCs w:val="16"/>
          <w:color w:val="auto"/>
        </w:rPr>
      </w:pPr>
    </w:p>
    <w:p>
      <w:pPr>
        <w:ind w:right="4539"/>
        <w:spacing w:after="0" w:line="288" w:lineRule="auto"/>
        <w:rPr>
          <w:rFonts w:ascii="Arial" w:cs="Arial" w:eastAsia="Arial" w:hAnsi="Arial"/>
          <w:sz w:val="16"/>
          <w:szCs w:val="16"/>
          <w:color w:val="auto"/>
        </w:rPr>
      </w:pPr>
      <w:r>
        <w:rPr>
          <w:rFonts w:ascii="Arial" w:cs="Arial" w:eastAsia="Arial" w:hAnsi="Arial"/>
          <w:sz w:val="16"/>
          <w:szCs w:val="16"/>
          <w:color w:val="auto"/>
        </w:rPr>
        <w:t>K-3 Form of Exemption Certificate for Non-Partnership Non-U.S. Participants K-4 Form of Exemption Certificate for Partnership Non-U.S. Participants</w:t>
      </w:r>
    </w:p>
    <w:p>
      <w:pPr>
        <w:spacing w:after="0" w:line="1" w:lineRule="exact"/>
        <w:rPr>
          <w:rFonts w:ascii="Arial" w:cs="Arial" w:eastAsia="Arial" w:hAnsi="Arial"/>
          <w:sz w:val="16"/>
          <w:szCs w:val="16"/>
          <w:color w:val="auto"/>
        </w:rPr>
      </w:pPr>
    </w:p>
    <w:p>
      <w:pPr>
        <w:ind w:right="7699"/>
        <w:spacing w:after="0" w:line="256" w:lineRule="auto"/>
        <w:rPr>
          <w:rFonts w:ascii="Arial" w:cs="Arial" w:eastAsia="Arial" w:hAnsi="Arial"/>
          <w:sz w:val="16"/>
          <w:szCs w:val="16"/>
          <w:color w:val="auto"/>
        </w:rPr>
      </w:pPr>
      <w:r>
        <w:rPr>
          <w:rFonts w:ascii="Arial" w:cs="Arial" w:eastAsia="Arial" w:hAnsi="Arial"/>
          <w:sz w:val="18"/>
          <w:szCs w:val="18"/>
          <w:color w:val="auto"/>
        </w:rPr>
        <w:t>L Form of Compliance Certificate M Form of Note</w:t>
      </w:r>
    </w:p>
    <w:p>
      <w:pPr>
        <w:spacing w:after="0" w:line="1" w:lineRule="exact"/>
        <w:rPr>
          <w:rFonts w:ascii="Arial" w:cs="Arial" w:eastAsia="Arial" w:hAnsi="Arial"/>
          <w:sz w:val="16"/>
          <w:szCs w:val="16"/>
          <w:color w:val="auto"/>
        </w:rPr>
      </w:pPr>
    </w:p>
    <w:p>
      <w:pPr>
        <w:ind w:right="7899"/>
        <w:spacing w:after="0" w:line="271" w:lineRule="auto"/>
        <w:rPr>
          <w:rFonts w:ascii="Arial" w:cs="Arial" w:eastAsia="Arial" w:hAnsi="Arial"/>
          <w:sz w:val="16"/>
          <w:szCs w:val="16"/>
          <w:color w:val="auto"/>
        </w:rPr>
      </w:pPr>
      <w:r>
        <w:rPr>
          <w:rFonts w:ascii="Arial" w:cs="Arial" w:eastAsia="Arial" w:hAnsi="Arial"/>
          <w:sz w:val="17"/>
          <w:szCs w:val="17"/>
          <w:color w:val="auto"/>
        </w:rPr>
        <w:t>N Form of Borrowing Request O Form of Company Consent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  Form of Letter of Credit Acknowledgment</w:t>
      </w:r>
    </w:p>
    <w:p>
      <w:pPr>
        <w:spacing w:after="0" w:line="200" w:lineRule="exact"/>
        <w:rPr>
          <w:sz w:val="20"/>
          <w:szCs w:val="20"/>
          <w:color w:val="auto"/>
        </w:rPr>
      </w:pPr>
    </w:p>
    <w:p>
      <w:pPr>
        <w:spacing w:after="0" w:line="36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0239"/>
          </w:cols>
          <w:pgMar w:left="220" w:top="134" w:right="1440" w:bottom="1440" w:gutter="0" w:footer="0" w:header="0"/>
        </w:sectPr>
      </w:pPr>
    </w:p>
    <w:bookmarkStart w:id="10" w:name="page11"/>
    <w:bookmarkEnd w:id="10"/>
    <w:p>
      <w:pPr>
        <w:ind w:right="20" w:firstLine="1063"/>
        <w:spacing w:after="0" w:line="246" w:lineRule="auto"/>
        <w:rPr>
          <w:sz w:val="20"/>
          <w:szCs w:val="20"/>
          <w:color w:val="auto"/>
        </w:rPr>
      </w:pPr>
      <w:r>
        <w:rPr>
          <w:rFonts w:ascii="Arial" w:cs="Arial" w:eastAsia="Arial" w:hAnsi="Arial"/>
          <w:sz w:val="18"/>
          <w:szCs w:val="18"/>
          <w:color w:val="auto"/>
        </w:rPr>
        <w:t>AMENDED AND RESTATED THREE YEAR REVOLVING CREDIT AGREEMENT, dated as of October 17, 2014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w:t>
      </w:r>
      <w:r>
        <w:rPr>
          <w:rFonts w:ascii="Arial" w:cs="Arial" w:eastAsia="Arial" w:hAnsi="Arial"/>
          <w:sz w:val="18"/>
          <w:szCs w:val="18"/>
          <w:u w:val="single" w:color="auto"/>
          <w:color w:val="auto"/>
        </w:rPr>
        <w:t>GMF</w:t>
      </w:r>
      <w:r>
        <w:rPr>
          <w:rFonts w:ascii="Arial" w:cs="Arial" w:eastAsia="Arial" w:hAnsi="Arial"/>
          <w:sz w:val="18"/>
          <w:szCs w:val="18"/>
          <w:color w:val="auto"/>
        </w:rPr>
        <w:t>”), GM Europe Treasury Company AB, a Swedish corporation (“</w:t>
      </w:r>
      <w:r>
        <w:rPr>
          <w:rFonts w:ascii="Arial" w:cs="Arial" w:eastAsia="Arial" w:hAnsi="Arial"/>
          <w:sz w:val="18"/>
          <w:szCs w:val="18"/>
          <w:u w:val="single" w:color="auto"/>
          <w:color w:val="auto"/>
        </w:rPr>
        <w:t>GMETC</w:t>
      </w:r>
      <w:r>
        <w:rPr>
          <w:rFonts w:ascii="Arial" w:cs="Arial" w:eastAsia="Arial" w:hAnsi="Arial"/>
          <w:sz w:val="18"/>
          <w:szCs w:val="18"/>
          <w:color w:val="auto"/>
        </w:rPr>
        <w:t>”), General Motors do Brasil Ltda., a Brazilian limited liability company (“</w:t>
      </w:r>
      <w:r>
        <w:rPr>
          <w:rFonts w:ascii="Arial" w:cs="Arial" w:eastAsia="Arial" w:hAnsi="Arial"/>
          <w:sz w:val="18"/>
          <w:szCs w:val="18"/>
          <w:u w:val="single" w:color="auto"/>
          <w:color w:val="auto"/>
        </w:rPr>
        <w:t>GMB</w:t>
      </w:r>
      <w:r>
        <w:rPr>
          <w:rFonts w:ascii="Arial" w:cs="Arial" w:eastAsia="Arial" w:hAnsi="Arial"/>
          <w:sz w:val="18"/>
          <w:szCs w:val="18"/>
          <w:color w:val="auto"/>
        </w:rPr>
        <w:t>”), the other Subsidiary Borrowers (as defined herein) from time to time parties hereto, the several banks and other financial institutions or entities from time to time parties hereto, as lenders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(and any of its branches and affiliates acting on its behalf in such capacity),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S.A. (and any of its branches and affiliates acting on its behalf in such capacity), as administrative agent for the Brazilian Lenders (in such capacity, the “</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CITIBANK, N.A., as syndication agent (in such capacity, the “</w:t>
      </w:r>
      <w:r>
        <w:rPr>
          <w:rFonts w:ascii="Arial" w:cs="Arial" w:eastAsia="Arial" w:hAnsi="Arial"/>
          <w:sz w:val="18"/>
          <w:szCs w:val="18"/>
          <w:u w:val="single" w:color="auto"/>
          <w:color w:val="auto"/>
        </w:rPr>
        <w:t>Syndication Agent</w:t>
      </w:r>
      <w:r>
        <w:rPr>
          <w:rFonts w:ascii="Arial" w:cs="Arial" w:eastAsia="Arial" w:hAnsi="Arial"/>
          <w:sz w:val="18"/>
          <w:szCs w:val="18"/>
          <w:color w:val="auto"/>
        </w:rPr>
        <w:t>”) and BANK OF AMERICA, N.A., as co-syndication agent (in such capacity, the “</w:t>
      </w:r>
      <w:r>
        <w:rPr>
          <w:rFonts w:ascii="Arial" w:cs="Arial" w:eastAsia="Arial" w:hAnsi="Arial"/>
          <w:sz w:val="18"/>
          <w:szCs w:val="18"/>
          <w:u w:val="single" w:color="auto"/>
          <w:color w:val="auto"/>
        </w:rPr>
        <w:t>Co-Syndication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61" w:lineRule="exact"/>
        <w:rPr>
          <w:sz w:val="20"/>
          <w:szCs w:val="20"/>
          <w:color w:val="auto"/>
        </w:rPr>
      </w:pPr>
    </w:p>
    <w:p>
      <w:pPr>
        <w:ind w:right="220" w:firstLine="1118"/>
        <w:spacing w:after="0" w:line="250" w:lineRule="auto"/>
        <w:rPr>
          <w:sz w:val="20"/>
          <w:szCs w:val="20"/>
          <w:color w:val="auto"/>
        </w:rPr>
      </w:pPr>
      <w:r>
        <w:rPr>
          <w:rFonts w:ascii="Arial" w:cs="Arial" w:eastAsia="Arial" w:hAnsi="Arial"/>
          <w:sz w:val="18"/>
          <w:szCs w:val="18"/>
          <w:color w:val="auto"/>
        </w:rPr>
        <w:t>WHEREAS, General Motors Holdings LLC, a Delaware limited liability company (“</w:t>
      </w:r>
      <w:r>
        <w:rPr>
          <w:rFonts w:ascii="Arial" w:cs="Arial" w:eastAsia="Arial" w:hAnsi="Arial"/>
          <w:sz w:val="18"/>
          <w:szCs w:val="18"/>
          <w:u w:val="single" w:color="auto"/>
          <w:color w:val="auto"/>
        </w:rPr>
        <w:t>GM Holdings</w:t>
      </w:r>
      <w:r>
        <w:rPr>
          <w:rFonts w:ascii="Arial" w:cs="Arial" w:eastAsia="Arial" w:hAnsi="Arial"/>
          <w:sz w:val="18"/>
          <w:szCs w:val="18"/>
          <w:color w:val="auto"/>
        </w:rPr>
        <w:t>”) entered into that certain Three Year Revolving Credit Agreement, dated as of November 5, 2012 (the “</w:t>
      </w:r>
      <w:r>
        <w:rPr>
          <w:rFonts w:ascii="Arial" w:cs="Arial" w:eastAsia="Arial" w:hAnsi="Arial"/>
          <w:sz w:val="18"/>
          <w:szCs w:val="18"/>
          <w:u w:val="single" w:color="auto"/>
          <w:color w:val="auto"/>
        </w:rPr>
        <w:t>Existing Three Year Credit Agreement</w:t>
      </w:r>
      <w:r>
        <w:rPr>
          <w:rFonts w:ascii="Arial" w:cs="Arial" w:eastAsia="Arial" w:hAnsi="Arial"/>
          <w:sz w:val="18"/>
          <w:szCs w:val="18"/>
          <w:color w:val="auto"/>
        </w:rPr>
        <w:t>”), with GMF, GMETC, GMB, the other subsidiary borrowers from time to time party thereto, the several lenders from time to time party thereto, JPMorgan Chase Bank, N.A., as administrative agent, Banco do Brasil, as the Brazilian administrative agent, and the other agents party thereto;</w:t>
      </w:r>
    </w:p>
    <w:p>
      <w:pPr>
        <w:spacing w:after="0" w:line="156" w:lineRule="exact"/>
        <w:rPr>
          <w:sz w:val="20"/>
          <w:szCs w:val="20"/>
          <w:color w:val="auto"/>
        </w:rPr>
      </w:pPr>
    </w:p>
    <w:p>
      <w:pPr>
        <w:ind w:right="240" w:firstLine="532"/>
        <w:spacing w:after="0" w:line="263" w:lineRule="auto"/>
        <w:rPr>
          <w:sz w:val="20"/>
          <w:szCs w:val="20"/>
          <w:color w:val="auto"/>
        </w:rPr>
      </w:pPr>
      <w:r>
        <w:rPr>
          <w:rFonts w:ascii="Arial" w:cs="Arial" w:eastAsia="Arial" w:hAnsi="Arial"/>
          <w:sz w:val="18"/>
          <w:szCs w:val="18"/>
          <w:color w:val="auto"/>
        </w:rPr>
        <w:t>WHEREAS, the parties have agreed to amend and restate the Existing Three Year Credit Agreement as provided in this Agreement, which Agreement shall become effective upon the satisfaction (or waiver pursuant to Section 10.1) of the conditions set forth in Section 5.1;</w:t>
      </w:r>
    </w:p>
    <w:p>
      <w:pPr>
        <w:spacing w:after="0" w:line="144" w:lineRule="exact"/>
        <w:rPr>
          <w:sz w:val="20"/>
          <w:szCs w:val="20"/>
          <w:color w:val="auto"/>
        </w:rPr>
      </w:pPr>
    </w:p>
    <w:p>
      <w:pPr>
        <w:ind w:right="140" w:firstLine="1063"/>
        <w:spacing w:after="0" w:line="326" w:lineRule="auto"/>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hereby agree that on the Closing Date (as defined below), the Existing Three Year Credit Agreement shall be amended and restated in its entirety as follows: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DEFINITIONS</w:t>
      </w:r>
    </w:p>
    <w:p>
      <w:pPr>
        <w:spacing w:after="0" w:line="214" w:lineRule="exact"/>
        <w:rPr>
          <w:sz w:val="20"/>
          <w:szCs w:val="20"/>
          <w:color w:val="auto"/>
        </w:rPr>
      </w:pPr>
    </w:p>
    <w:p>
      <w:pPr>
        <w:ind w:left="1700" w:hanging="628"/>
        <w:spacing w:after="0"/>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As used in this Agreement, the terms listed in this Section 1.1 shall have the respective meanings set forth in this Section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2013 10-K</w:t>
      </w:r>
      <w:r>
        <w:rPr>
          <w:rFonts w:ascii="Arial" w:cs="Arial" w:eastAsia="Arial" w:hAnsi="Arial"/>
          <w:sz w:val="18"/>
          <w:szCs w:val="18"/>
          <w:color w:val="auto"/>
        </w:rPr>
        <w:t>” has the meaning assigned to such term in Section 4.1.</w:t>
      </w:r>
    </w:p>
    <w:p>
      <w:pPr>
        <w:spacing w:after="0" w:line="181" w:lineRule="exact"/>
        <w:rPr>
          <w:sz w:val="20"/>
          <w:szCs w:val="20"/>
          <w:color w:val="auto"/>
        </w:rPr>
      </w:pPr>
    </w:p>
    <w:p>
      <w:pPr>
        <w:ind w:firstLine="10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Revolving Credit Agreement</w:t>
      </w:r>
      <w:r>
        <w:rPr>
          <w:rFonts w:ascii="Arial" w:cs="Arial" w:eastAsia="Arial" w:hAnsi="Arial"/>
          <w:sz w:val="17"/>
          <w:szCs w:val="17"/>
          <w:color w:val="auto"/>
        </w:rPr>
        <w:t>” means (i) that certain Amended and Restated Five Year Revolving Credit Agreement, dated as of the date hereof, among the Company, GMF, GMB,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ectPr>
          <w:pgSz w:w="11900" w:h="16838" w:orient="portrait"/>
          <w:cols w:equalWidth="0" w:num="1">
            <w:col w:w="11440"/>
          </w:cols>
          <w:pgMar w:left="220" w:top="510" w:right="239" w:bottom="1440" w:gutter="0" w:footer="0" w:header="0"/>
        </w:sectPr>
      </w:pPr>
    </w:p>
    <w:bookmarkStart w:id="11" w:name="page12"/>
    <w:bookmarkEnd w:id="11"/>
    <w:p>
      <w:pPr>
        <w:ind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Available Commitments</w:t>
      </w:r>
      <w:r>
        <w:rPr>
          <w:rFonts w:ascii="Arial" w:cs="Arial" w:eastAsia="Arial" w:hAnsi="Arial"/>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56" w:lineRule="exact"/>
        <w:rPr>
          <w:sz w:val="20"/>
          <w:szCs w:val="20"/>
          <w:color w:val="auto"/>
        </w:rPr>
      </w:pPr>
    </w:p>
    <w:p>
      <w:pPr>
        <w:ind w:right="260"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Total Commitments</w:t>
      </w:r>
      <w:r>
        <w:rPr>
          <w:rFonts w:ascii="Arial" w:cs="Arial" w:eastAsia="Arial" w:hAnsi="Arial"/>
          <w:sz w:val="16"/>
          <w:szCs w:val="16"/>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18" w:lineRule="exact"/>
        <w:rPr>
          <w:sz w:val="20"/>
          <w:szCs w:val="20"/>
          <w:color w:val="auto"/>
        </w:rPr>
      </w:pPr>
    </w:p>
    <w:p>
      <w:pPr>
        <w:jc w:val="both"/>
        <w:ind w:right="180"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Total Extensions of Credit</w:t>
      </w:r>
      <w:r>
        <w:rPr>
          <w:rFonts w:ascii="Arial" w:cs="Arial" w:eastAsia="Arial" w:hAnsi="Arial"/>
          <w:sz w:val="16"/>
          <w:szCs w:val="16"/>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18" w:lineRule="exact"/>
        <w:rPr>
          <w:sz w:val="20"/>
          <w:szCs w:val="20"/>
          <w:color w:val="auto"/>
        </w:rPr>
      </w:pPr>
    </w:p>
    <w:p>
      <w:pPr>
        <w:ind w:right="40" w:firstLine="1063"/>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means for any day, a rate per annum (rounded upwards, if necessary, to the next 1/16 of 1.00%) equal to the greatest of (a) the Prime Rate in effect on such day, (b) the Federal Funds Effective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½ of 1.00% and (c) the Eurocurrency Rate, calculated as of such date in respect of a proposed Eurocurrency Loan denominated in Dollars with a one-month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Any change in the ABR due to a change in the Prime Rate, the Federal Funds Effective Rate or the Eurocurrency Rate shall be effective as of the opening of business on the effective day of such change in the Prime Rate, the Federal Funds Effective Rate or the Eurocurrency Rate, respectively.</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 has the meaning assigned to such term in Section 2.21(a)(iii).</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and the Brazilian Administrative Agent, collectively.</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right="16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Rate</w:t>
      </w:r>
      <w:r>
        <w:rPr>
          <w:rFonts w:ascii="Arial" w:cs="Arial" w:eastAsia="Arial" w:hAnsi="Arial"/>
          <w:sz w:val="18"/>
          <w:szCs w:val="18"/>
          <w:color w:val="auto"/>
        </w:rPr>
        <w:t>” means, for any day, the sum of (a) a rate per annum selected by the Administrative Agent, in its reasonable discretion based on market conditions in consultation with the Company (and any applicable Subsidiary Borrower) and the relevant Lenders, plus (b) the Applicable Margin for Eurocurrency Loans. When used in reference to any Loan, “Alternate Rate” refers to whether such Loan is bearing interest at a rate determined by reference to the Alternate Rate.</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Borrower</w:t>
      </w:r>
      <w:r>
        <w:rPr>
          <w:rFonts w:ascii="Arial" w:cs="Arial" w:eastAsia="Arial" w:hAnsi="Arial"/>
          <w:sz w:val="18"/>
          <w:szCs w:val="18"/>
          <w:color w:val="auto"/>
        </w:rPr>
        <w:t>” has the meaning assigned to such term in Section 2.33(a).</w:t>
      </w:r>
    </w:p>
    <w:p>
      <w:pPr>
        <w:spacing w:after="0" w:line="181" w:lineRule="exact"/>
        <w:rPr>
          <w:sz w:val="20"/>
          <w:szCs w:val="20"/>
          <w:color w:val="auto"/>
        </w:rPr>
      </w:pPr>
    </w:p>
    <w:p>
      <w:pPr>
        <w:ind w:right="30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Commencement Date</w:t>
      </w:r>
      <w:r>
        <w:rPr>
          <w:rFonts w:ascii="Arial" w:cs="Arial" w:eastAsia="Arial" w:hAnsi="Arial"/>
          <w:sz w:val="16"/>
          <w:szCs w:val="16"/>
          <w:color w:val="auto"/>
        </w:rPr>
        <w:t>” means, in relation to an Ancillary Facility, the date on which such Ancillary Facility is first made available, which date shall be a Business Day within the Commitment Period for the applicable Ancillary Lender in respect of the Multicurrency Facility.</w:t>
      </w:r>
    </w:p>
    <w:p>
      <w:pPr>
        <w:spacing w:after="0" w:line="98" w:lineRule="exact"/>
        <w:rPr>
          <w:sz w:val="20"/>
          <w:szCs w:val="20"/>
          <w:color w:val="auto"/>
        </w:rPr>
      </w:pPr>
    </w:p>
    <w:p>
      <w:pPr>
        <w:ind w:right="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Commitment</w:t>
      </w:r>
      <w:r>
        <w:rPr>
          <w:rFonts w:ascii="Arial" w:cs="Arial" w:eastAsia="Arial" w:hAnsi="Arial"/>
          <w:sz w:val="18"/>
          <w:szCs w:val="18"/>
          <w:color w:val="auto"/>
        </w:rPr>
        <w:t>” means, with respect to any Ancillary Lender and Ancillary Facility, the maximum Dollar Equivalent of the amount that such Ancillary Lender has agreed to make</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20" w:top="510" w:right="239" w:bottom="1440" w:gutter="0" w:footer="0" w:header="0"/>
        </w:sectPr>
      </w:pPr>
    </w:p>
    <w:bookmarkStart w:id="12" w:name="page13"/>
    <w:bookmarkEnd w:id="12"/>
    <w:p>
      <w:pPr>
        <w:ind w:right="260"/>
        <w:spacing w:after="0" w:line="287" w:lineRule="auto"/>
        <w:rPr>
          <w:sz w:val="20"/>
          <w:szCs w:val="20"/>
          <w:color w:val="auto"/>
        </w:rPr>
      </w:pPr>
      <w:r>
        <w:rPr>
          <w:rFonts w:ascii="Arial" w:cs="Arial" w:eastAsia="Arial" w:hAnsi="Arial"/>
          <w:sz w:val="16"/>
          <w:szCs w:val="16"/>
          <w:color w:val="auto"/>
        </w:rPr>
        <w:t xml:space="preserve">available from time to time prior to the Termination Date under such Ancillary Facility pursuant to Section 2.33 (to the extent such amount is not cancelled or reduced under this Agreement or the Ancillary Facility Documents relating to that Ancillary Facility and, in each case, such Dollar Equivalent amount to be determined as of the applicable Ancillary Commencement Date, without giving effect to any currency fluctuations after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(a) the aggregate Ancillary Commitments of such Ancillary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Multicurrency Extensions of Credit of such Ancillary Lender exceed (b) the Multicurrency Commitment of such Ancillary Lender (determined without giving effect to any reduction of such Commitment pursuant to Section 2.33).</w:t>
      </w:r>
    </w:p>
    <w:p>
      <w:pPr>
        <w:spacing w:after="0" w:line="129" w:lineRule="exact"/>
        <w:rPr>
          <w:sz w:val="20"/>
          <w:szCs w:val="20"/>
          <w:color w:val="auto"/>
        </w:rPr>
      </w:pPr>
    </w:p>
    <w:p>
      <w:pPr>
        <w:ind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Facility</w:t>
      </w:r>
      <w:r>
        <w:rPr>
          <w:rFonts w:ascii="Arial" w:cs="Arial" w:eastAsia="Arial" w:hAnsi="Arial"/>
          <w:sz w:val="18"/>
          <w:szCs w:val="18"/>
          <w:color w:val="auto"/>
        </w:rPr>
        <w:t>” means (a) any overdraft, automated payment, check drawing and/or other current account facility, (b) any credit order or short term loan facility, (c) any foreign exchange or foreign currency facility, (d) any documentary or stand-by letter of credit facility, suretyship, guarantee and/or bonding facility or any other instrument to provide a contingent liability, (e) any derivatives or hedging facility and/or (f) any other facility or financial accommodation that may be entered into by any Ancillary Borrower in connection with the business of the Company and/or any of its Subsidiaries, in each case made available by an Ancillary Lender in accordance with Section 2.33.</w:t>
      </w:r>
    </w:p>
    <w:p>
      <w:pPr>
        <w:spacing w:after="0" w:line="160" w:lineRule="exact"/>
        <w:rPr>
          <w:sz w:val="20"/>
          <w:szCs w:val="20"/>
          <w:color w:val="auto"/>
        </w:rPr>
      </w:pPr>
    </w:p>
    <w:p>
      <w:pPr>
        <w:ind w:right="1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Facility Document</w:t>
      </w:r>
      <w:r>
        <w:rPr>
          <w:rFonts w:ascii="Arial" w:cs="Arial" w:eastAsia="Arial" w:hAnsi="Arial"/>
          <w:sz w:val="18"/>
          <w:szCs w:val="18"/>
          <w:color w:val="auto"/>
        </w:rPr>
        <w:t>” means, with respect to any Ancillary Facility, each document or instrument between any Ancillary Borrower and the applicable Ancillary Lender thereunder governing such Ancillary Facility.</w:t>
      </w:r>
    </w:p>
    <w:p>
      <w:pPr>
        <w:spacing w:after="0" w:line="144" w:lineRule="exact"/>
        <w:rPr>
          <w:sz w:val="20"/>
          <w:szCs w:val="20"/>
          <w:color w:val="auto"/>
        </w:rPr>
      </w:pPr>
    </w:p>
    <w:p>
      <w:pPr>
        <w:ind w:firstLine="10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Facility Outstandings</w:t>
      </w:r>
      <w:r>
        <w:rPr>
          <w:rFonts w:ascii="Arial" w:cs="Arial" w:eastAsia="Arial" w:hAnsi="Arial"/>
          <w:sz w:val="16"/>
          <w:szCs w:val="16"/>
          <w:color w:val="auto"/>
        </w:rPr>
        <w:t>” means, at any time, with respect to any Ancillary Lender and any Ancillary Facility then in effect, the Dollar Equivalent of the sum of the following amounts outstanding under such Ancillary Facility: (a) the principal amount under each overdraft facility and on-demand short term loan facility (net of any credit balance on any account of any Ancillary Borrower under any Ancillary Facility with the relevant Ancillary Lender to the extent that such credit balance is freely available to be set-off by such Ancillary Lender against liabilities owing by such Ancillary Borrower under such Ancillary Facility); (b) the face amount of each guarantee, bond and letter of credit under such Ancillary Facility (net of any cash collateral and otherwise as the maximum liability thereunder is reduced in accordance with its terms and by calls thereon which have been satisfied, and excluding any liability in respect of amounts of interest, fees and similar charges); and (c) the amount fairly representing the aggregate exposure (excluding interest, fees and similar charges) of such Ancillary Lender under each other type of accommodation provided under such Ancillary Facility, in each case as determined by such Ancillary Lender, acting reasonably in accordance with its normal banking practice and in accordance with the relevant Ancillary Facility Document.</w:t>
      </w:r>
    </w:p>
    <w:p>
      <w:pPr>
        <w:spacing w:after="0" w:line="139"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Lender</w:t>
      </w:r>
      <w:r>
        <w:rPr>
          <w:rFonts w:ascii="Arial" w:cs="Arial" w:eastAsia="Arial" w:hAnsi="Arial"/>
          <w:sz w:val="18"/>
          <w:szCs w:val="18"/>
          <w:color w:val="auto"/>
        </w:rPr>
        <w:t>” means, with respect to any Ancillary Facility, the Lender (or an affiliate of such Lender) that has made (in its sole discretion) such Ancillary Facility available under Section 2.33.</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has the meaning assigned to such term in Section 3.1(a).</w:t>
      </w:r>
    </w:p>
    <w:p>
      <w:pPr>
        <w:spacing w:after="0" w:line="181" w:lineRule="exact"/>
        <w:rPr>
          <w:sz w:val="20"/>
          <w:szCs w:val="20"/>
          <w:color w:val="auto"/>
        </w:rPr>
      </w:pPr>
    </w:p>
    <w:p>
      <w:pPr>
        <w:jc w:val="both"/>
        <w:ind w:right="10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denominated in the applicable Currency, ABR Loans, CDI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w:t>
      </w:r>
    </w:p>
    <w:p>
      <w:pPr>
        <w:spacing w:after="0" w:line="35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510"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Section 2.26, be changed by such Lender upon 10 days’ prior written notice to the Administrative Agent and the Company.</w:t>
      </w:r>
    </w:p>
    <w:p>
      <w:pPr>
        <w:spacing w:after="0" w:line="181" w:lineRule="exact"/>
        <w:rPr>
          <w:sz w:val="20"/>
          <w:szCs w:val="20"/>
          <w:color w:val="auto"/>
        </w:rPr>
      </w:pPr>
    </w:p>
    <w:p>
      <w:pPr>
        <w:jc w:val="both"/>
        <w:ind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for any day, with respect to any ABR Loan, CDI Loan or Eurocurrency Loan, as the case may be, the applicable rate per annum set forth under the relevant column heading in the Applicable Pricing Grid, based upon the Facility Rating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the time that the Company has delivered Facility Ratings pursuant to Section 6.10, the Applicable Margin shall be (i) [***] per annum in the case of ABR Loans and (ii) [***] per annum in the case of Eurocurrency Loans.</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the table set forth on Schedule 1.1C.</w:t>
      </w:r>
    </w:p>
    <w:p>
      <w:pPr>
        <w:spacing w:after="0" w:line="181" w:lineRule="exact"/>
        <w:rPr>
          <w:sz w:val="20"/>
          <w:szCs w:val="20"/>
          <w:color w:val="auto"/>
        </w:rPr>
      </w:pPr>
    </w:p>
    <w:p>
      <w:pPr>
        <w:ind w:right="2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181" w:lineRule="exact"/>
        <w:rPr>
          <w:sz w:val="20"/>
          <w:szCs w:val="20"/>
          <w:color w:val="auto"/>
        </w:rPr>
      </w:pPr>
    </w:p>
    <w:p>
      <w:pPr>
        <w:jc w:val="both"/>
        <w:ind w:right="10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I.</w:t>
      </w:r>
    </w:p>
    <w:p>
      <w:pPr>
        <w:spacing w:after="0" w:line="181" w:lineRule="exact"/>
        <w:rPr>
          <w:sz w:val="20"/>
          <w:szCs w:val="20"/>
          <w:color w:val="auto"/>
        </w:rPr>
      </w:pPr>
    </w:p>
    <w:p>
      <w:pPr>
        <w:ind w:right="5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Multicurrency Commitment</w:t>
      </w:r>
      <w:r>
        <w:rPr>
          <w:rFonts w:ascii="Arial" w:cs="Arial" w:eastAsia="Arial" w:hAnsi="Arial"/>
          <w:sz w:val="18"/>
          <w:szCs w:val="18"/>
          <w:color w:val="auto"/>
        </w:rPr>
        <w:t xml:space="preserve">” means, on any date of determination with respect to any Lender, (a) such Lender’s Multicurrency Commitment in effect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its Multicurrency Extensions of Credit on such date.</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181" w:lineRule="exact"/>
        <w:rPr>
          <w:sz w:val="20"/>
          <w:szCs w:val="20"/>
          <w:color w:val="auto"/>
        </w:rPr>
      </w:pPr>
    </w:p>
    <w:p>
      <w:pPr>
        <w:ind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GMB, GMETC, GMF or any other Subsidiary Borrower designated from time to time by the Company until (in the case of any Subsidiary Borrower) such time as such Subsidiary Borrower is removed as a party hereto pursuant to Section 10.1(d).</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J.</w:t>
      </w:r>
    </w:p>
    <w:p>
      <w:pPr>
        <w:spacing w:after="0" w:line="181" w:lineRule="exact"/>
        <w:rPr>
          <w:sz w:val="20"/>
          <w:szCs w:val="20"/>
          <w:color w:val="auto"/>
        </w:rPr>
      </w:pPr>
    </w:p>
    <w:p>
      <w:pPr>
        <w:ind w:right="3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20" w:top="510" w:right="279" w:bottom="1440" w:gutter="0" w:footer="0" w:header="0"/>
        </w:sectPr>
      </w:pPr>
    </w:p>
    <w:bookmarkStart w:id="14" w:name="page15"/>
    <w:bookmarkEnd w:id="14"/>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Request</w:t>
      </w:r>
      <w:r>
        <w:rPr>
          <w:rFonts w:ascii="Arial" w:cs="Arial" w:eastAsia="Arial" w:hAnsi="Arial"/>
          <w:sz w:val="16"/>
          <w:szCs w:val="16"/>
          <w:color w:val="auto"/>
        </w:rPr>
        <w:t>” means a request by any Borrower for a Domestic Loan, L/C Tranche Loan or Multicurrency Loan, in substantially the form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of Exhibit N.</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right="3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Bank Certificate</w:t>
      </w:r>
      <w:r>
        <w:rPr>
          <w:rFonts w:ascii="Arial" w:cs="Arial" w:eastAsia="Arial" w:hAnsi="Arial"/>
          <w:sz w:val="18"/>
          <w:szCs w:val="18"/>
          <w:color w:val="auto"/>
        </w:rPr>
        <w:t>” means each bank credit certificate, issued by any Brazilian Subsidiary Borrower in favor of any Brazilian Lender pursuant to which such Brazilian Lender agrees to make Brazilian Loans.</w:t>
      </w:r>
    </w:p>
    <w:p>
      <w:pPr>
        <w:spacing w:after="0" w:line="144" w:lineRule="exact"/>
        <w:rPr>
          <w:sz w:val="20"/>
          <w:szCs w:val="20"/>
          <w:color w:val="auto"/>
        </w:rPr>
      </w:pPr>
    </w:p>
    <w:p>
      <w:pPr>
        <w:ind w:firstLine="1063"/>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Brazilian Commitment</w:t>
      </w:r>
      <w:r>
        <w:rPr>
          <w:rFonts w:ascii="Arial" w:cs="Arial" w:eastAsia="Arial" w:hAnsi="Arial"/>
          <w:sz w:val="16"/>
          <w:szCs w:val="16"/>
          <w:color w:val="auto"/>
        </w:rPr>
        <w:t>” means as to any Lender, the obligation of such Lender, if any, to make Brazilian Loans in an aggregate principal amount in Brazilian Reais the Dollar Equivalent of which shall not exceed the amount set forth under the heading “Brazilian Commitment” opposite such Lender’s name on Schedule 1.1A or in the Assignment and Assumption pursuant to which such Lender became a party hereto, as the same may be changed from time to time pursuant to the terms hereof. The aggregate principal amount in Brazilian Reais of the Brazilian Commitment shall be (i) calculated based on the Real/U.S. Dollars exchange rate, expressed as the amount of Real for conversion into Dollars as reported by the Central Bank of Brazil and on its website (which, at the date hereof, is located at http://www.bcb.gov.br/?txcambio), under transaction “Cotações e Boletins” option “Cotações de fechamento de todas as moedas em uma data”, “Venda” (or any successor screen established by the Central Bank of Brazil) (such rate, the “PTAX”) on each valuation date of the exchange rates; (ii) the Brazilian Commitment shall be updated every quarter as of the issuance date of each Brazilian Bank Certificate based on the exchange rate above available on the Business Day prior to the date of issuance of a written amendment to the respective Brazilian Bank Certificate and (iii) informed by the Brazilian Administrative Agent to each Brazilian Lender and the relevant Brazilian Subsidiary Borrower on the disbursement date of each borrowing under the Brazilian Commitment or at any day if so requested by any Brazilian Subsidiary Borrower and/or any Brazilian Lender. If the PTAX is not available, for any reason, the sale closing average quotations received from three leading Brazilian banks as selected by GMB in its sole discretion shall be applied. Notwithstanding the foregoing, if such rate cannot be determined, the conversion rate shall be jointly defined by GMB and the Brazilian Lenders.</w:t>
      </w:r>
    </w:p>
    <w:p>
      <w:pPr>
        <w:spacing w:after="0" w:line="142" w:lineRule="exact"/>
        <w:rPr>
          <w:sz w:val="20"/>
          <w:szCs w:val="20"/>
          <w:color w:val="auto"/>
        </w:rPr>
      </w:pPr>
    </w:p>
    <w:p>
      <w:pPr>
        <w:ind w:right="6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Extensions of Credit</w:t>
      </w:r>
      <w:r>
        <w:rPr>
          <w:rFonts w:ascii="Arial" w:cs="Arial" w:eastAsia="Arial" w:hAnsi="Arial"/>
          <w:sz w:val="18"/>
          <w:szCs w:val="18"/>
          <w:color w:val="auto"/>
        </w:rPr>
        <w:t>” means, as to any Brazilian Lender at any time, an amount equal to the Dollar Equivalent of the aggregate principal amount of all Brazilian Loans held by such Lender then outstanding.</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Facility</w:t>
      </w:r>
      <w:r>
        <w:rPr>
          <w:rFonts w:ascii="Arial" w:cs="Arial" w:eastAsia="Arial" w:hAnsi="Arial"/>
          <w:sz w:val="18"/>
          <w:szCs w:val="18"/>
          <w:color w:val="auto"/>
        </w:rPr>
        <w:t>” means the Brazilian Commitments and the extensions of credit made thereunder.</w:t>
      </w:r>
    </w:p>
    <w:p>
      <w:pPr>
        <w:spacing w:after="0" w:line="181" w:lineRule="exact"/>
        <w:rPr>
          <w:sz w:val="20"/>
          <w:szCs w:val="20"/>
          <w:color w:val="auto"/>
        </w:rPr>
      </w:pPr>
    </w:p>
    <w:p>
      <w:pPr>
        <w:ind w:right="4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Intercreditor Agreement</w:t>
      </w:r>
      <w:r>
        <w:rPr>
          <w:rFonts w:ascii="Arial" w:cs="Arial" w:eastAsia="Arial" w:hAnsi="Arial"/>
          <w:sz w:val="18"/>
          <w:szCs w:val="18"/>
          <w:color w:val="auto"/>
        </w:rPr>
        <w:t>” means that certain amended and restated intercreditor agreement, dated as of the date hereof, among the Brazilian Administrative Agent and the Brazilian Lenders.</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Lender</w:t>
      </w:r>
      <w:r>
        <w:rPr>
          <w:rFonts w:ascii="Arial" w:cs="Arial" w:eastAsia="Arial" w:hAnsi="Arial"/>
          <w:sz w:val="18"/>
          <w:szCs w:val="18"/>
          <w:color w:val="auto"/>
        </w:rPr>
        <w:t>” means each Lender that has a Brazilian Commitment or that holds Brazilian Loans.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Loans</w:t>
      </w:r>
      <w:r>
        <w:rPr>
          <w:rFonts w:ascii="Arial" w:cs="Arial" w:eastAsia="Arial" w:hAnsi="Arial"/>
          <w:sz w:val="18"/>
          <w:szCs w:val="18"/>
          <w:color w:val="auto"/>
        </w:rPr>
        <w:t>” has the meaning assigned to such term in Section 2.5(a).</w:t>
      </w:r>
    </w:p>
    <w:p>
      <w:pPr>
        <w:spacing w:after="0" w:line="181" w:lineRule="exact"/>
        <w:rPr>
          <w:sz w:val="20"/>
          <w:szCs w:val="20"/>
          <w:color w:val="auto"/>
        </w:rPr>
      </w:pPr>
    </w:p>
    <w:p>
      <w:pPr>
        <w:ind w:right="60"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Percentage</w:t>
      </w:r>
      <w:r>
        <w:rPr>
          <w:rFonts w:ascii="Arial" w:cs="Arial" w:eastAsia="Arial" w:hAnsi="Arial"/>
          <w:sz w:val="17"/>
          <w:szCs w:val="17"/>
          <w:color w:val="auto"/>
        </w:rPr>
        <w:t>” means as to any Brazilian Lender at any time, the percentage which such Lender’s Brazilian Commitment then constitutes of the aggregate amount of the Brazilian Commitments then in effect or, at any time after the Brazilian Commitments shall have expired or</w:t>
      </w:r>
    </w:p>
    <w:p>
      <w:pPr>
        <w:spacing w:after="0" w:line="31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510" w:right="219" w:bottom="1440" w:gutter="0" w:footer="0" w:header="0"/>
        </w:sectPr>
      </w:pPr>
    </w:p>
    <w:bookmarkStart w:id="15" w:name="page16"/>
    <w:bookmarkEnd w:id="15"/>
    <w:p>
      <w:pPr>
        <w:ind w:right="600"/>
        <w:spacing w:after="0" w:line="263" w:lineRule="auto"/>
        <w:rPr>
          <w:sz w:val="20"/>
          <w:szCs w:val="20"/>
          <w:color w:val="auto"/>
        </w:rPr>
      </w:pPr>
      <w:r>
        <w:rPr>
          <w:rFonts w:ascii="Arial" w:cs="Arial" w:eastAsia="Arial" w:hAnsi="Arial"/>
          <w:sz w:val="18"/>
          <w:szCs w:val="18"/>
          <w:color w:val="auto"/>
        </w:rPr>
        <w:t>terminated, the percentage which the aggregate Outstanding Amount of Brazilian Extensions of Credit of such Lender then outstanding constitutes of the aggregate Outstanding Amount of Brazilian Extensions of Credit of the Brazilian Lenders then outstanding.</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181" w:lineRule="exact"/>
        <w:rPr>
          <w:sz w:val="20"/>
          <w:szCs w:val="20"/>
          <w:color w:val="auto"/>
        </w:rPr>
      </w:pPr>
    </w:p>
    <w:p>
      <w:pPr>
        <w:jc w:val="both"/>
        <w:ind w:right="1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Subsidiary Borrower</w:t>
      </w:r>
      <w:r>
        <w:rPr>
          <w:rFonts w:ascii="Arial" w:cs="Arial" w:eastAsia="Arial" w:hAnsi="Arial"/>
          <w:sz w:val="17"/>
          <w:szCs w:val="17"/>
          <w:color w:val="auto"/>
        </w:rPr>
        <w:t>” means GMB and any Subsidiary Borrower that is a Subsidiary of GMF or GMB and which is a Brazilian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167"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Saturday, Sunday or other day on which banks in New York City and, solely in connection with matters relating to the Brazilian Lenders, São Paulo and São Caetano do Sul, both in the State of São Paulo, Brazil, are permitted to 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when used in connection with (a) a Eurocurrency Loan or Ancillary Facility, the term “Business Day” shall also exclude any day on which banks are not open for dealings in Dollar deposits or deposits in any Optional Currency (or in the case of any Ancillary Facility, any other applicable currency), as applicable, in the London Interbank market, (b) an extension of credit denominated in Euros (including under any Ancillary Facility), the term “Business Day” shall also exclude any day that is not a TARGET Day and (c) an extension of credit denominated in any Optional Currency (other than Euros) or any other currency, the term “Business Day” shall also exclude any day on which banks in the principal financial center of the country of such Optional Currency or other currency are not open for general business.</w:t>
      </w:r>
    </w:p>
    <w:p>
      <w:pPr>
        <w:spacing w:after="0" w:line="147" w:lineRule="exact"/>
        <w:rPr>
          <w:sz w:val="20"/>
          <w:szCs w:val="20"/>
          <w:color w:val="auto"/>
        </w:rPr>
      </w:pPr>
    </w:p>
    <w:p>
      <w:pPr>
        <w:ind w:right="14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56" w:lineRule="exact"/>
        <w:rPr>
          <w:sz w:val="20"/>
          <w:szCs w:val="20"/>
          <w:color w:val="auto"/>
        </w:rPr>
      </w:pPr>
    </w:p>
    <w:p>
      <w:pPr>
        <w:ind w:right="6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98" w:lineRule="exact"/>
        <w:rPr>
          <w:sz w:val="20"/>
          <w:szCs w:val="20"/>
          <w:color w:val="auto"/>
        </w:rPr>
      </w:pPr>
    </w:p>
    <w:p>
      <w:pPr>
        <w:jc w:val="both"/>
        <w:ind w:right="220" w:firstLine="1063"/>
        <w:spacing w:after="0" w:line="40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CDI</w:t>
      </w:r>
      <w:r>
        <w:rPr>
          <w:rFonts w:ascii="Arial" w:cs="Arial" w:eastAsia="Arial" w:hAnsi="Arial"/>
          <w:sz w:val="14"/>
          <w:szCs w:val="14"/>
          <w:color w:val="auto"/>
        </w:rPr>
        <w:t>” means the daily average rate of the DI - Depósitos Interfinanceiros de um dia, “over extra-grupo”, expressed in the form of a percentage per annum, based upon 252 business days, calculated and published daily by the CETIP S.A. - Mercados Organizados, at the website http://www.cetip.com.br.</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 Loans</w:t>
      </w:r>
      <w:r>
        <w:rPr>
          <w:rFonts w:ascii="Arial" w:cs="Arial" w:eastAsia="Arial" w:hAnsi="Arial"/>
          <w:sz w:val="18"/>
          <w:szCs w:val="18"/>
          <w:color w:val="auto"/>
        </w:rPr>
        <w:t>” means Loans the rate of interest applicable to which is based upon the CDI.</w:t>
      </w:r>
    </w:p>
    <w:p>
      <w:pPr>
        <w:spacing w:after="0" w:line="181" w:lineRule="exact"/>
        <w:rPr>
          <w:sz w:val="20"/>
          <w:szCs w:val="20"/>
          <w:color w:val="auto"/>
        </w:rPr>
      </w:pPr>
    </w:p>
    <w:p>
      <w:pPr>
        <w:ind w:firstLine="10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2.23, by any lending office of such Lender or Issuing Lender or by such Lender’s or Issuing Lender’s holding company, if any) with any request, guideline or directive (whether or not having the force of law) of any Governmental Authority made or issued after the date of</w:t>
      </w:r>
    </w:p>
    <w:p>
      <w:pPr>
        <w:spacing w:after="0" w:line="32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0"/>
          </w:cols>
          <w:pgMar w:left="220" w:top="510" w:right="219" w:bottom="1440" w:gutter="0" w:footer="0" w:header="0"/>
        </w:sectPr>
      </w:pPr>
    </w:p>
    <w:bookmarkStart w:id="16" w:name="page17"/>
    <w:bookmarkEnd w:id="16"/>
    <w:p>
      <w:pPr>
        <w:ind w:right="180"/>
        <w:spacing w:after="0" w:line="283" w:lineRule="auto"/>
        <w:rPr>
          <w:sz w:val="20"/>
          <w:szCs w:val="20"/>
          <w:color w:val="auto"/>
        </w:rPr>
      </w:pPr>
      <w:r>
        <w:rPr>
          <w:rFonts w:ascii="Arial" w:cs="Arial" w:eastAsia="Arial" w:hAnsi="Arial"/>
          <w:sz w:val="16"/>
          <w:szCs w:val="16"/>
          <w:color w:val="auto"/>
        </w:rPr>
        <w:t>this Agreement. For purposes of this definition and Section 2.23, (x) the Dodd-Frank Wall Street Reform and Consumer Protection Act and all requests, rules, guidelines, requirements and directives thereunder or issued in connection therewith or in implementation thereof (whether or not having the force of law) and</w:t>
      </w:r>
    </w:p>
    <w:p>
      <w:pPr>
        <w:ind w:right="300" w:firstLine="9"/>
        <w:spacing w:after="0" w:line="245" w:lineRule="auto"/>
        <w:tabs>
          <w:tab w:leader="none" w:pos="251"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2.24(a).</w:t>
      </w:r>
    </w:p>
    <w:p>
      <w:pPr>
        <w:spacing w:after="0" w:line="181" w:lineRule="exact"/>
        <w:rPr>
          <w:sz w:val="20"/>
          <w:szCs w:val="20"/>
          <w:color w:val="auto"/>
        </w:rPr>
      </w:pPr>
    </w:p>
    <w:p>
      <w:pPr>
        <w:ind w:right="100" w:firstLine="106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of any of the following events: (a) any “</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group</w:t>
      </w:r>
      <w:r>
        <w:rPr>
          <w:rFonts w:ascii="Arial" w:cs="Arial" w:eastAsia="Arial" w:hAnsi="Arial"/>
          <w:sz w:val="17"/>
          <w:szCs w:val="17"/>
          <w:color w:val="auto"/>
        </w:rPr>
        <w:t>” (as such terms are used in Sections 13(d) and 14(d) of the Exchange Act)shall become, or obtain rights (whether by means of warrants, options or otherwise) to become, the “</w:t>
      </w:r>
      <w:r>
        <w:rPr>
          <w:rFonts w:ascii="Arial" w:cs="Arial" w:eastAsia="Arial" w:hAnsi="Arial"/>
          <w:sz w:val="17"/>
          <w:szCs w:val="17"/>
          <w:u w:val="single" w:color="auto"/>
          <w:color w:val="auto"/>
        </w:rPr>
        <w:t>beneficial owner</w:t>
      </w:r>
      <w:r>
        <w:rPr>
          <w:rFonts w:ascii="Arial" w:cs="Arial" w:eastAsia="Arial" w:hAnsi="Arial"/>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42" w:lineRule="exact"/>
        <w:rPr>
          <w:sz w:val="20"/>
          <w:szCs w:val="20"/>
          <w:color w:val="auto"/>
        </w:rPr>
      </w:pPr>
    </w:p>
    <w:p>
      <w:pPr>
        <w:ind w:right="2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October 17,</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81" w:lineRule="exact"/>
        <w:rPr>
          <w:sz w:val="20"/>
          <w:szCs w:val="20"/>
          <w:color w:val="auto"/>
        </w:rPr>
      </w:pPr>
    </w:p>
    <w:p>
      <w:pPr>
        <w:ind w:right="1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Trust Agreement</w:t>
      </w:r>
      <w:r>
        <w:rPr>
          <w:rFonts w:ascii="Arial" w:cs="Arial" w:eastAsia="Arial" w:hAnsi="Arial"/>
          <w:sz w:val="18"/>
          <w:szCs w:val="18"/>
          <w:color w:val="auto"/>
        </w:rPr>
        <w:t>” means the Collateral Trust Agreement, dated as of October 27, 2010, among GM Holdings, certain Subsidiaries of GM Holdings party thereto, the Collateral Trustee and the other parties named therein.</w:t>
      </w:r>
    </w:p>
    <w:p>
      <w:pPr>
        <w:spacing w:after="0" w:line="144" w:lineRule="exact"/>
        <w:rPr>
          <w:sz w:val="20"/>
          <w:szCs w:val="20"/>
          <w:color w:val="auto"/>
        </w:rPr>
      </w:pPr>
    </w:p>
    <w:p>
      <w:pPr>
        <w:ind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Trustee</w:t>
      </w:r>
      <w:r>
        <w:rPr>
          <w:rFonts w:ascii="Arial" w:cs="Arial" w:eastAsia="Arial" w:hAnsi="Arial"/>
          <w:sz w:val="16"/>
          <w:szCs w:val="16"/>
          <w:color w:val="auto"/>
        </w:rPr>
        <w:t>” means Wilmington Trust Company, in its capacity as trustee under the Collateral Trust Agreement (and any successor thereto under the Collateral Trust Agreement) and, as the context may require, any co-trustee appointed pursuant to the terms of the Collateral Trust Agreement.</w:t>
      </w:r>
    </w:p>
    <w:p>
      <w:pPr>
        <w:spacing w:after="0" w:line="98" w:lineRule="exact"/>
        <w:rPr>
          <w:sz w:val="20"/>
          <w:szCs w:val="20"/>
          <w:color w:val="auto"/>
        </w:rPr>
      </w:pPr>
    </w:p>
    <w:p>
      <w:pPr>
        <w:ind w:right="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Collateralized</w:t>
      </w:r>
      <w:r>
        <w:rPr>
          <w:rFonts w:ascii="Arial" w:cs="Arial" w:eastAsia="Arial" w:hAnsi="Arial"/>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54" w:lineRule="exact"/>
        <w:rPr>
          <w:sz w:val="20"/>
          <w:szCs w:val="20"/>
          <w:color w:val="auto"/>
        </w:rPr>
      </w:pPr>
    </w:p>
    <w:p>
      <w:pPr>
        <w:ind w:right="2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individually and collectively, the Brazilian Commitments, the Domestic Commitments, the L/C Tranche Commitments and the Multicurrency Commitments. To the extent any Incremental Facility or New Local Facility is established, the “Commitments” shall, to the extent appropriate, include commitments under such Facilities.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assigned to such term in Section 2.31(a).</w:t>
      </w:r>
    </w:p>
    <w:p>
      <w:pPr>
        <w:spacing w:after="0" w:line="181" w:lineRule="exact"/>
        <w:rPr>
          <w:sz w:val="20"/>
          <w:szCs w:val="20"/>
          <w:color w:val="auto"/>
        </w:rPr>
      </w:pPr>
    </w:p>
    <w:p>
      <w:pPr>
        <w:ind w:right="8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20" w:top="510" w:right="259" w:bottom="1440" w:gutter="0" w:footer="0" w:header="0"/>
        </w:sectPr>
      </w:pPr>
    </w:p>
    <w:bookmarkStart w:id="17" w:name="page18"/>
    <w:bookmarkEnd w:id="17"/>
    <w:p>
      <w:pPr>
        <w:ind w:right="4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54" w:lineRule="exact"/>
        <w:rPr>
          <w:sz w:val="20"/>
          <w:szCs w:val="20"/>
          <w:color w:val="auto"/>
        </w:rPr>
      </w:pPr>
    </w:p>
    <w:p>
      <w:pPr>
        <w:ind w:right="10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the Brazilian Intercreditor Agreement or otherwise transmitted between the parties hereto relating to this Agreement, the other Loan Documents, the Brazilian Intercreditor Agreement, any Loan Party or its affiliates, or the transactions contemplated by this Agreement, the other Loan Documents or the Brazilian Intercreditor Agreement.</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2.12.</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Accept/Reject Letter</w:t>
      </w:r>
      <w:r>
        <w:rPr>
          <w:rFonts w:ascii="Arial" w:cs="Arial" w:eastAsia="Arial" w:hAnsi="Arial"/>
          <w:sz w:val="16"/>
          <w:szCs w:val="16"/>
          <w:color w:val="auto"/>
        </w:rPr>
        <w:t>” means a notification made by the Company pursuant to Section 2.12, substantially in the form of Exhibit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167" w:lineRule="exact"/>
        <w:rPr>
          <w:sz w:val="20"/>
          <w:szCs w:val="20"/>
          <w:color w:val="auto"/>
        </w:rPr>
      </w:pPr>
    </w:p>
    <w:p>
      <w:pPr>
        <w:ind w:right="8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2.12, substantially in the form of Exhibit C.</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2.12.</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L.</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Domestic Liquidity</w:t>
      </w:r>
      <w:r>
        <w:rPr>
          <w:rFonts w:ascii="Arial" w:cs="Arial" w:eastAsia="Arial" w:hAnsi="Arial"/>
          <w:sz w:val="16"/>
          <w:szCs w:val="16"/>
          <w:color w:val="auto"/>
        </w:rPr>
        <w:t xml:space="preserve">” means, as of any date of determination, the sum of (a) the Total Available Commitments as of such date </w:t>
      </w:r>
      <w:r>
        <w:rPr>
          <w:rFonts w:ascii="Arial" w:cs="Arial" w:eastAsia="Arial" w:hAnsi="Arial"/>
          <w:sz w:val="16"/>
          <w:szCs w:val="16"/>
          <w:u w:val="single" w:color="auto"/>
          <w:color w:val="auto"/>
        </w:rPr>
        <w:t>plus</w:t>
      </w:r>
    </w:p>
    <w:p>
      <w:pPr>
        <w:spacing w:after="0" w:line="40" w:lineRule="exact"/>
        <w:rPr>
          <w:sz w:val="20"/>
          <w:szCs w:val="20"/>
          <w:color w:val="auto"/>
        </w:rPr>
      </w:pPr>
    </w:p>
    <w:p>
      <w:pPr>
        <w:ind w:firstLine="9"/>
        <w:spacing w:after="0" w:line="244" w:lineRule="auto"/>
        <w:tabs>
          <w:tab w:leader="none" w:pos="25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5-Year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total available commitments (after giving effect to any applicable borrowing base limitations) under other then-effective committed credit facilities of the Company or any Domestic Subsidiary (including any Ancillary Commitments, which may at such time be reallocated to provide availability to the Company or any Domestic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64" w:lineRule="exact"/>
        <w:rPr>
          <w:sz w:val="20"/>
          <w:szCs w:val="20"/>
          <w:color w:val="auto"/>
        </w:rPr>
      </w:pPr>
    </w:p>
    <w:p>
      <w:pPr>
        <w:ind w:right="40" w:firstLine="10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Global Liquidity</w:t>
      </w:r>
      <w:r>
        <w:rPr>
          <w:rFonts w:ascii="Arial" w:cs="Arial" w:eastAsia="Arial" w:hAnsi="Arial"/>
          <w:sz w:val="16"/>
          <w:szCs w:val="16"/>
          <w:color w:val="auto"/>
        </w:rPr>
        <w:t xml:space="preserve">” means as of any date of determination, the sum of (a) the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5-Year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total available commitments (after giving effect to any applicable borrowing base limitations) under other then-effective committed credit facilities of the Company or any of its Subsidiaries (including any Ancillary Commitments available to the Company or any of its Subsidiaries, if applicable)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total cash (other than restricted cash), cash equivalents and Marketable Securities of</w:t>
      </w:r>
    </w:p>
    <w:p>
      <w:pPr>
        <w:spacing w:after="0" w:line="32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80"/>
          </w:cols>
          <w:pgMar w:left="220" w:top="510" w:right="299" w:bottom="1440" w:gutter="0" w:footer="0" w:header="0"/>
        </w:sectPr>
      </w:pPr>
    </w:p>
    <w:bookmarkStart w:id="18" w:name="page19"/>
    <w:bookmarkEnd w:id="18"/>
    <w:p>
      <w:pPr>
        <w:spacing w:after="0" w:line="263" w:lineRule="auto"/>
        <w:rPr>
          <w:sz w:val="20"/>
          <w:szCs w:val="20"/>
          <w:color w:val="auto"/>
        </w:rPr>
      </w:pPr>
      <w:r>
        <w:rPr>
          <w:rFonts w:ascii="Arial" w:cs="Arial" w:eastAsia="Arial" w:hAnsi="Arial"/>
          <w:sz w:val="18"/>
          <w:szCs w:val="18"/>
          <w:color w:val="auto"/>
        </w:rPr>
        <w:t>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44" w:lineRule="exact"/>
        <w:rPr>
          <w:sz w:val="20"/>
          <w:szCs w:val="20"/>
          <w:color w:val="auto"/>
        </w:rPr>
      </w:pPr>
    </w:p>
    <w:p>
      <w:pPr>
        <w:jc w:val="both"/>
        <w:ind w:right="60" w:firstLine="106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36" w:lineRule="exact"/>
        <w:rPr>
          <w:sz w:val="20"/>
          <w:szCs w:val="20"/>
          <w:color w:val="auto"/>
        </w:rPr>
      </w:pPr>
    </w:p>
    <w:p>
      <w:pPr>
        <w:ind w:right="2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44" w:lineRule="exact"/>
        <w:rPr>
          <w:sz w:val="20"/>
          <w:szCs w:val="20"/>
          <w:color w:val="auto"/>
        </w:rPr>
      </w:pPr>
    </w:p>
    <w:p>
      <w:pPr>
        <w:ind w:right="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54" w:lineRule="exact"/>
        <w:rPr>
          <w:sz w:val="20"/>
          <w:szCs w:val="20"/>
          <w:color w:val="auto"/>
        </w:rPr>
      </w:pPr>
    </w:p>
    <w:p>
      <w:pPr>
        <w:ind w:right="1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44" w:lineRule="exact"/>
        <w:rPr>
          <w:sz w:val="20"/>
          <w:szCs w:val="20"/>
          <w:color w:val="auto"/>
        </w:rPr>
      </w:pPr>
    </w:p>
    <w:p>
      <w:pPr>
        <w:ind w:right="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Rating</w:t>
      </w:r>
      <w:r>
        <w:rPr>
          <w:rFonts w:ascii="Arial" w:cs="Arial" w:eastAsia="Arial" w:hAnsi="Arial"/>
          <w:sz w:val="18"/>
          <w:szCs w:val="18"/>
          <w:color w:val="auto"/>
        </w:rPr>
        <w:t>” means, as of any date, (a) in the case of S&amp;P, a “Long-Term Local Issuer Credit Rating”; (b) in the case of Moody’s, a “Long-Term Corporate Family Rating”(it being understood that Moody’s does not provide Corporate Ratings for investment grade companies); or (c) in the case of Fitch, a “Long-Term Issuer Default Rating”, as applicable, for the Company.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Optional Currency.</w:t>
      </w:r>
    </w:p>
    <w:p>
      <w:pPr>
        <w:spacing w:after="0" w:line="181" w:lineRule="exact"/>
        <w:rPr>
          <w:sz w:val="20"/>
          <w:szCs w:val="20"/>
          <w:color w:val="auto"/>
        </w:rPr>
      </w:pPr>
    </w:p>
    <w:p>
      <w:pPr>
        <w:ind w:right="10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any of the events specified in Section 8.1, whether or not any requirement for the giving of notice, the lapse of time, or both, has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been satisfied.</w:t>
      </w:r>
    </w:p>
    <w:p>
      <w:pPr>
        <w:spacing w:after="0" w:line="167" w:lineRule="exact"/>
        <w:rPr>
          <w:sz w:val="20"/>
          <w:szCs w:val="20"/>
          <w:color w:val="auto"/>
        </w:rPr>
      </w:pPr>
    </w:p>
    <w:p>
      <w:pPr>
        <w:ind w:firstLine="106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Lender shall cease to be a Defaulting Lender pursuant to this clause (c) upon the Company’s receipt of such confirmation, or (d) with respect to which a Lender Insolvency Event has occurred and is continuing.</w:t>
      </w:r>
    </w:p>
    <w:p>
      <w:pPr>
        <w:spacing w:after="0" w:line="325"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0"/>
          </w:cols>
          <w:pgMar w:left="220" w:top="510" w:right="239" w:bottom="1440" w:gutter="0" w:footer="0" w:header="0"/>
        </w:sectPr>
      </w:pPr>
    </w:p>
    <w:bookmarkStart w:id="19" w:name="page20"/>
    <w:bookmarkEnd w:id="19"/>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Letters of Credit</w:t>
      </w:r>
      <w:r>
        <w:rPr>
          <w:rFonts w:ascii="Arial" w:cs="Arial" w:eastAsia="Arial" w:hAnsi="Arial"/>
          <w:sz w:val="18"/>
          <w:szCs w:val="18"/>
          <w:color w:val="auto"/>
        </w:rPr>
        <w:t>” has the meaning assigned to such term in Section 3.11(b).</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Date</w:t>
      </w:r>
      <w:r>
        <w:rPr>
          <w:rFonts w:ascii="Arial" w:cs="Arial" w:eastAsia="Arial" w:hAnsi="Arial"/>
          <w:sz w:val="18"/>
          <w:szCs w:val="18"/>
          <w:color w:val="auto"/>
        </w:rPr>
        <w:t>” has the meaning assigned to such term in Section 3.11(b).</w:t>
      </w:r>
    </w:p>
    <w:p>
      <w:pPr>
        <w:spacing w:after="0" w:line="181" w:lineRule="exact"/>
        <w:rPr>
          <w:sz w:val="20"/>
          <w:szCs w:val="20"/>
          <w:color w:val="auto"/>
        </w:rPr>
      </w:pPr>
    </w:p>
    <w:p>
      <w:pPr>
        <w:ind w:right="1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means a Principal Trade Name, designated by the Company as the “Designated Principal Trade Name” in a written notice to the Administrative Agent pursuant to the terms hereof; provided that, for the avoidance of doubt, only one Principal Trade Name may be designated as a “Designated Principal Trade Name” during the term of this Agreement.</w:t>
      </w:r>
    </w:p>
    <w:p>
      <w:pPr>
        <w:spacing w:after="0" w:line="154" w:lineRule="exact"/>
        <w:rPr>
          <w:sz w:val="20"/>
          <w:szCs w:val="20"/>
          <w:color w:val="auto"/>
        </w:rPr>
      </w:pPr>
    </w:p>
    <w:p>
      <w:pPr>
        <w:ind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means, with respect to any property, any sale, transfer or other disposition thereof; and the terms “Dispose” and “Disposed of” shall have correlative meanings;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56" w:lineRule="exact"/>
        <w:rPr>
          <w:sz w:val="20"/>
          <w:szCs w:val="20"/>
          <w:color w:val="auto"/>
        </w:rPr>
      </w:pPr>
    </w:p>
    <w:p>
      <w:pPr>
        <w:ind w:right="60" w:firstLine="1063"/>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181" w:lineRule="exact"/>
        <w:rPr>
          <w:sz w:val="20"/>
          <w:szCs w:val="20"/>
          <w:color w:val="auto"/>
        </w:rPr>
      </w:pPr>
    </w:p>
    <w:p>
      <w:pPr>
        <w:ind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Commitment</w:t>
      </w:r>
      <w:r>
        <w:rPr>
          <w:rFonts w:ascii="Arial" w:cs="Arial" w:eastAsia="Arial" w:hAnsi="Arial"/>
          <w:sz w:val="16"/>
          <w:szCs w:val="16"/>
          <w:color w:val="auto"/>
        </w:rPr>
        <w:t>” means as to any Lender, the obligation of such Lender, if any, to make Domestic Loans in an aggregate principal amount not to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Competitive Loan</w:t>
      </w:r>
      <w:r>
        <w:rPr>
          <w:rFonts w:ascii="Arial" w:cs="Arial" w:eastAsia="Arial" w:hAnsi="Arial"/>
          <w:sz w:val="18"/>
          <w:szCs w:val="18"/>
          <w:color w:val="auto"/>
        </w:rPr>
        <w:t>” means a Competitive Loan made under the Domestic Facility.</w:t>
      </w:r>
    </w:p>
    <w:p>
      <w:pPr>
        <w:spacing w:after="0" w:line="181" w:lineRule="exact"/>
        <w:rPr>
          <w:sz w:val="20"/>
          <w:szCs w:val="20"/>
          <w:color w:val="auto"/>
        </w:rPr>
      </w:pPr>
    </w:p>
    <w:p>
      <w:pPr>
        <w:ind w:right="6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Extensions of Credit</w:t>
      </w:r>
      <w:r>
        <w:rPr>
          <w:rFonts w:ascii="Arial" w:cs="Arial" w:eastAsia="Arial" w:hAnsi="Arial"/>
          <w:sz w:val="18"/>
          <w:szCs w:val="18"/>
          <w:color w:val="auto"/>
        </w:rPr>
        <w:t>” means, as to any Domestic Lender at any time, an amount equal to the aggregate principal amount of all Domestic Loans held by such Lender then outstanding.</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Facility</w:t>
      </w:r>
      <w:r>
        <w:rPr>
          <w:rFonts w:ascii="Arial" w:cs="Arial" w:eastAsia="Arial" w:hAnsi="Arial"/>
          <w:sz w:val="18"/>
          <w:szCs w:val="18"/>
          <w:color w:val="auto"/>
        </w:rPr>
        <w:t>” means the Domestic Commitments and the extensions of credit made thereunder.</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Lender</w:t>
      </w:r>
      <w:r>
        <w:rPr>
          <w:rFonts w:ascii="Arial" w:cs="Arial" w:eastAsia="Arial" w:hAnsi="Arial"/>
          <w:sz w:val="16"/>
          <w:szCs w:val="16"/>
          <w:color w:val="auto"/>
        </w:rPr>
        <w:t>” means each Lender that has a Domestic Commitment or that holds Domestic Loans or other Loans made under the Domestic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Loans</w:t>
      </w:r>
      <w:r>
        <w:rPr>
          <w:rFonts w:ascii="Arial" w:cs="Arial" w:eastAsia="Arial" w:hAnsi="Arial"/>
          <w:sz w:val="18"/>
          <w:szCs w:val="18"/>
          <w:color w:val="auto"/>
        </w:rPr>
        <w:t>” has the meaning assigned to such term in Section 2.1.</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20" w:top="510" w:right="259" w:bottom="1440" w:gutter="0" w:footer="0" w:header="0"/>
        </w:sectPr>
      </w:pPr>
    </w:p>
    <w:bookmarkStart w:id="20" w:name="page21"/>
    <w:bookmarkEnd w:id="20"/>
    <w:p>
      <w:pPr>
        <w:ind w:right="120"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Percentage</w:t>
      </w:r>
      <w:r>
        <w:rPr>
          <w:rFonts w:ascii="Arial" w:cs="Arial" w:eastAsia="Arial" w:hAnsi="Arial"/>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60" w:lineRule="exact"/>
        <w:rPr>
          <w:sz w:val="20"/>
          <w:szCs w:val="20"/>
          <w:color w:val="auto"/>
        </w:rPr>
      </w:pPr>
    </w:p>
    <w:p>
      <w:pPr>
        <w:ind w:right="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181" w:lineRule="exact"/>
        <w:rPr>
          <w:sz w:val="20"/>
          <w:szCs w:val="20"/>
          <w:color w:val="auto"/>
        </w:rPr>
      </w:pPr>
    </w:p>
    <w:p>
      <w:pPr>
        <w:ind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81" w:lineRule="exact"/>
        <w:rPr>
          <w:sz w:val="20"/>
          <w:szCs w:val="20"/>
          <w:color w:val="auto"/>
        </w:rPr>
      </w:pPr>
    </w:p>
    <w:p>
      <w:pPr>
        <w:jc w:val="both"/>
        <w:ind w:right="4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54" w:lineRule="exact"/>
        <w:rPr>
          <w:sz w:val="20"/>
          <w:szCs w:val="20"/>
          <w:color w:val="auto"/>
        </w:rPr>
      </w:pPr>
    </w:p>
    <w:p>
      <w:pPr>
        <w:ind w:right="80" w:firstLine="10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329"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60"/>
          </w:cols>
          <w:pgMar w:left="220" w:top="510" w:right="219" w:bottom="1440" w:gutter="0" w:footer="0" w:header="0"/>
        </w:sectPr>
      </w:pPr>
    </w:p>
    <w:bookmarkStart w:id="21" w:name="page22"/>
    <w:bookmarkEnd w:id="21"/>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181" w:lineRule="exact"/>
        <w:rPr>
          <w:sz w:val="20"/>
          <w:szCs w:val="20"/>
          <w:color w:val="auto"/>
        </w:rPr>
      </w:pPr>
    </w:p>
    <w:p>
      <w:pPr>
        <w:ind w:right="60" w:firstLine="1063"/>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Base Rate</w:t>
      </w:r>
      <w:r>
        <w:rPr>
          <w:rFonts w:ascii="Arial" w:cs="Arial" w:eastAsia="Arial" w:hAnsi="Arial"/>
          <w:sz w:val="17"/>
          <w:szCs w:val="17"/>
          <w:color w:val="auto"/>
        </w:rPr>
        <w:t>” means, with respect to each day during each Interest Period pertaining to a Eurocurrency Loan, the London interbank offered rate as administered by the ICE Benchmark Administration (or any other Person that takes over the administration of such rate) for the applicable Currency for a period equal to such Interest Period commencing on the first day of such Interest Period as displayed on page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w:t>
      </w:r>
      <w:r>
        <w:rPr>
          <w:rFonts w:ascii="Arial" w:cs="Arial" w:eastAsia="Arial" w:hAnsi="Arial"/>
          <w:sz w:val="17"/>
          <w:szCs w:val="17"/>
          <w:u w:val="single" w:color="auto"/>
          <w:color w:val="auto"/>
        </w:rPr>
        <w:t>Screen Rate</w:t>
      </w:r>
      <w:r>
        <w:rPr>
          <w:rFonts w:ascii="Arial" w:cs="Arial" w:eastAsia="Arial" w:hAnsi="Arial"/>
          <w:sz w:val="17"/>
          <w:szCs w:val="17"/>
          <w:color w:val="auto"/>
        </w:rPr>
        <w:t>”) as of 11:00 A.M., London time, on the Quotation Date; provided, that, if the Screen Rate shall not be available at such time for such Interest Period (an “</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xml:space="preserve">”) with respect to the applicable Currency, then the Eurocurrency Base Rate shall be the Interpolated Rate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Screen Rate shall be less than zero, such rate shall be deemed to be zero for purposes of this Agreement. “</w:t>
      </w:r>
      <w:r>
        <w:rPr>
          <w:rFonts w:ascii="Arial" w:cs="Arial" w:eastAsia="Arial" w:hAnsi="Arial"/>
          <w:sz w:val="17"/>
          <w:szCs w:val="17"/>
          <w:u w:val="single" w:color="auto"/>
          <w:color w:val="auto"/>
        </w:rPr>
        <w:t>Interpolated Rate</w:t>
      </w:r>
      <w:r>
        <w:rPr>
          <w:rFonts w:ascii="Arial" w:cs="Arial" w:eastAsia="Arial" w:hAnsi="Arial"/>
          <w:sz w:val="17"/>
          <w:szCs w:val="17"/>
          <w:color w:val="auto"/>
        </w:rPr>
        <w:t>”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the applicable Currency) that is shorter than the Impacted Interest Period and (b) the Screen Rate for the shortest period (for which that Screen Rate is available for the applicable Currency) that exceeds the Impacted Interest Period, in each case, at such time, provided that if the Interpolated Rate shall be less than zero, such rate shall be deemed to be zero for purposes of this Agreement.</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Competitive Loans</w:t>
      </w:r>
      <w:r>
        <w:rPr>
          <w:rFonts w:ascii="Arial" w:cs="Arial" w:eastAsia="Arial" w:hAnsi="Arial"/>
          <w:sz w:val="16"/>
          <w:szCs w:val="16"/>
          <w:color w:val="auto"/>
        </w:rPr>
        <w:t>” means Competitive Loans bearing interest at a rate determined by reference to the Eurocurrency Rate.</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181" w:lineRule="exact"/>
        <w:rPr>
          <w:sz w:val="20"/>
          <w:szCs w:val="20"/>
          <w:color w:val="auto"/>
        </w:rPr>
      </w:pPr>
    </w:p>
    <w:p>
      <w:pPr>
        <w:ind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19685</wp:posOffset>
            </wp:positionV>
            <wp:extent cx="32346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4690" cy="6985"/>
                    </a:xfrm>
                    <a:prstGeom prst="rect">
                      <a:avLst/>
                    </a:prstGeom>
                    <a:noFill/>
                  </pic:spPr>
                </pic:pic>
              </a:graphicData>
            </a:graphic>
          </wp:anchor>
        </w:drawing>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 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19685</wp:posOffset>
            </wp:positionV>
            <wp:extent cx="32346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4690" cy="6985"/>
                    </a:xfrm>
                    <a:prstGeom prst="rect">
                      <a:avLst/>
                    </a:prstGeom>
                    <a:noFill/>
                  </pic:spPr>
                </pic:pic>
              </a:graphicData>
            </a:graphic>
          </wp:anchor>
        </w:drawing>
      </w:r>
    </w:p>
    <w:p>
      <w:pPr>
        <w:spacing w:after="0" w:line="294" w:lineRule="exact"/>
        <w:rPr>
          <w:sz w:val="20"/>
          <w:szCs w:val="20"/>
          <w:color w:val="auto"/>
        </w:rPr>
      </w:pPr>
    </w:p>
    <w:p>
      <w:pPr>
        <w:ind w:right="180" w:firstLine="10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33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20" w:top="510" w:right="259" w:bottom="1440" w:gutter="0" w:footer="0" w:header="0"/>
        </w:sectPr>
      </w:pPr>
    </w:p>
    <w:bookmarkStart w:id="22" w:name="page23"/>
    <w:bookmarkEnd w:id="22"/>
    <w:p>
      <w:pPr>
        <w:ind w:right="60" w:firstLine="106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42" w:lineRule="exact"/>
        <w:rPr>
          <w:sz w:val="20"/>
          <w:szCs w:val="20"/>
          <w:color w:val="auto"/>
        </w:rPr>
      </w:pPr>
    </w:p>
    <w:p>
      <w:pPr>
        <w:ind w:right="1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8.1,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181" w:lineRule="exact"/>
        <w:rPr>
          <w:sz w:val="20"/>
          <w:szCs w:val="20"/>
          <w:color w:val="auto"/>
        </w:rPr>
      </w:pPr>
    </w:p>
    <w:p>
      <w:pPr>
        <w:ind w:firstLine="10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 (ii) Brazilian Reais, the exchange rate (</w:t>
      </w:r>
      <w:r>
        <w:rPr>
          <w:rFonts w:ascii="Arial" w:cs="Arial" w:eastAsia="Arial" w:hAnsi="Arial"/>
          <w:sz w:val="16"/>
          <w:szCs w:val="16"/>
          <w:i w:val="1"/>
          <w:iCs w:val="1"/>
          <w:color w:val="auto"/>
        </w:rPr>
        <w:t>taxa de</w:t>
      </w:r>
      <w:r>
        <w:rPr>
          <w:rFonts w:ascii="Arial" w:cs="Arial" w:eastAsia="Arial" w:hAnsi="Arial"/>
          <w:sz w:val="16"/>
          <w:szCs w:val="16"/>
          <w:color w:val="auto"/>
        </w:rPr>
        <w:t xml:space="preserve"> câmbio) at which such currency may be exchanged into Dollars disclosed by the Central Bank of Brazil on its website (which, at the date hereof, is located at http://www.bcb.gov.br/?txcambio), under transaction “Cotações e Boletins” option “Cotações de fechamento de todas as moedas em uma data”, “Venda”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Local Time, on such day for the purchase of Dollars with such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36" w:lineRule="exact"/>
        <w:rPr>
          <w:sz w:val="20"/>
          <w:szCs w:val="20"/>
          <w:color w:val="auto"/>
        </w:rPr>
      </w:pPr>
    </w:p>
    <w:p>
      <w:pPr>
        <w:ind w:right="40" w:firstLine="10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contract, agreement, instrument, indenture or other Contractual Obligation shall not have been entered into in contemplation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 (f) each Finance Subsidiary of the Company and (g) each Subsidiary that is a dealership.</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has the meaning assigned to such term in Section 3.11.</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w:t>
      </w:r>
      <w:r>
        <w:rPr>
          <w:rFonts w:ascii="Arial" w:cs="Arial" w:eastAsia="Arial" w:hAnsi="Arial"/>
          <w:sz w:val="18"/>
          <w:szCs w:val="18"/>
          <w:color w:val="auto"/>
        </w:rPr>
        <w:t>” means any “Loan” under and as defined in the Existing Three Year Credit Agreement.</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60"/>
          </w:cols>
          <w:pgMar w:left="220" w:top="510" w:right="219" w:bottom="1440" w:gutter="0" w:footer="0" w:header="0"/>
        </w:sectPr>
      </w:pPr>
    </w:p>
    <w:bookmarkStart w:id="23" w:name="page24"/>
    <w:bookmarkEnd w:id="23"/>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Required Lenders</w:t>
      </w:r>
      <w:r>
        <w:rPr>
          <w:rFonts w:ascii="Arial" w:cs="Arial" w:eastAsia="Arial" w:hAnsi="Arial"/>
          <w:sz w:val="18"/>
          <w:szCs w:val="18"/>
          <w:color w:val="auto"/>
        </w:rPr>
        <w:t>” means the “Required Lenders” under and as defined in the Existing Three Year Credit Agreement.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Secured Obligations</w:t>
      </w:r>
      <w:r>
        <w:rPr>
          <w:rFonts w:ascii="Arial" w:cs="Arial" w:eastAsia="Arial" w:hAnsi="Arial"/>
          <w:sz w:val="18"/>
          <w:szCs w:val="18"/>
          <w:color w:val="auto"/>
        </w:rPr>
        <w:t>” shall mean the “Secured Obligations”, as such term is defined in the Collateral Trust Agreement.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Three Year Credit Agreement</w:t>
      </w:r>
      <w:r>
        <w:rPr>
          <w:rFonts w:ascii="Arial" w:cs="Arial" w:eastAsia="Arial" w:hAnsi="Arial"/>
          <w:sz w:val="18"/>
          <w:szCs w:val="18"/>
          <w:color w:val="auto"/>
        </w:rPr>
        <w:t>” has the meaning assigned to such term in the recitals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2.32(a).</w:t>
      </w:r>
    </w:p>
    <w:p>
      <w:pPr>
        <w:spacing w:after="0" w:line="181" w:lineRule="exact"/>
        <w:rPr>
          <w:sz w:val="20"/>
          <w:szCs w:val="20"/>
          <w:color w:val="auto"/>
        </w:rPr>
      </w:pPr>
    </w:p>
    <w:p>
      <w:pPr>
        <w:ind w:right="100" w:firstLine="106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Extensions of Credit</w:t>
      </w:r>
      <w:r>
        <w:rPr>
          <w:rFonts w:ascii="Arial" w:cs="Arial" w:eastAsia="Arial" w:hAnsi="Arial"/>
          <w:sz w:val="17"/>
          <w:szCs w:val="17"/>
          <w:color w:val="auto"/>
        </w:rPr>
        <w:t>” means, (a) as to any Brazilian Lender, such Lender’s Brazilian Extensions of Credit, (b) as to any Domestic Lender, such Lender’s Domestic Extensions of Credit, (c) as to any L/C Tranche Lender, such Lender’s L/C Tranche Extensions of Credit and (d)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42"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each of (a) the Brazilian Facility, (b) the Domestic Facility, (c) the L/C Tranche Facility, (d) the Multicurrency Facility, (e) any New Local Facility and (f) any Incremental Facility.</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2.13(a).</w:t>
      </w:r>
    </w:p>
    <w:p>
      <w:pPr>
        <w:spacing w:after="0" w:line="181" w:lineRule="exact"/>
        <w:rPr>
          <w:sz w:val="20"/>
          <w:szCs w:val="20"/>
          <w:color w:val="auto"/>
        </w:rPr>
      </w:pPr>
    </w:p>
    <w:p>
      <w:pPr>
        <w:jc w:val="both"/>
        <w:ind w:right="2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xml:space="preserve">” means, for any day relating to each of the Domestic Facility and the Multicurrency Facility, with respect to the Facility Fees payable hereunder, the applicable rate per annum set forth under the column heading “Facility Fee Rate” in the Applicable Pricing Grid, based upon the Facility Rating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the time that the Company has delivered Facility Ratings pursuant to Section 6.10, the Facility Fee Rate shall be [***] per annum.</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by Moody’s, S&amp;P or Fitch, as applicable, for the Facilities provided hereunder.</w:t>
      </w:r>
    </w:p>
    <w:p>
      <w:pPr>
        <w:spacing w:after="0" w:line="192" w:lineRule="exact"/>
        <w:rPr>
          <w:sz w:val="20"/>
          <w:szCs w:val="20"/>
          <w:color w:val="auto"/>
        </w:rPr>
      </w:pPr>
    </w:p>
    <w:p>
      <w:pPr>
        <w:ind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60"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the Administrative Agent from three federal funds brokers of recognized standing selected by it.</w:t>
      </w:r>
    </w:p>
    <w:p>
      <w:pPr>
        <w:spacing w:after="0" w:line="156" w:lineRule="exact"/>
        <w:rPr>
          <w:sz w:val="20"/>
          <w:szCs w:val="20"/>
          <w:color w:val="auto"/>
        </w:rPr>
      </w:pPr>
    </w:p>
    <w:p>
      <w:pPr>
        <w:ind w:right="2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20" w:top="510" w:right="279" w:bottom="1440" w:gutter="0" w:footer="0" w:header="0"/>
        </w:sectPr>
      </w:pPr>
    </w:p>
    <w:bookmarkStart w:id="24" w:name="page25"/>
    <w:bookmarkEnd w:id="24"/>
    <w:p>
      <w:pPr>
        <w:ind w:right="6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 or Collateralized).</w:t>
      </w:r>
    </w:p>
    <w:p>
      <w:pPr>
        <w:spacing w:after="0" w:line="156"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Subsidiary</w:t>
      </w:r>
      <w:r>
        <w:rPr>
          <w:rFonts w:ascii="Arial" w:cs="Arial" w:eastAsia="Arial" w:hAnsi="Arial"/>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56" w:lineRule="exact"/>
        <w:rPr>
          <w:sz w:val="20"/>
          <w:szCs w:val="20"/>
          <w:color w:val="auto"/>
        </w:rPr>
      </w:pPr>
    </w:p>
    <w:p>
      <w:pPr>
        <w:ind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Quarter 2014 10-Q</w:t>
      </w:r>
      <w:r>
        <w:rPr>
          <w:rFonts w:ascii="Arial" w:cs="Arial" w:eastAsia="Arial" w:hAnsi="Arial"/>
          <w:sz w:val="18"/>
          <w:szCs w:val="18"/>
          <w:color w:val="auto"/>
        </w:rPr>
        <w:t>” has the meaning assigned to such term in Section 4.1.</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181"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44" w:lineRule="exact"/>
        <w:rPr>
          <w:sz w:val="20"/>
          <w:szCs w:val="20"/>
          <w:color w:val="auto"/>
        </w:rPr>
      </w:pPr>
    </w:p>
    <w:p>
      <w:pPr>
        <w:ind w:right="3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181"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of one or more Foreign Subsidiaries.</w:t>
      </w:r>
    </w:p>
    <w:p>
      <w:pPr>
        <w:spacing w:after="0" w:line="144" w:lineRule="exact"/>
        <w:rPr>
          <w:sz w:val="20"/>
          <w:szCs w:val="20"/>
          <w:color w:val="auto"/>
        </w:rPr>
      </w:pPr>
    </w:p>
    <w:p>
      <w:pPr>
        <w:ind w:right="28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has the meaning assigned to such term in the recitals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GMETC</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20" w:top="510" w:right="259" w:bottom="1440" w:gutter="0" w:footer="0" w:header="0"/>
        </w:sectPr>
      </w:pPr>
    </w:p>
    <w:bookmarkStart w:id="25" w:name="page26"/>
    <w:bookmarkEnd w:id="25"/>
    <w:p>
      <w:pPr>
        <w:ind w:right="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guarantee agreement to be executed and delivered by the Company, substantially in the form of Exhibit A.</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181" w:lineRule="exact"/>
        <w:rPr>
          <w:sz w:val="20"/>
          <w:szCs w:val="20"/>
          <w:color w:val="auto"/>
        </w:rPr>
      </w:pPr>
    </w:p>
    <w:p>
      <w:pPr>
        <w:ind w:firstLine="1063"/>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42" w:lineRule="exact"/>
        <w:rPr>
          <w:sz w:val="20"/>
          <w:szCs w:val="20"/>
          <w:color w:val="auto"/>
        </w:rPr>
      </w:pPr>
    </w:p>
    <w:p>
      <w:pPr>
        <w:ind w:right="100" w:firstLine="106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Reinstatement Date</w:t>
      </w:r>
      <w:r>
        <w:rPr>
          <w:rFonts w:ascii="Arial" w:cs="Arial" w:eastAsia="Arial" w:hAnsi="Arial"/>
          <w:sz w:val="16"/>
          <w:szCs w:val="16"/>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33" w:lineRule="exact"/>
        <w:rPr>
          <w:sz w:val="20"/>
          <w:szCs w:val="20"/>
          <w:color w:val="auto"/>
        </w:rPr>
      </w:pPr>
    </w:p>
    <w:p>
      <w:pPr>
        <w:ind w:right="140" w:firstLine="106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w:t>
      </w:r>
    </w:p>
    <w:p>
      <w:pPr>
        <w:spacing w:after="0" w:line="327"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0"/>
          </w:cols>
          <w:pgMar w:left="220" w:top="510" w:right="239" w:bottom="1440" w:gutter="0" w:footer="0" w:header="0"/>
        </w:sectPr>
      </w:pPr>
    </w:p>
    <w:bookmarkStart w:id="26" w:name="page27"/>
    <w:bookmarkEnd w:id="26"/>
    <w:p>
      <w:pPr>
        <w:spacing w:after="0" w:line="248" w:lineRule="auto"/>
        <w:rPr>
          <w:sz w:val="20"/>
          <w:szCs w:val="20"/>
          <w:color w:val="auto"/>
        </w:rPr>
      </w:pPr>
      <w:r>
        <w:rPr>
          <w:rFonts w:ascii="Arial" w:cs="Arial" w:eastAsia="Arial" w:hAnsi="Arial"/>
          <w:sz w:val="18"/>
          <w:szCs w:val="18"/>
          <w:color w:val="auto"/>
        </w:rPr>
        <w:t>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60" w:lineRule="exact"/>
        <w:rPr>
          <w:sz w:val="20"/>
          <w:szCs w:val="20"/>
          <w:color w:val="auto"/>
        </w:rPr>
      </w:pPr>
    </w:p>
    <w:p>
      <w:pPr>
        <w:jc w:val="both"/>
        <w:ind w:right="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the Company (with respect to the Obligations and Ancillary Facility Outstandings of any Subsidiary Borrower or Ancillary Borrower, as applicable) and, during any Reinstated Guarantee Period, the Subsidiary Guarantors. For the avoidance of doubt, GM Holdings does not and shall not constitute a Guarantor.</w:t>
      </w:r>
    </w:p>
    <w:p>
      <w:pPr>
        <w:spacing w:after="0" w:line="154" w:lineRule="exact"/>
        <w:rPr>
          <w:sz w:val="20"/>
          <w:szCs w:val="20"/>
          <w:color w:val="auto"/>
        </w:rPr>
      </w:pPr>
    </w:p>
    <w:p>
      <w:pPr>
        <w:ind w:right="100" w:firstLine="10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set forth in the definition of Eurocurrency Base Rate.</w:t>
      </w:r>
    </w:p>
    <w:p>
      <w:pPr>
        <w:spacing w:after="0" w:line="181" w:lineRule="exact"/>
        <w:rPr>
          <w:sz w:val="20"/>
          <w:szCs w:val="20"/>
          <w:color w:val="auto"/>
        </w:rPr>
      </w:pPr>
    </w:p>
    <w:p>
      <w:pPr>
        <w:ind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56" w:lineRule="exact"/>
        <w:rPr>
          <w:sz w:val="20"/>
          <w:szCs w:val="20"/>
          <w:color w:val="auto"/>
        </w:rPr>
      </w:pPr>
    </w:p>
    <w:p>
      <w:pPr>
        <w:ind w:right="5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means any series of Incremental Commitments (other than any Commitment Increase) and the extensions of credit thereunder as provided in any Incremental Loan Activation Notice.</w:t>
      </w:r>
    </w:p>
    <w:p>
      <w:pPr>
        <w:spacing w:after="0" w:line="144" w:lineRule="exact"/>
        <w:rPr>
          <w:sz w:val="20"/>
          <w:szCs w:val="20"/>
          <w:color w:val="auto"/>
        </w:rPr>
      </w:pPr>
    </w:p>
    <w:p>
      <w:pPr>
        <w:ind w:right="440"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Closing Date</w:t>
      </w:r>
      <w:r>
        <w:rPr>
          <w:rFonts w:ascii="Arial" w:cs="Arial" w:eastAsia="Arial" w:hAnsi="Arial"/>
          <w:sz w:val="17"/>
          <w:szCs w:val="17"/>
          <w:color w:val="auto"/>
        </w:rPr>
        <w:t>” means, as to any Incremental Facility, the date (which shall be a Business Day) specified in the related Incremental Loan Activation Notice as the first date on which Incremental Loans will be made available thereunder.</w:t>
      </w:r>
    </w:p>
    <w:p>
      <w:pPr>
        <w:spacing w:after="0" w:line="121" w:lineRule="exact"/>
        <w:rPr>
          <w:sz w:val="20"/>
          <w:szCs w:val="20"/>
          <w:color w:val="auto"/>
        </w:rPr>
      </w:pPr>
    </w:p>
    <w:p>
      <w:pPr>
        <w:ind w:right="10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Lender</w:t>
      </w:r>
      <w:r>
        <w:rPr>
          <w:rFonts w:ascii="Arial" w:cs="Arial" w:eastAsia="Arial" w:hAnsi="Arial"/>
          <w:sz w:val="16"/>
          <w:szCs w:val="16"/>
          <w:color w:val="auto"/>
        </w:rPr>
        <w:t>” means (a) any Lender designated by the Company (in the case of a Commitment Increase with respect to the L/C Tranche Facility, with the consent of each Material Issuing Lender (unless such Lender is (A) an L/C Tranche Lender or (B) any other bank, financial institution or</w:t>
      </w:r>
    </w:p>
    <w:p>
      <w:pPr>
        <w:spacing w:after="0" w:line="292"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20" w:top="510" w:right="299" w:bottom="1440" w:gutter="0" w:footer="0" w:header="0"/>
        </w:sectPr>
      </w:pPr>
    </w:p>
    <w:bookmarkStart w:id="27" w:name="page28"/>
    <w:bookmarkEnd w:id="27"/>
    <w:p>
      <w:pPr>
        <w:ind w:right="60"/>
        <w:spacing w:after="0" w:line="265" w:lineRule="auto"/>
        <w:rPr>
          <w:sz w:val="20"/>
          <w:szCs w:val="20"/>
          <w:color w:val="auto"/>
        </w:rPr>
      </w:pPr>
      <w:r>
        <w:rPr>
          <w:rFonts w:ascii="Arial" w:cs="Arial" w:eastAsia="Arial" w:hAnsi="Arial"/>
          <w:sz w:val="17"/>
          <w:szCs w:val="17"/>
          <w:color w:val="auto"/>
        </w:rPr>
        <w:t>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L/C Tranche Facility, each Material Issuing Lender at such time (such consents not to be unreasonably withheld), and (c) each Lender which has made, or acquired pursuant to an assignment made in accordance with Section 10.6, an Incremental Commitment.</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Activation Notice</w:t>
      </w:r>
      <w:r>
        <w:rPr>
          <w:rFonts w:ascii="Arial" w:cs="Arial" w:eastAsia="Arial" w:hAnsi="Arial"/>
          <w:sz w:val="18"/>
          <w:szCs w:val="18"/>
          <w:color w:val="auto"/>
        </w:rPr>
        <w:t>” means a notice substantially in the form of Exhibit G.</w:t>
      </w:r>
    </w:p>
    <w:p>
      <w:pPr>
        <w:spacing w:after="0" w:line="181" w:lineRule="exact"/>
        <w:rPr>
          <w:sz w:val="20"/>
          <w:szCs w:val="20"/>
          <w:color w:val="auto"/>
        </w:rPr>
      </w:pPr>
    </w:p>
    <w:p>
      <w:pPr>
        <w:ind w:right="2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Maturity Date</w:t>
      </w:r>
      <w:r>
        <w:rPr>
          <w:rFonts w:ascii="Arial" w:cs="Arial" w:eastAsia="Arial" w:hAnsi="Arial"/>
          <w:sz w:val="18"/>
          <w:szCs w:val="18"/>
          <w:color w:val="auto"/>
        </w:rPr>
        <w:t>” means, as to any Incremental Facility, the maturity date specified in the Incremental Loan Activation Notice relating thereto.</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has the meaning assigned to such term in Section 2.31(b).</w:t>
      </w:r>
    </w:p>
    <w:p>
      <w:pPr>
        <w:spacing w:after="0" w:line="181" w:lineRule="exact"/>
        <w:rPr>
          <w:sz w:val="20"/>
          <w:szCs w:val="20"/>
          <w:color w:val="auto"/>
        </w:rPr>
      </w:pPr>
    </w:p>
    <w:p>
      <w:pPr>
        <w:ind w:firstLine="10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181" w:lineRule="exact"/>
        <w:rPr>
          <w:sz w:val="20"/>
          <w:szCs w:val="20"/>
          <w:color w:val="auto"/>
        </w:rPr>
      </w:pPr>
    </w:p>
    <w:p>
      <w:pPr>
        <w:ind w:right="100" w:firstLine="1063"/>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Assignee</w:t>
      </w:r>
      <w:r>
        <w:rPr>
          <w:rFonts w:ascii="Arial" w:cs="Arial" w:eastAsia="Arial" w:hAnsi="Arial"/>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0"/>
          </w:cols>
          <w:pgMar w:left="220" w:top="510" w:right="239" w:bottom="1440" w:gutter="0" w:footer="0" w:header="0"/>
        </w:sectPr>
      </w:pPr>
    </w:p>
    <w:bookmarkStart w:id="28" w:name="page29"/>
    <w:bookmarkEnd w:id="28"/>
    <w:p>
      <w:pPr>
        <w:ind w:right="180" w:firstLine="106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Participant</w:t>
      </w:r>
      <w:r>
        <w:rPr>
          <w:rFonts w:ascii="Arial" w:cs="Arial" w:eastAsia="Arial" w:hAnsi="Arial"/>
          <w:sz w:val="16"/>
          <w:szCs w:val="16"/>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means each Subsidiary listed on Schedule 1.1B.</w:t>
      </w:r>
    </w:p>
    <w:p>
      <w:pPr>
        <w:spacing w:after="0" w:line="181" w:lineRule="exact"/>
        <w:rPr>
          <w:sz w:val="20"/>
          <w:szCs w:val="20"/>
          <w:color w:val="auto"/>
        </w:rPr>
      </w:pPr>
    </w:p>
    <w:p>
      <w:pPr>
        <w:ind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56" w:lineRule="exact"/>
        <w:rPr>
          <w:sz w:val="20"/>
          <w:szCs w:val="20"/>
          <w:color w:val="auto"/>
        </w:rPr>
      </w:pPr>
    </w:p>
    <w:p>
      <w:pPr>
        <w:ind w:right="140"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60" w:lineRule="exact"/>
        <w:rPr>
          <w:sz w:val="20"/>
          <w:szCs w:val="20"/>
          <w:color w:val="auto"/>
        </w:rPr>
      </w:pPr>
    </w:p>
    <w:p>
      <w:pPr>
        <w:ind w:right="20" w:firstLine="10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as to any Eurocurrency Loan (i) initially, the period commencing on the borrowing or conversion date, as the case may be, with respect to such Loan and ending one, two, three or six (or, if agreed to by all Lenders under the relevant Facility, twelve) months (or additionally,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two, three or six (or, if agreed to by all Lenders under the relevant Facility, twelve) months (or additionally,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135" w:lineRule="exact"/>
        <w:rPr>
          <w:sz w:val="20"/>
          <w:szCs w:val="20"/>
          <w:color w:val="auto"/>
        </w:rPr>
      </w:pPr>
    </w:p>
    <w:p>
      <w:pPr>
        <w:ind w:left="1080" w:right="420" w:firstLine="523"/>
        <w:spacing w:after="0" w:line="307" w:lineRule="auto"/>
        <w:tabs>
          <w:tab w:leader="none" w:pos="2005"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13" w:lineRule="exact"/>
        <w:rPr>
          <w:rFonts w:ascii="Arial" w:cs="Arial" w:eastAsia="Arial" w:hAnsi="Arial"/>
          <w:sz w:val="16"/>
          <w:szCs w:val="16"/>
          <w:color w:val="auto"/>
        </w:rPr>
      </w:pPr>
    </w:p>
    <w:p>
      <w:pPr>
        <w:ind w:left="1080" w:right="60" w:firstLine="523"/>
        <w:spacing w:after="0" w:line="276" w:lineRule="auto"/>
        <w:tabs>
          <w:tab w:leader="none" w:pos="19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or relevant Subsidiary Borrower may not select an Interest Period under a particular Facility that would extend beyond the earliest Termination Date then in effect for such Facility; and</w:t>
      </w:r>
    </w:p>
    <w:p>
      <w:pPr>
        <w:spacing w:after="0" w:line="327"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60"/>
          </w:cols>
          <w:pgMar w:left="220" w:top="510" w:right="219" w:bottom="1440" w:gutter="0" w:footer="0" w:header="0"/>
        </w:sectPr>
      </w:pPr>
    </w:p>
    <w:bookmarkStart w:id="29" w:name="page30"/>
    <w:bookmarkEnd w:id="29"/>
    <w:p>
      <w:pPr>
        <w:jc w:val="both"/>
        <w:ind w:left="1080" w:right="60" w:firstLine="523"/>
        <w:spacing w:after="0" w:line="260" w:lineRule="auto"/>
        <w:tabs>
          <w:tab w:leader="none" w:pos="19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81" w:lineRule="exact"/>
        <w:rPr>
          <w:sz w:val="20"/>
          <w:szCs w:val="20"/>
          <w:color w:val="auto"/>
        </w:rPr>
      </w:pPr>
    </w:p>
    <w:p>
      <w:pPr>
        <w:ind w:right="2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(1998), International Chamber of Commerce Publication No. 590 and any subsequent revision thereof adhered to by the Issuing Lenders.</w:t>
      </w:r>
    </w:p>
    <w:p>
      <w:pPr>
        <w:spacing w:after="0" w:line="144" w:lineRule="exact"/>
        <w:rPr>
          <w:sz w:val="20"/>
          <w:szCs w:val="20"/>
          <w:color w:val="auto"/>
        </w:rPr>
      </w:pPr>
    </w:p>
    <w:p>
      <w:pPr>
        <w:ind w:right="1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with respect to a Letter of Credit, the Lender or the Applicable Lending Office thereof that is requested to issue, or that issues, such Letter of Credit pursuant to an L/C Issuing Commitment.</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means the official currency of Japan.</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Fee Letter</w:t>
      </w:r>
      <w:r>
        <w:rPr>
          <w:rFonts w:ascii="Arial" w:cs="Arial" w:eastAsia="Arial" w:hAnsi="Arial"/>
          <w:sz w:val="16"/>
          <w:szCs w:val="16"/>
          <w:color w:val="auto"/>
        </w:rPr>
        <w:t>” means that certain fee letter, dated as of the date hereof, among the Company, each L/C Tranche Lender and each Issuing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167" w:lineRule="exact"/>
        <w:rPr>
          <w:sz w:val="20"/>
          <w:szCs w:val="20"/>
          <w:color w:val="auto"/>
        </w:rPr>
      </w:pPr>
    </w:p>
    <w:p>
      <w:pPr>
        <w:ind w:right="40"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Issuing Commitment</w:t>
      </w:r>
      <w:r>
        <w:rPr>
          <w:rFonts w:ascii="Arial" w:cs="Arial" w:eastAsia="Arial" w:hAnsi="Arial"/>
          <w:sz w:val="18"/>
          <w:szCs w:val="18"/>
          <w:color w:val="auto"/>
        </w:rPr>
        <w:t xml:space="preserve">” means, as to any L/C Tranche Lender (or Applicable Lending Office thereof), the obligation of such Person to issue Letters of Credit pursuant to Section 3 (including any Existing Letters of Credit issued by such L/C Tranche Lender) in an aggregate Outstanding Amount at any time not to exceed the amount set forth under the heading “L/C Issuing Commitment” opposite such Person’s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and Assumption pursuant to which such Lender becomes a party thereto, in each case, as the same may be changed from time to time pursuant to the terms hereof, including Section 3.10.</w:t>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means, at any time, the Dollar Equivalent of the aggregate Outstanding Amount of all Letters of Credit, after giving effect to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Section 3.9.</w:t>
      </w:r>
    </w:p>
    <w:p>
      <w:pPr>
        <w:spacing w:after="0" w:line="167" w:lineRule="exact"/>
        <w:rPr>
          <w:sz w:val="20"/>
          <w:szCs w:val="20"/>
          <w:color w:val="auto"/>
        </w:rPr>
      </w:pPr>
    </w:p>
    <w:p>
      <w:pPr>
        <w:ind w:right="4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issued by an Issuing Lender, the collective reference to all of the L/C Tranche Lenders (other than the Issuing Lender with respect to such Letter of Credit).</w:t>
      </w:r>
    </w:p>
    <w:p>
      <w:pPr>
        <w:spacing w:after="0" w:line="144" w:lineRule="exact"/>
        <w:rPr>
          <w:sz w:val="20"/>
          <w:szCs w:val="20"/>
          <w:color w:val="auto"/>
        </w:rPr>
      </w:pPr>
    </w:p>
    <w:p>
      <w:pPr>
        <w:ind w:right="10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Commitment</w:t>
      </w:r>
      <w:r>
        <w:rPr>
          <w:rFonts w:ascii="Arial" w:cs="Arial" w:eastAsia="Arial" w:hAnsi="Arial"/>
          <w:sz w:val="18"/>
          <w:szCs w:val="18"/>
          <w:color w:val="auto"/>
        </w:rPr>
        <w:t>” means as to any Lender, the obligation of such Lender, if any, to make L/C Tranche Loans and participate in Letters of Credit in an aggregate principal and/or face amount the Dollar Equivalent of which shall not exceed the amount set forth under the heading “L/C Tranche Commitment” opposite such Lender’s name on Schedule 1.1A or in the Assignment and Assumption pursuant to which such Lender became a party hereto, as the same may be changed from time to time pursuant to the terms hereof.</w:t>
      </w:r>
    </w:p>
    <w:p>
      <w:pPr>
        <w:spacing w:after="0" w:line="156" w:lineRule="exact"/>
        <w:rPr>
          <w:sz w:val="20"/>
          <w:szCs w:val="20"/>
          <w:color w:val="auto"/>
        </w:rPr>
      </w:pPr>
    </w:p>
    <w:p>
      <w:pPr>
        <w:jc w:val="both"/>
        <w:ind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Extensions of Credit</w:t>
      </w:r>
      <w:r>
        <w:rPr>
          <w:rFonts w:ascii="Arial" w:cs="Arial" w:eastAsia="Arial" w:hAnsi="Arial"/>
          <w:sz w:val="18"/>
          <w:szCs w:val="18"/>
          <w:color w:val="auto"/>
        </w:rPr>
        <w:t>” means, as to any L/C Tranche Lender at any time, an amount equal to the sum of (a) the Dollar Equivalent of the aggregate principal amount of all L/C Tranche Loans held by such Lender then outstanding and (b) an amount equal to such Lender’s applicable L/C Tranche Percentage of the aggregate L/C Obligations then outstanding.</w:t>
      </w:r>
    </w:p>
    <w:p>
      <w:pPr>
        <w:spacing w:after="0" w:line="347"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40"/>
          </w:cols>
          <w:pgMar w:left="220" w:top="510" w:right="239" w:bottom="1440" w:gutter="0" w:footer="0" w:header="0"/>
        </w:sectPr>
      </w:pPr>
    </w:p>
    <w:bookmarkStart w:id="30" w:name="page31"/>
    <w:bookmarkEnd w:id="30"/>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Facility</w:t>
      </w:r>
      <w:r>
        <w:rPr>
          <w:rFonts w:ascii="Arial" w:cs="Arial" w:eastAsia="Arial" w:hAnsi="Arial"/>
          <w:sz w:val="18"/>
          <w:szCs w:val="18"/>
          <w:color w:val="auto"/>
        </w:rPr>
        <w:t>” means the L/C Tranche Commitments and the extensions of credit made thereunder.</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Lender</w:t>
      </w:r>
      <w:r>
        <w:rPr>
          <w:rFonts w:ascii="Arial" w:cs="Arial" w:eastAsia="Arial" w:hAnsi="Arial"/>
          <w:sz w:val="18"/>
          <w:szCs w:val="18"/>
          <w:color w:val="auto"/>
        </w:rPr>
        <w:t>” means each Lender that has a L/C Tranche Commitment or that holds L/C Tranche Loans.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Loans</w:t>
      </w:r>
      <w:r>
        <w:rPr>
          <w:rFonts w:ascii="Arial" w:cs="Arial" w:eastAsia="Arial" w:hAnsi="Arial"/>
          <w:sz w:val="18"/>
          <w:szCs w:val="18"/>
          <w:color w:val="auto"/>
        </w:rPr>
        <w:t>” has the meaning assigned to such term in Section 2.7(a).</w:t>
      </w:r>
    </w:p>
    <w:p>
      <w:pPr>
        <w:spacing w:after="0" w:line="181" w:lineRule="exact"/>
        <w:rPr>
          <w:sz w:val="20"/>
          <w:szCs w:val="20"/>
          <w:color w:val="auto"/>
        </w:rPr>
      </w:pPr>
    </w:p>
    <w:p>
      <w:pPr>
        <w:ind w:right="100" w:firstLine="10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Tranche Percentage</w:t>
      </w:r>
      <w:r>
        <w:rPr>
          <w:rFonts w:ascii="Arial" w:cs="Arial" w:eastAsia="Arial" w:hAnsi="Arial"/>
          <w:sz w:val="16"/>
          <w:szCs w:val="16"/>
          <w:color w:val="auto"/>
        </w:rPr>
        <w:t>” means as to any L/C Tranche Lender at any time, the percentage which such Lender’s L/C Tranche Commitment then constitutes of the aggregate amount of the L/C Tranche Commitments then in effect or, at any time after all the L/C Tranche Commitments shall have expired or terminated, the percentage which the aggregate Outstanding Amount of L/C Tranche Extensions of Credit of such Lender then outstanding constitutes of the aggregate Outstanding Amount of L/C Tranche Extensions of Credit of the L/C Tranche Lenders then outstanding.</w:t>
      </w:r>
    </w:p>
    <w:p>
      <w:pPr>
        <w:spacing w:after="0" w:line="127" w:lineRule="exact"/>
        <w:rPr>
          <w:sz w:val="20"/>
          <w:szCs w:val="20"/>
          <w:color w:val="auto"/>
        </w:rPr>
      </w:pPr>
    </w:p>
    <w:p>
      <w:pPr>
        <w:ind w:right="120" w:firstLine="1063"/>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62" w:lineRule="exact"/>
        <w:rPr>
          <w:sz w:val="20"/>
          <w:szCs w:val="20"/>
          <w:color w:val="auto"/>
        </w:rPr>
      </w:pPr>
    </w:p>
    <w:p>
      <w:pPr>
        <w:ind w:right="320" w:firstLine="106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has the meaning assigned to such term in the preamble hereto and shall include, individually and in the aggregate, the Brazilian Lenders, the Domestic Lenders, the L/C Tranche Lenders, the Issuing Lenders and the Multicurrency Lenders. To the extent any Incremental Facility or New Local Facility is established, “Lenders” shall, to the extent appropriate, include any Lender under such Facilities.</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has the meaning assigned to such term in Section 3.1(a), after giving effect to Section 3.9.</w:t>
      </w:r>
    </w:p>
    <w:p>
      <w:pPr>
        <w:spacing w:after="0" w:line="181" w:lineRule="exact"/>
        <w:rPr>
          <w:sz w:val="20"/>
          <w:szCs w:val="20"/>
          <w:color w:val="auto"/>
        </w:rPr>
      </w:pPr>
    </w:p>
    <w:p>
      <w:pPr>
        <w:ind w:firstLine="10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Acknowledgment</w:t>
      </w:r>
      <w:r>
        <w:rPr>
          <w:rFonts w:ascii="Arial" w:cs="Arial" w:eastAsia="Arial" w:hAnsi="Arial"/>
          <w:sz w:val="17"/>
          <w:szCs w:val="17"/>
          <w:color w:val="auto"/>
        </w:rPr>
        <w:t xml:space="preserve">” means an acknowledgment signed by any Applicable Lending Office of an Issuing Lender that issues a Letter of Credit, the Applicable Account Party and the Company pursuant to the terms of Section 3.10(b), substantially in the form of Exhibit P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one such acknowledgment shall be required to be executed as between any Applicable Lending Office of an Issuing Lender, the Company and any Applicable Account Party (and shall be delivered in connection with the first issuance of a Letter of Credit by such Applicable Lending Office for the benefit of such Applicable Account Party), unless and until such Applicable Lending Office shall reasonably request an additional acknowledgment be executed to reflect changes to the terms of any Letter of Credit to the extent permitted pursuant to Section 3.12(a)(ii).</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encumbrance.</w:t>
      </w:r>
    </w:p>
    <w:p>
      <w:pPr>
        <w:spacing w:after="0" w:line="167" w:lineRule="exact"/>
        <w:rPr>
          <w:sz w:val="20"/>
          <w:szCs w:val="20"/>
          <w:color w:val="auto"/>
        </w:rPr>
      </w:pPr>
    </w:p>
    <w:p>
      <w:pPr>
        <w:ind w:right="1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L/C Fee Letter, the Brazilian Bank Certificates, the Guarantee, the Notes, each Borrower Joinder Agreement, each Guarantee Joinder and any amendment, waiver, supplement or other modification to any of the foregoing.</w:t>
      </w:r>
    </w:p>
    <w:p>
      <w:pPr>
        <w:spacing w:after="0" w:line="144" w:lineRule="exact"/>
        <w:rPr>
          <w:sz w:val="20"/>
          <w:szCs w:val="20"/>
          <w:color w:val="auto"/>
        </w:rPr>
      </w:pPr>
    </w:p>
    <w:p>
      <w:pPr>
        <w:ind w:right="6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(a) the Company and each Subsidiary Borrower and (b) during any Reinstated Guarantee Period, each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60"/>
          </w:cols>
          <w:pgMar w:left="220" w:top="510" w:right="219" w:bottom="1440" w:gutter="0" w:footer="0" w:header="0"/>
        </w:sectPr>
      </w:pPr>
    </w:p>
    <w:bookmarkStart w:id="31" w:name="page32"/>
    <w:bookmarkEnd w:id="31"/>
    <w:p>
      <w:pPr>
        <w:ind w:right="220"/>
        <w:spacing w:after="0" w:line="263" w:lineRule="auto"/>
        <w:rPr>
          <w:sz w:val="20"/>
          <w:szCs w:val="20"/>
          <w:color w:val="auto"/>
        </w:rPr>
      </w:pPr>
      <w:r>
        <w:rPr>
          <w:rFonts w:ascii="Arial" w:cs="Arial" w:eastAsia="Arial" w:hAnsi="Arial"/>
          <w:sz w:val="18"/>
          <w:szCs w:val="18"/>
          <w:color w:val="auto"/>
        </w:rPr>
        <w:t>“Loan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44" w:lineRule="exact"/>
        <w:rPr>
          <w:sz w:val="20"/>
          <w:szCs w:val="20"/>
          <w:color w:val="auto"/>
        </w:rPr>
      </w:pPr>
    </w:p>
    <w:p>
      <w:pPr>
        <w:ind w:right="18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Brazilian Loans, Domestic Loans, L/C Tranche Loans, Multicurrency Loans and Competitive Loans. To the extent any Incremental Facility or New Local Facility is established, “Loans” shall, to the extent appropriate, include Loans made under such Facilities.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Facility Amendment</w:t>
      </w:r>
      <w:r>
        <w:rPr>
          <w:rFonts w:ascii="Arial" w:cs="Arial" w:eastAsia="Arial" w:hAnsi="Arial"/>
          <w:sz w:val="18"/>
          <w:szCs w:val="18"/>
          <w:color w:val="auto"/>
        </w:rPr>
        <w:t>” has the meaning assigned to such term in Section 2.30(a).</w:t>
      </w:r>
    </w:p>
    <w:p>
      <w:pPr>
        <w:spacing w:after="0" w:line="181" w:lineRule="exact"/>
        <w:rPr>
          <w:sz w:val="20"/>
          <w:szCs w:val="20"/>
          <w:color w:val="auto"/>
        </w:rPr>
      </w:pPr>
    </w:p>
    <w:p>
      <w:pPr>
        <w:ind w:right="20"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or other disbursement denominated in Dollars, (ii) London time in the case of a Loan or other disbursement denominated in an Optional Currency other than Brazilian Reais (or any such other local time as otherwise notified to or communicated by the Administrative Agent) and (iii) São Paulo time in the case of any Loan or other disbursement denominated in Brazilian Reais.</w:t>
      </w:r>
    </w:p>
    <w:p>
      <w:pPr>
        <w:spacing w:after="0" w:line="118" w:lineRule="exact"/>
        <w:rPr>
          <w:sz w:val="20"/>
          <w:szCs w:val="20"/>
          <w:color w:val="auto"/>
        </w:rPr>
      </w:pPr>
    </w:p>
    <w:p>
      <w:pPr>
        <w:ind w:right="2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Facility Lenders</w:t>
      </w:r>
      <w:r>
        <w:rPr>
          <w:rFonts w:ascii="Arial" w:cs="Arial" w:eastAsia="Arial" w:hAnsi="Arial"/>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pacing w:after="0" w:line="154"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w:t>
      </w:r>
      <w:r>
        <w:rPr>
          <w:rFonts w:ascii="Arial" w:cs="Arial" w:eastAsia="Arial" w:hAnsi="Arial"/>
          <w:sz w:val="18"/>
          <w:szCs w:val="18"/>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44" w:lineRule="exact"/>
        <w:rPr>
          <w:sz w:val="20"/>
          <w:szCs w:val="20"/>
          <w:color w:val="auto"/>
        </w:rPr>
      </w:pPr>
    </w:p>
    <w:p>
      <w:pPr>
        <w:ind w:right="40" w:firstLine="1063"/>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59" w:lineRule="exact"/>
        <w:rPr>
          <w:sz w:val="20"/>
          <w:szCs w:val="20"/>
          <w:color w:val="auto"/>
        </w:rPr>
      </w:pPr>
    </w:p>
    <w:p>
      <w:pPr>
        <w:ind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54" w:lineRule="exact"/>
        <w:rPr>
          <w:sz w:val="20"/>
          <w:szCs w:val="20"/>
          <w:color w:val="auto"/>
        </w:rPr>
      </w:pPr>
    </w:p>
    <w:p>
      <w:pPr>
        <w:ind w:right="40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Issuing Lender</w:t>
      </w:r>
      <w:r>
        <w:rPr>
          <w:rFonts w:ascii="Arial" w:cs="Arial" w:eastAsia="Arial" w:hAnsi="Arial"/>
          <w:sz w:val="18"/>
          <w:szCs w:val="18"/>
          <w:color w:val="auto"/>
        </w:rPr>
        <w:t>” means any Issuing Lender with an L/C Issuing Commitment of $200 million or more.</w:t>
      </w:r>
    </w:p>
    <w:p>
      <w:pPr>
        <w:spacing w:after="0" w:line="181" w:lineRule="exact"/>
        <w:rPr>
          <w:sz w:val="20"/>
          <w:szCs w:val="20"/>
          <w:color w:val="auto"/>
        </w:rPr>
      </w:pPr>
    </w:p>
    <w:p>
      <w:pPr>
        <w:ind w:right="1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40"/>
          </w:cols>
          <w:pgMar w:left="220" w:top="510" w:right="239" w:bottom="1440" w:gutter="0" w:footer="0" w:header="0"/>
        </w:sectPr>
      </w:pPr>
    </w:p>
    <w:bookmarkStart w:id="32" w:name="page33"/>
    <w:bookmarkEnd w:id="32"/>
    <w:p>
      <w:pPr>
        <w:ind w:right="60"/>
        <w:spacing w:after="0" w:line="253" w:lineRule="auto"/>
        <w:rPr>
          <w:sz w:val="20"/>
          <w:szCs w:val="20"/>
          <w:color w:val="auto"/>
        </w:rPr>
      </w:pPr>
      <w:r>
        <w:rPr>
          <w:rFonts w:ascii="Arial" w:cs="Arial" w:eastAsia="Arial" w:hAnsi="Arial"/>
          <w:sz w:val="18"/>
          <w:szCs w:val="18"/>
          <w:color w:val="auto"/>
        </w:rPr>
        <w:t>to at least 10% of the Consolidated Total Assets of the Company at such time, as reflected initially in the 10-K filed by the Company on February 6, 2014 and thereafter in the most recent annual consolidated financial statements of the Company delivered or deemed delivered pursuant to Section 6.1 and (b) at all other times, the Company.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181" w:lineRule="exact"/>
        <w:rPr>
          <w:sz w:val="20"/>
          <w:szCs w:val="20"/>
          <w:color w:val="auto"/>
        </w:rPr>
      </w:pPr>
    </w:p>
    <w:p>
      <w:pPr>
        <w:ind w:right="40" w:firstLine="106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Commitment</w:t>
      </w:r>
      <w:r>
        <w:rPr>
          <w:rFonts w:ascii="Arial" w:cs="Arial" w:eastAsia="Arial" w:hAnsi="Arial"/>
          <w:sz w:val="16"/>
          <w:szCs w:val="16"/>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 (including, with respect to any Lender that has utilized its Multicurrency Commitment to provide any Ancillary Facility, other than for purposes of determining the Required Lenders, the Majority Facility Lenders or Sections 9.7 or 10.6, (x) as reduced by such Ancillary Commitment of such Lender then in effect and (y) as increased by any such Ancillary Commitment to the extent such Ancillary Commitment is reduced or cancelled).</w:t>
      </w:r>
    </w:p>
    <w:p>
      <w:pPr>
        <w:spacing w:after="0" w:line="13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Competitive Loan</w:t>
      </w:r>
      <w:r>
        <w:rPr>
          <w:rFonts w:ascii="Arial" w:cs="Arial" w:eastAsia="Arial" w:hAnsi="Arial"/>
          <w:sz w:val="18"/>
          <w:szCs w:val="18"/>
          <w:color w:val="auto"/>
        </w:rPr>
        <w:t>” means a Competitive Loan made under the Multicurrency Facility.</w:t>
      </w:r>
    </w:p>
    <w:p>
      <w:pPr>
        <w:spacing w:after="0" w:line="181" w:lineRule="exact"/>
        <w:rPr>
          <w:sz w:val="20"/>
          <w:szCs w:val="20"/>
          <w:color w:val="auto"/>
        </w:rPr>
      </w:pPr>
    </w:p>
    <w:p>
      <w:pPr>
        <w:ind w:right="5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Extensions of Credit</w:t>
      </w:r>
      <w:r>
        <w:rPr>
          <w:rFonts w:ascii="Arial" w:cs="Arial" w:eastAsia="Arial" w:hAnsi="Arial"/>
          <w:sz w:val="18"/>
          <w:szCs w:val="18"/>
          <w:color w:val="auto"/>
        </w:rPr>
        <w:t>” means, as to any Multicurrency Lender at any time, an amount equal to the Dollar Equivalent of the aggregate principal amount of all Multicurrency Loans held by such Lender then outstanding.</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w:t>
      </w:r>
      <w:r>
        <w:rPr>
          <w:rFonts w:ascii="Arial" w:cs="Arial" w:eastAsia="Arial" w:hAnsi="Arial"/>
          <w:sz w:val="18"/>
          <w:szCs w:val="18"/>
          <w:color w:val="auto"/>
        </w:rPr>
        <w:t>” means the Multicurrency Commitments and the extensions of credit made thereunder.</w:t>
      </w:r>
    </w:p>
    <w:p>
      <w:pPr>
        <w:spacing w:after="0" w:line="181" w:lineRule="exact"/>
        <w:rPr>
          <w:sz w:val="20"/>
          <w:szCs w:val="20"/>
          <w:color w:val="auto"/>
        </w:rPr>
      </w:pPr>
    </w:p>
    <w:p>
      <w:pPr>
        <w:jc w:val="both"/>
        <w:ind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Lender</w:t>
      </w:r>
      <w:r>
        <w:rPr>
          <w:rFonts w:ascii="Arial" w:cs="Arial" w:eastAsia="Arial" w:hAnsi="Arial"/>
          <w:sz w:val="18"/>
          <w:szCs w:val="18"/>
          <w:color w:val="auto"/>
        </w:rPr>
        <w:t>” means each Lender that has a Multicurrency Commitment or that holds Multicurrency Loans or other Loans made under the Multicurrency Facility.</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Loans</w:t>
      </w:r>
      <w:r>
        <w:rPr>
          <w:rFonts w:ascii="Arial" w:cs="Arial" w:eastAsia="Arial" w:hAnsi="Arial"/>
          <w:sz w:val="18"/>
          <w:szCs w:val="18"/>
          <w:color w:val="auto"/>
        </w:rPr>
        <w:t>” has the meaning assigned to such term in Section 2.3.</w:t>
      </w:r>
    </w:p>
    <w:p>
      <w:pPr>
        <w:spacing w:after="0" w:line="181" w:lineRule="exact"/>
        <w:rPr>
          <w:sz w:val="20"/>
          <w:szCs w:val="20"/>
          <w:color w:val="auto"/>
        </w:rPr>
      </w:pPr>
    </w:p>
    <w:p>
      <w:pPr>
        <w:jc w:val="both"/>
        <w:ind w:firstLine="106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Percentage</w:t>
      </w:r>
      <w:r>
        <w:rPr>
          <w:rFonts w:ascii="Arial" w:cs="Arial" w:eastAsia="Arial" w:hAnsi="Arial"/>
          <w:sz w:val="16"/>
          <w:szCs w:val="16"/>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129" w:lineRule="exact"/>
        <w:rPr>
          <w:sz w:val="20"/>
          <w:szCs w:val="20"/>
          <w:color w:val="auto"/>
        </w:rPr>
      </w:pPr>
    </w:p>
    <w:p>
      <w:pPr>
        <w:ind w:right="1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54" w:lineRule="exact"/>
        <w:rPr>
          <w:sz w:val="20"/>
          <w:szCs w:val="20"/>
          <w:color w:val="auto"/>
        </w:rPr>
      </w:pPr>
    </w:p>
    <w:p>
      <w:pPr>
        <w:ind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347"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20" w:top="510" w:right="299" w:bottom="1440" w:gutter="0" w:footer="0" w:header="0"/>
        </w:sectPr>
      </w:pPr>
    </w:p>
    <w:bookmarkStart w:id="33" w:name="page34"/>
    <w:bookmarkEnd w:id="33"/>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w:t>
      </w:r>
      <w:r>
        <w:rPr>
          <w:rFonts w:ascii="Arial" w:cs="Arial" w:eastAsia="Arial" w:hAnsi="Arial"/>
          <w:sz w:val="18"/>
          <w:szCs w:val="18"/>
          <w:color w:val="auto"/>
        </w:rPr>
        <w:t>” has the meaning assigned to such term in Section 2.30(a).</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 Lender</w:t>
      </w:r>
      <w:r>
        <w:rPr>
          <w:rFonts w:ascii="Arial" w:cs="Arial" w:eastAsia="Arial" w:hAnsi="Arial"/>
          <w:sz w:val="18"/>
          <w:szCs w:val="18"/>
          <w:color w:val="auto"/>
        </w:rPr>
        <w:t>” has the meaning assigned to such term in Section 2.30(a).</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2.24(a).</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2.32(b).</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2.24(d).</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2.22(g).</w:t>
      </w:r>
    </w:p>
    <w:p>
      <w:pPr>
        <w:spacing w:after="0" w:line="181" w:lineRule="exact"/>
        <w:rPr>
          <w:sz w:val="20"/>
          <w:szCs w:val="20"/>
          <w:color w:val="auto"/>
        </w:rPr>
      </w:pPr>
    </w:p>
    <w:p>
      <w:pPr>
        <w:ind w:firstLine="10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the Brazilian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Brazilian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181" w:lineRule="exact"/>
        <w:rPr>
          <w:sz w:val="20"/>
          <w:szCs w:val="20"/>
          <w:color w:val="auto"/>
        </w:rPr>
      </w:pPr>
    </w:p>
    <w:p>
      <w:pPr>
        <w:ind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Currency</w:t>
      </w:r>
      <w:r>
        <w:rPr>
          <w:rFonts w:ascii="Arial" w:cs="Arial" w:eastAsia="Arial" w:hAnsi="Arial"/>
          <w:sz w:val="18"/>
          <w:szCs w:val="18"/>
          <w:color w:val="auto"/>
        </w:rPr>
        <w:t>” means, (i) with respect to Loans made under each Facility (other than the Brazilian Facility and the Domestic Facility), at any time, Euro, Pounds Sterling, Japanese Yen and such other currencies which are freely convertible into Dollars and are freely traded and available in the London interbank eurocurrency market with the consent of the Administrative Agent and the Lenders under the applicable Facility and (ii) with respect to Letters of Credit issued under the L/C Tranche Facility, the currencies specified in the L/C Fee Letter.</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181" w:lineRule="exact"/>
        <w:rPr>
          <w:sz w:val="20"/>
          <w:szCs w:val="20"/>
          <w:color w:val="auto"/>
        </w:rPr>
      </w:pPr>
    </w:p>
    <w:p>
      <w:pPr>
        <w:ind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w:t>
      </w:r>
    </w:p>
    <w:p>
      <w:pPr>
        <w:spacing w:after="0" w:line="154" w:lineRule="exact"/>
        <w:rPr>
          <w:sz w:val="20"/>
          <w:szCs w:val="20"/>
          <w:color w:val="auto"/>
        </w:rPr>
      </w:pPr>
    </w:p>
    <w:p>
      <w:pPr>
        <w:ind w:right="100" w:firstLine="106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xml:space="preserve">” means (a) with respect to indebtedness for borrowed money, the aggregate outstanding principal amount thereof, (b) with respect to banker’s acceptances, letters of credit or letters of guarantee, the aggregate undrawn, unexpired face amount thereof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60"/>
          </w:cols>
          <w:pgMar w:left="220" w:top="510" w:right="219" w:bottom="1440" w:gutter="0" w:footer="0" w:header="0"/>
        </w:sectPr>
      </w:pPr>
    </w:p>
    <w:bookmarkStart w:id="34" w:name="page35"/>
    <w:bookmarkEnd w:id="34"/>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w:t>
      </w:r>
    </w:p>
    <w:p>
      <w:pPr>
        <w:spacing w:after="0" w:line="181" w:lineRule="exact"/>
        <w:rPr>
          <w:sz w:val="20"/>
          <w:szCs w:val="20"/>
          <w:color w:val="auto"/>
        </w:rPr>
      </w:pPr>
    </w:p>
    <w:p>
      <w:pPr>
        <w:ind w:right="6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181" w:lineRule="exact"/>
        <w:rPr>
          <w:sz w:val="20"/>
          <w:szCs w:val="20"/>
          <w:color w:val="auto"/>
        </w:rPr>
      </w:pPr>
    </w:p>
    <w:p>
      <w:pPr>
        <w:ind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Percentage</w:t>
      </w:r>
      <w:r>
        <w:rPr>
          <w:rFonts w:ascii="Arial" w:cs="Arial" w:eastAsia="Arial" w:hAnsi="Arial"/>
          <w:sz w:val="16"/>
          <w:szCs w:val="16"/>
          <w:color w:val="auto"/>
        </w:rPr>
        <w:t>” means as to any Lender, the applicable Brazilian Percentage of such Lender, the applicable Domestic Percentage of such Lender, the applicable L/C Tranche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81" w:lineRule="exact"/>
        <w:rPr>
          <w:sz w:val="20"/>
          <w:szCs w:val="20"/>
          <w:color w:val="auto"/>
        </w:rPr>
      </w:pPr>
    </w:p>
    <w:p>
      <w:pPr>
        <w:ind w:left="1080" w:right="80" w:firstLine="523"/>
        <w:spacing w:after="0" w:line="269" w:lineRule="auto"/>
        <w:tabs>
          <w:tab w:leader="none" w:pos="2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that if and to the extent required by GAAP, adequate reserves with respect thereto are maintained on the books of the relevant Person in conformity with GAAP;</w:t>
      </w:r>
    </w:p>
    <w:p>
      <w:pPr>
        <w:spacing w:after="0" w:line="175" w:lineRule="exact"/>
        <w:rPr>
          <w:rFonts w:ascii="Arial" w:cs="Arial" w:eastAsia="Arial" w:hAnsi="Arial"/>
          <w:sz w:val="17"/>
          <w:szCs w:val="17"/>
          <w:color w:val="auto"/>
        </w:rPr>
      </w:pPr>
    </w:p>
    <w:p>
      <w:pPr>
        <w:ind w:left="1080" w:right="40" w:firstLine="523"/>
        <w:spacing w:after="0" w:line="253" w:lineRule="auto"/>
        <w:tabs>
          <w:tab w:leader="none" w:pos="2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87" w:lineRule="exact"/>
        <w:rPr>
          <w:rFonts w:ascii="Arial" w:cs="Arial" w:eastAsia="Arial" w:hAnsi="Arial"/>
          <w:sz w:val="18"/>
          <w:szCs w:val="18"/>
          <w:color w:val="auto"/>
        </w:rPr>
      </w:pPr>
    </w:p>
    <w:p>
      <w:pPr>
        <w:ind w:left="2340" w:hanging="737"/>
        <w:spacing w:after="0"/>
        <w:tabs>
          <w:tab w:leader="none" w:pos="2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213" w:lineRule="exact"/>
        <w:rPr>
          <w:rFonts w:ascii="Arial" w:cs="Arial" w:eastAsia="Arial" w:hAnsi="Arial"/>
          <w:sz w:val="18"/>
          <w:szCs w:val="18"/>
          <w:color w:val="auto"/>
        </w:rPr>
      </w:pPr>
    </w:p>
    <w:p>
      <w:pPr>
        <w:ind w:left="1080" w:right="20" w:firstLine="523"/>
        <w:spacing w:after="0" w:line="253" w:lineRule="auto"/>
        <w:tabs>
          <w:tab w:leader="none" w:pos="2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87" w:lineRule="exact"/>
        <w:rPr>
          <w:rFonts w:ascii="Arial" w:cs="Arial" w:eastAsia="Arial" w:hAnsi="Arial"/>
          <w:sz w:val="18"/>
          <w:szCs w:val="18"/>
          <w:color w:val="auto"/>
        </w:rPr>
      </w:pPr>
    </w:p>
    <w:p>
      <w:pPr>
        <w:ind w:left="1080" w:right="60" w:firstLine="523"/>
        <w:spacing w:after="0" w:line="267" w:lineRule="auto"/>
        <w:tabs>
          <w:tab w:leader="none" w:pos="2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369"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40"/>
          </w:cols>
          <w:pgMar w:left="220" w:top="510" w:right="239" w:bottom="1440" w:gutter="0" w:footer="0" w:header="0"/>
        </w:sectPr>
      </w:pPr>
    </w:p>
    <w:bookmarkStart w:id="35" w:name="page36"/>
    <w:bookmarkEnd w:id="35"/>
    <w:p>
      <w:pPr>
        <w:ind w:left="1080" w:right="500" w:firstLine="523"/>
        <w:spacing w:after="0" w:line="326" w:lineRule="auto"/>
        <w:tabs>
          <w:tab w:leader="none" w:pos="2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31" w:lineRule="exact"/>
        <w:rPr>
          <w:rFonts w:ascii="Arial" w:cs="Arial" w:eastAsia="Arial" w:hAnsi="Arial"/>
          <w:sz w:val="16"/>
          <w:szCs w:val="16"/>
          <w:color w:val="auto"/>
        </w:rPr>
      </w:pPr>
    </w:p>
    <w:p>
      <w:pPr>
        <w:ind w:left="1080" w:right="20" w:firstLine="523"/>
        <w:spacing w:after="0" w:line="247" w:lineRule="auto"/>
        <w:tabs>
          <w:tab w:leader="none" w:pos="2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94" w:lineRule="exact"/>
        <w:rPr>
          <w:rFonts w:ascii="Arial" w:cs="Arial" w:eastAsia="Arial" w:hAnsi="Arial"/>
          <w:sz w:val="18"/>
          <w:szCs w:val="18"/>
          <w:color w:val="auto"/>
        </w:rPr>
      </w:pPr>
    </w:p>
    <w:p>
      <w:pPr>
        <w:jc w:val="both"/>
        <w:ind w:left="1080" w:right="120" w:firstLine="523"/>
        <w:spacing w:after="0" w:line="253" w:lineRule="auto"/>
        <w:tabs>
          <w:tab w:leader="none" w:pos="2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leases entered into by the Company or any Principal Domestic Subsidiary in the ordinary course of business or Liens or filings in connection with sales of accounts, payment intangibles, chattel paper or instruments;</w:t>
      </w:r>
    </w:p>
    <w:p>
      <w:pPr>
        <w:spacing w:after="0" w:line="187" w:lineRule="exact"/>
        <w:rPr>
          <w:rFonts w:ascii="Arial" w:cs="Arial" w:eastAsia="Arial" w:hAnsi="Arial"/>
          <w:sz w:val="18"/>
          <w:szCs w:val="18"/>
          <w:color w:val="auto"/>
        </w:rPr>
      </w:pPr>
    </w:p>
    <w:p>
      <w:pPr>
        <w:ind w:left="1080" w:right="140" w:firstLine="523"/>
        <w:spacing w:after="0" w:line="284" w:lineRule="auto"/>
        <w:tabs>
          <w:tab w:leader="none" w:pos="23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66" w:lineRule="exact"/>
        <w:rPr>
          <w:rFonts w:ascii="Arial" w:cs="Arial" w:eastAsia="Arial" w:hAnsi="Arial"/>
          <w:sz w:val="16"/>
          <w:szCs w:val="16"/>
          <w:color w:val="auto"/>
        </w:rPr>
      </w:pPr>
    </w:p>
    <w:p>
      <w:pPr>
        <w:ind w:left="1080" w:right="60" w:firstLine="523"/>
        <w:spacing w:after="0" w:line="253" w:lineRule="auto"/>
        <w:tabs>
          <w:tab w:leader="none" w:pos="23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listed on Schedule 1.1D,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187" w:lineRule="exact"/>
        <w:rPr>
          <w:rFonts w:ascii="Arial" w:cs="Arial" w:eastAsia="Arial" w:hAnsi="Arial"/>
          <w:sz w:val="18"/>
          <w:szCs w:val="18"/>
          <w:color w:val="auto"/>
        </w:rPr>
      </w:pPr>
    </w:p>
    <w:p>
      <w:pPr>
        <w:ind w:left="1080" w:right="640" w:firstLine="523"/>
        <w:spacing w:after="0" w:line="250" w:lineRule="auto"/>
        <w:tabs>
          <w:tab w:leader="none" w:pos="2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Liens on property or Capital Stock of a Person at the time such Person becomes a Loan Party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Liens are not created, incurred or assumed in connection with, or in contemplation of, such other Person becoming a Subsidiary;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Lien may not extend to any other property owned by the Company or any Principal Domestic Subsidiary;</w:t>
      </w:r>
    </w:p>
    <w:p>
      <w:pPr>
        <w:spacing w:after="0" w:line="189" w:lineRule="exact"/>
        <w:rPr>
          <w:rFonts w:ascii="Arial" w:cs="Arial" w:eastAsia="Arial" w:hAnsi="Arial"/>
          <w:sz w:val="18"/>
          <w:szCs w:val="18"/>
          <w:color w:val="auto"/>
        </w:rPr>
      </w:pPr>
    </w:p>
    <w:p>
      <w:pPr>
        <w:ind w:left="1080" w:firstLine="523"/>
        <w:spacing w:after="0" w:line="269" w:lineRule="auto"/>
        <w:tabs>
          <w:tab w:leader="none" w:pos="231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60"/>
          </w:cols>
          <w:pgMar w:left="220" w:top="510" w:right="219" w:bottom="1440" w:gutter="0" w:footer="0" w:header="0"/>
        </w:sectPr>
      </w:pPr>
    </w:p>
    <w:bookmarkStart w:id="36" w:name="page37"/>
    <w:bookmarkEnd w:id="36"/>
    <w:p>
      <w:pPr>
        <w:ind w:left="1080" w:right="40" w:firstLine="523"/>
        <w:spacing w:after="0" w:line="253" w:lineRule="auto"/>
        <w:tabs>
          <w:tab w:leader="none" w:pos="23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Lien securing the renewal, extension, refinancing, replacing, amending, extending, modifying or refunding of any indebtedness or obligation secured by any Lien permitted by clause (i), (j), (k), (l)or (r) or this clause (m) without any change in the assets subject to such Lien;</w:t>
      </w:r>
    </w:p>
    <w:p>
      <w:pPr>
        <w:spacing w:after="0" w:line="187" w:lineRule="exact"/>
        <w:rPr>
          <w:rFonts w:ascii="Arial" w:cs="Arial" w:eastAsia="Arial" w:hAnsi="Arial"/>
          <w:sz w:val="18"/>
          <w:szCs w:val="18"/>
          <w:color w:val="auto"/>
        </w:rPr>
      </w:pPr>
    </w:p>
    <w:p>
      <w:pPr>
        <w:ind w:left="1080" w:right="40" w:firstLine="523"/>
        <w:spacing w:after="0" w:line="263" w:lineRule="auto"/>
        <w:tabs>
          <w:tab w:leader="none" w:pos="2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Lien arising out of claims under a judgment rendered, decree or claim filed so long as such judgments, decrees or claims do not constitute an Event of Default;</w:t>
      </w:r>
    </w:p>
    <w:p>
      <w:pPr>
        <w:spacing w:after="0" w:line="177" w:lineRule="exact"/>
        <w:rPr>
          <w:rFonts w:ascii="Arial" w:cs="Arial" w:eastAsia="Arial" w:hAnsi="Arial"/>
          <w:sz w:val="18"/>
          <w:szCs w:val="18"/>
          <w:color w:val="auto"/>
        </w:rPr>
      </w:pPr>
    </w:p>
    <w:p>
      <w:pPr>
        <w:ind w:left="2340" w:hanging="737"/>
        <w:spacing w:after="0"/>
        <w:tabs>
          <w:tab w:leader="none" w:pos="2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213" w:lineRule="exact"/>
        <w:rPr>
          <w:rFonts w:ascii="Arial" w:cs="Arial" w:eastAsia="Arial" w:hAnsi="Arial"/>
          <w:sz w:val="18"/>
          <w:szCs w:val="18"/>
          <w:color w:val="auto"/>
        </w:rPr>
      </w:pPr>
    </w:p>
    <w:p>
      <w:pPr>
        <w:ind w:left="2340" w:hanging="737"/>
        <w:spacing w:after="0"/>
        <w:tabs>
          <w:tab w:leader="none" w:pos="2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2340" w:hanging="737"/>
        <w:spacing w:after="0"/>
        <w:tabs>
          <w:tab w:leader="none" w:pos="2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2320" w:hanging="717"/>
        <w:spacing w:after="0"/>
        <w:tabs>
          <w:tab w:leader="none" w:pos="2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213" w:lineRule="exact"/>
        <w:rPr>
          <w:rFonts w:ascii="Arial" w:cs="Arial" w:eastAsia="Arial" w:hAnsi="Arial"/>
          <w:sz w:val="18"/>
          <w:szCs w:val="18"/>
          <w:color w:val="auto"/>
        </w:rPr>
      </w:pPr>
    </w:p>
    <w:p>
      <w:pPr>
        <w:ind w:left="1080" w:firstLine="523"/>
        <w:spacing w:after="0" w:line="247" w:lineRule="auto"/>
        <w:tabs>
          <w:tab w:leader="none" w:pos="23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 (viii) rental deposits, (ix) judicial appeals and (x) service contracts;</w:t>
      </w:r>
    </w:p>
    <w:p>
      <w:pPr>
        <w:spacing w:after="0" w:line="192" w:lineRule="exact"/>
        <w:rPr>
          <w:rFonts w:ascii="Arial" w:cs="Arial" w:eastAsia="Arial" w:hAnsi="Arial"/>
          <w:sz w:val="18"/>
          <w:szCs w:val="18"/>
          <w:color w:val="auto"/>
        </w:rPr>
      </w:pPr>
    </w:p>
    <w:p>
      <w:pPr>
        <w:ind w:left="2300" w:hanging="697"/>
        <w:spacing w:after="0"/>
        <w:tabs>
          <w:tab w:leader="none" w:pos="2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Liens securing Indebtedness or other obligations of a Subsidiary owing to the Company or any Principal Domestic Subsidiary;</w:t>
      </w:r>
    </w:p>
    <w:p>
      <w:pPr>
        <w:spacing w:after="0" w:line="236" w:lineRule="exact"/>
        <w:rPr>
          <w:rFonts w:ascii="Arial" w:cs="Arial" w:eastAsia="Arial" w:hAnsi="Arial"/>
          <w:sz w:val="16"/>
          <w:szCs w:val="16"/>
          <w:color w:val="auto"/>
        </w:rPr>
      </w:pPr>
    </w:p>
    <w:p>
      <w:pPr>
        <w:ind w:left="1080" w:right="80" w:firstLine="523"/>
        <w:spacing w:after="0" w:line="253" w:lineRule="auto"/>
        <w:tabs>
          <w:tab w:leader="none" w:pos="2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87" w:lineRule="exact"/>
        <w:rPr>
          <w:rFonts w:ascii="Arial" w:cs="Arial" w:eastAsia="Arial" w:hAnsi="Arial"/>
          <w:sz w:val="18"/>
          <w:szCs w:val="18"/>
          <w:color w:val="auto"/>
        </w:rPr>
      </w:pPr>
    </w:p>
    <w:p>
      <w:pPr>
        <w:jc w:val="both"/>
        <w:ind w:left="1080" w:right="180" w:firstLine="523"/>
        <w:spacing w:after="0" w:line="291" w:lineRule="auto"/>
        <w:tabs>
          <w:tab w:leader="none" w:pos="23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159" w:lineRule="exact"/>
        <w:rPr>
          <w:rFonts w:ascii="Arial" w:cs="Arial" w:eastAsia="Arial" w:hAnsi="Arial"/>
          <w:sz w:val="16"/>
          <w:szCs w:val="16"/>
          <w:color w:val="auto"/>
        </w:rPr>
      </w:pPr>
    </w:p>
    <w:p>
      <w:pPr>
        <w:ind w:left="2380" w:hanging="777"/>
        <w:spacing w:after="0"/>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213" w:lineRule="exact"/>
        <w:rPr>
          <w:rFonts w:ascii="Arial" w:cs="Arial" w:eastAsia="Arial" w:hAnsi="Arial"/>
          <w:sz w:val="18"/>
          <w:szCs w:val="18"/>
          <w:color w:val="auto"/>
        </w:rPr>
      </w:pPr>
    </w:p>
    <w:p>
      <w:pPr>
        <w:ind w:left="1080" w:right="380" w:firstLine="523"/>
        <w:spacing w:after="0" w:line="263" w:lineRule="auto"/>
        <w:tabs>
          <w:tab w:leader="none" w:pos="2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40"/>
          </w:cols>
          <w:pgMar w:left="220" w:top="510" w:right="239" w:bottom="1440" w:gutter="0" w:footer="0" w:header="0"/>
        </w:sectPr>
      </w:pPr>
    </w:p>
    <w:bookmarkStart w:id="37" w:name="page38"/>
    <w:bookmarkEnd w:id="37"/>
    <w:p>
      <w:pPr>
        <w:ind w:left="1080"/>
        <w:spacing w:after="0"/>
        <w:rPr>
          <w:sz w:val="20"/>
          <w:szCs w:val="20"/>
          <w:color w:val="auto"/>
        </w:rPr>
      </w:pPr>
      <w:r>
        <w:rPr>
          <w:rFonts w:ascii="Arial" w:cs="Arial" w:eastAsia="Arial" w:hAnsi="Arial"/>
          <w:sz w:val="18"/>
          <w:szCs w:val="18"/>
          <w:color w:val="auto"/>
        </w:rPr>
        <w:t>any of the properties and assets of the Company or any Principal Domestic Subsidiary consisting of real or personal property;</w:t>
      </w:r>
    </w:p>
    <w:p>
      <w:pPr>
        <w:spacing w:after="0" w:line="214" w:lineRule="exact"/>
        <w:rPr>
          <w:sz w:val="20"/>
          <w:szCs w:val="20"/>
          <w:color w:val="auto"/>
        </w:rPr>
      </w:pPr>
    </w:p>
    <w:p>
      <w:pPr>
        <w:ind w:left="1080" w:right="600" w:firstLine="523"/>
        <w:spacing w:after="0" w:line="326" w:lineRule="auto"/>
        <w:tabs>
          <w:tab w:leader="none" w:pos="235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31" w:lineRule="exact"/>
        <w:rPr>
          <w:rFonts w:ascii="Arial" w:cs="Arial" w:eastAsia="Arial" w:hAnsi="Arial"/>
          <w:sz w:val="16"/>
          <w:szCs w:val="16"/>
          <w:color w:val="auto"/>
        </w:rPr>
      </w:pPr>
    </w:p>
    <w:p>
      <w:pPr>
        <w:ind w:left="1080" w:right="20" w:firstLine="523"/>
        <w:spacing w:after="0" w:line="263" w:lineRule="auto"/>
        <w:tabs>
          <w:tab w:leader="none" w:pos="2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178" w:lineRule="exact"/>
        <w:rPr>
          <w:sz w:val="20"/>
          <w:szCs w:val="20"/>
          <w:color w:val="auto"/>
        </w:rPr>
      </w:pPr>
    </w:p>
    <w:p>
      <w:pPr>
        <w:ind w:left="1080" w:right="280" w:firstLine="523"/>
        <w:spacing w:after="0" w:line="263" w:lineRule="auto"/>
        <w:tabs>
          <w:tab w:leader="none" w:pos="24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w:t>
      </w:r>
    </w:p>
    <w:p>
      <w:pPr>
        <w:spacing w:after="0" w:line="177" w:lineRule="exact"/>
        <w:rPr>
          <w:rFonts w:ascii="Arial" w:cs="Arial" w:eastAsia="Arial" w:hAnsi="Arial"/>
          <w:sz w:val="18"/>
          <w:szCs w:val="18"/>
          <w:color w:val="auto"/>
        </w:rPr>
      </w:pPr>
    </w:p>
    <w:p>
      <w:pPr>
        <w:ind w:left="2440" w:hanging="837"/>
        <w:spacing w:after="0"/>
        <w:tabs>
          <w:tab w:leader="none" w:pos="2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13" w:lineRule="exact"/>
        <w:rPr>
          <w:rFonts w:ascii="Arial" w:cs="Arial" w:eastAsia="Arial" w:hAnsi="Arial"/>
          <w:sz w:val="18"/>
          <w:szCs w:val="18"/>
          <w:color w:val="auto"/>
        </w:rPr>
      </w:pPr>
    </w:p>
    <w:p>
      <w:pPr>
        <w:ind w:left="1080" w:right="160" w:firstLine="523"/>
        <w:spacing w:after="0" w:line="267" w:lineRule="auto"/>
        <w:tabs>
          <w:tab w:leader="none" w:pos="24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 pursuant to any securitization thereof (excluding, for the avoidance of doubt, letter of credit transactions) not prohibited by the Loan Documents that do not have customary bankruptcy remote limited recourse provisions.</w:t>
      </w:r>
    </w:p>
    <w:p>
      <w:pPr>
        <w:spacing w:after="0" w:line="175" w:lineRule="exact"/>
        <w:rPr>
          <w:sz w:val="20"/>
          <w:szCs w:val="20"/>
          <w:color w:val="auto"/>
        </w:rPr>
      </w:pPr>
    </w:p>
    <w:p>
      <w:pPr>
        <w:ind w:right="28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98" w:lineRule="exact"/>
        <w:rPr>
          <w:sz w:val="20"/>
          <w:szCs w:val="20"/>
          <w:color w:val="auto"/>
        </w:rPr>
      </w:pPr>
    </w:p>
    <w:p>
      <w:pPr>
        <w:ind w:right="5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44" w:lineRule="exact"/>
        <w:rPr>
          <w:sz w:val="20"/>
          <w:szCs w:val="20"/>
          <w:color w:val="auto"/>
        </w:rPr>
      </w:pPr>
    </w:p>
    <w:p>
      <w:pPr>
        <w:ind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60" w:lineRule="exact"/>
        <w:rPr>
          <w:sz w:val="20"/>
          <w:szCs w:val="20"/>
          <w:color w:val="auto"/>
        </w:rPr>
      </w:pPr>
    </w:p>
    <w:p>
      <w:pPr>
        <w:jc w:val="both"/>
        <w:ind w:right="120" w:firstLine="106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60"/>
          </w:cols>
          <w:pgMar w:left="220" w:top="510" w:right="219" w:bottom="1440" w:gutter="0" w:footer="0" w:header="0"/>
        </w:sectPr>
      </w:pPr>
    </w:p>
    <w:bookmarkStart w:id="38" w:name="page39"/>
    <w:bookmarkEnd w:id="38"/>
    <w:p>
      <w:pPr>
        <w:ind w:right="280"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Pledged Assets</w:t>
      </w:r>
      <w:r>
        <w:rPr>
          <w:rFonts w:ascii="Arial" w:cs="Arial" w:eastAsia="Arial" w:hAnsi="Arial"/>
          <w:sz w:val="17"/>
          <w:szCs w:val="17"/>
          <w:color w:val="auto"/>
        </w:rPr>
        <w:t>” means the “Collateral,” under and as defined in the Existing Three Year Credit Agreement, determined as if such agreement were still outstanding, and with each reference to Section 7.4(b) therein being deemed to be a reference to Section 7.4 hereof.</w:t>
      </w:r>
    </w:p>
    <w:p>
      <w:pPr>
        <w:spacing w:after="0" w:line="121" w:lineRule="exact"/>
        <w:rPr>
          <w:sz w:val="20"/>
          <w:szCs w:val="20"/>
          <w:color w:val="auto"/>
        </w:rPr>
      </w:pPr>
    </w:p>
    <w:p>
      <w:pPr>
        <w:jc w:val="both"/>
        <w:ind w:right="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54" w:lineRule="exact"/>
        <w:rPr>
          <w:sz w:val="20"/>
          <w:szCs w:val="20"/>
          <w:color w:val="auto"/>
        </w:rPr>
      </w:pPr>
    </w:p>
    <w:p>
      <w:pPr>
        <w:ind w:firstLine="1063"/>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Domestic Subsidiary</w:t>
      </w:r>
      <w:r>
        <w:rPr>
          <w:rFonts w:ascii="Arial" w:cs="Arial" w:eastAsia="Arial" w:hAnsi="Arial"/>
          <w:sz w:val="17"/>
          <w:szCs w:val="17"/>
          <w:color w:val="auto"/>
        </w:rPr>
        <w:t>” means (a) during any Reinstated Guarantee Period, (i) GM Holdings and (ii)each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2013 10-K), (B) at least 80% or more of the Capital Stock or Voting Stock of such Domestic Subsidiary is owned, directly or indirectly, by the Company and (C) none of the Capital Stock of such Domestic Subsidiary is publicly held.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IP Holding Company</w:t>
      </w:r>
      <w:r>
        <w:rPr>
          <w:rFonts w:ascii="Arial" w:cs="Arial" w:eastAsia="Arial" w:hAnsi="Arial"/>
          <w:sz w:val="16"/>
          <w:szCs w:val="16"/>
          <w:color w:val="auto"/>
        </w:rPr>
        <w:t>” means any wholly-owned Foreign Subsidiary of the Company to which the Designated Principal Trade Name is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transferred.</w:t>
      </w:r>
    </w:p>
    <w:p>
      <w:pPr>
        <w:spacing w:after="0" w:line="167" w:lineRule="exact"/>
        <w:rPr>
          <w:sz w:val="20"/>
          <w:szCs w:val="20"/>
          <w:color w:val="auto"/>
        </w:rPr>
      </w:pPr>
    </w:p>
    <w:p>
      <w:pPr>
        <w:ind w:right="180"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(or, if the Currency in relation to which such rate is determined is Euro, the European interbank market) for deposits in the Currency in relation to which such rate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3.5.</w:t>
      </w:r>
    </w:p>
    <w:p>
      <w:pPr>
        <w:spacing w:after="0" w:line="181" w:lineRule="exact"/>
        <w:rPr>
          <w:sz w:val="20"/>
          <w:szCs w:val="20"/>
          <w:color w:val="auto"/>
        </w:rPr>
      </w:pPr>
    </w:p>
    <w:p>
      <w:pPr>
        <w:ind w:right="1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means the obligation of the Company or the Applicable Account Party to reimburse an Issuing Lender pursuant to Section 3.5 for amounts drawn under Letters of Credit.</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40"/>
          </w:cols>
          <w:pgMar w:left="220" w:top="510" w:right="239" w:bottom="1440" w:gutter="0" w:footer="0" w:header="0"/>
        </w:sectPr>
      </w:pPr>
    </w:p>
    <w:bookmarkStart w:id="39" w:name="page40"/>
    <w:bookmarkEnd w:id="39"/>
    <w:p>
      <w:pPr>
        <w:ind w:right="460" w:firstLine="1063"/>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64" w:lineRule="exact"/>
        <w:rPr>
          <w:sz w:val="20"/>
          <w:szCs w:val="20"/>
          <w:color w:val="auto"/>
        </w:rPr>
      </w:pPr>
    </w:p>
    <w:p>
      <w:pPr>
        <w:ind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44" w:lineRule="exact"/>
        <w:rPr>
          <w:sz w:val="20"/>
          <w:szCs w:val="20"/>
          <w:color w:val="auto"/>
        </w:rPr>
      </w:pPr>
    </w:p>
    <w:p>
      <w:pPr>
        <w:ind w:right="2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aggregate amount of the Total Commitments (or, at any time after the Commitments shall have expired or terminated, the holders of more than 50% of the sum of the Total Extensions of Credit plus the aggregate Ancillary Facility Outstandings).</w:t>
      </w:r>
    </w:p>
    <w:p>
      <w:pPr>
        <w:spacing w:after="0" w:line="154" w:lineRule="exact"/>
        <w:rPr>
          <w:sz w:val="20"/>
          <w:szCs w:val="20"/>
          <w:color w:val="auto"/>
        </w:rPr>
      </w:pPr>
    </w:p>
    <w:p>
      <w:pPr>
        <w:ind w:right="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54" w:lineRule="exact"/>
        <w:rPr>
          <w:sz w:val="20"/>
          <w:szCs w:val="20"/>
          <w:color w:val="auto"/>
        </w:rPr>
      </w:pPr>
    </w:p>
    <w:p>
      <w:pPr>
        <w:ind w:right="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its successors.</w:t>
      </w:r>
    </w:p>
    <w:p>
      <w:pPr>
        <w:spacing w:after="0" w:line="181" w:lineRule="exact"/>
        <w:rPr>
          <w:sz w:val="20"/>
          <w:szCs w:val="20"/>
          <w:color w:val="auto"/>
        </w:rPr>
      </w:pPr>
    </w:p>
    <w:p>
      <w:pPr>
        <w:ind w:right="200" w:firstLine="106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Sale/Leaseback Transaction</w:t>
      </w:r>
      <w:r>
        <w:rPr>
          <w:rFonts w:ascii="Arial" w:cs="Arial" w:eastAsia="Arial" w:hAnsi="Arial"/>
          <w:sz w:val="17"/>
          <w:szCs w:val="17"/>
          <w:color w:val="auto"/>
        </w:rPr>
        <w:t>” means any arrangement with any Person providing for the leasing by any Loan Party of real or personal property that has been or is to be sold or transferred by the applicable Loan Party to such Person, including any other Person to whom funds have been or are to be advanced by such Person on the security of such property or rental obligations of the applicable Loan Party.</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4.17.</w:t>
      </w:r>
    </w:p>
    <w:p>
      <w:pPr>
        <w:spacing w:after="0" w:line="181" w:lineRule="exact"/>
        <w:rPr>
          <w:sz w:val="20"/>
          <w:szCs w:val="20"/>
          <w:color w:val="auto"/>
        </w:rPr>
      </w:pPr>
    </w:p>
    <w:p>
      <w:pPr>
        <w:ind w:right="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4.17.</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has the meaning set forth in the definition of Eurocurrency Base Rate.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Quarter 2014 10-Q</w:t>
      </w:r>
      <w:r>
        <w:rPr>
          <w:rFonts w:ascii="Arial" w:cs="Arial" w:eastAsia="Arial" w:hAnsi="Arial"/>
          <w:sz w:val="18"/>
          <w:szCs w:val="18"/>
          <w:color w:val="auto"/>
        </w:rPr>
        <w:t>” has the meaning assigned to such term in Section 4.1.</w:t>
      </w:r>
    </w:p>
    <w:p>
      <w:pPr>
        <w:spacing w:after="0" w:line="181" w:lineRule="exact"/>
        <w:rPr>
          <w:sz w:val="20"/>
          <w:szCs w:val="20"/>
          <w:color w:val="auto"/>
        </w:rPr>
      </w:pPr>
    </w:p>
    <w:p>
      <w:pPr>
        <w:ind w:firstLine="10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w:t>
      </w:r>
    </w:p>
    <w:p>
      <w:pPr>
        <w:spacing w:after="0" w:line="32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40"/>
          </w:cols>
          <w:pgMar w:left="220" w:top="501" w:right="239" w:bottom="1440" w:gutter="0" w:footer="0" w:header="0"/>
        </w:sectPr>
      </w:pPr>
    </w:p>
    <w:bookmarkStart w:id="40" w:name="page41"/>
    <w:bookmarkEnd w:id="40"/>
    <w:p>
      <w:pPr>
        <w:ind w:right="160"/>
        <w:spacing w:after="0" w:line="326" w:lineRule="auto"/>
        <w:rPr>
          <w:sz w:val="20"/>
          <w:szCs w:val="20"/>
          <w:color w:val="auto"/>
        </w:rPr>
      </w:pPr>
      <w:r>
        <w:rPr>
          <w:rFonts w:ascii="Arial" w:cs="Arial" w:eastAsia="Arial" w:hAnsi="Arial"/>
          <w:sz w:val="16"/>
          <w:szCs w:val="16"/>
          <w:color w:val="auto"/>
        </w:rPr>
        <w:t>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98" w:lineRule="exact"/>
        <w:rPr>
          <w:sz w:val="20"/>
          <w:szCs w:val="20"/>
          <w:color w:val="auto"/>
        </w:rPr>
      </w:pPr>
    </w:p>
    <w:p>
      <w:pPr>
        <w:ind w:right="60"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w:t>
      </w:r>
      <w:r>
        <w:rPr>
          <w:rFonts w:ascii="Arial" w:cs="Arial" w:eastAsia="Arial" w:hAnsi="Arial"/>
          <w:sz w:val="17"/>
          <w:szCs w:val="17"/>
          <w:color w:val="auto"/>
        </w:rPr>
        <w:t>” means GMB (solely with respect to the Brazilian Facility), GMETC, GMF and any other Subsidiary that becomes a party hereto pursuant to Section 10.1(d) until such time as such Subsidiary Borrower is removed as a party hereto pursuant to Section 10.1(d).</w:t>
      </w:r>
    </w:p>
    <w:p>
      <w:pPr>
        <w:spacing w:after="0" w:line="121" w:lineRule="exact"/>
        <w:rPr>
          <w:sz w:val="20"/>
          <w:szCs w:val="20"/>
          <w:color w:val="auto"/>
        </w:rPr>
      </w:pPr>
    </w:p>
    <w:p>
      <w:pPr>
        <w:ind w:right="180" w:firstLine="106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means during any Reinstated Guarantee Period, each Domestic Subsidiary that was a Principal Domestic Subsidiary on the applicable Guarantee Reinstatement Date or that became a party to the Guarantee after such Guarantee Reinstatement Date pursuant to Section 6.7(a) or</w:t>
      </w:r>
    </w:p>
    <w:p>
      <w:pPr>
        <w:ind w:right="60"/>
        <w:spacing w:after="0" w:line="245" w:lineRule="auto"/>
        <w:rPr>
          <w:sz w:val="20"/>
          <w:szCs w:val="20"/>
          <w:color w:val="auto"/>
        </w:rPr>
      </w:pPr>
      <w:r>
        <w:rPr>
          <w:rFonts w:ascii="Arial" w:cs="Arial" w:eastAsia="Arial" w:hAnsi="Arial"/>
          <w:sz w:val="18"/>
          <w:szCs w:val="18"/>
          <w:color w:val="auto"/>
        </w:rPr>
        <w:t xml:space="preserve">6.7(b) or Section 10.1(b);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payment system is open for the settlement of payments in Euro.</w:t>
      </w:r>
    </w:p>
    <w:p>
      <w:pPr>
        <w:spacing w:after="0" w:line="144" w:lineRule="exact"/>
        <w:rPr>
          <w:sz w:val="20"/>
          <w:szCs w:val="20"/>
          <w:color w:val="auto"/>
        </w:rPr>
      </w:pPr>
    </w:p>
    <w:p>
      <w:pPr>
        <w:ind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98" w:lineRule="exact"/>
        <w:rPr>
          <w:sz w:val="20"/>
          <w:szCs w:val="20"/>
          <w:color w:val="auto"/>
        </w:rPr>
      </w:pPr>
    </w:p>
    <w:p>
      <w:pPr>
        <w:ind w:right="1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as to any Lender under any Facility, initially, the third anniversary of the Closing Date, as such date for such Lender under such Facility may be extended from time to time pursuant to Section 2.32.</w:t>
      </w:r>
    </w:p>
    <w:p>
      <w:pPr>
        <w:spacing w:after="0" w:line="144" w:lineRule="exact"/>
        <w:rPr>
          <w:sz w:val="20"/>
          <w:szCs w:val="20"/>
          <w:color w:val="auto"/>
        </w:rPr>
      </w:pPr>
    </w:p>
    <w:p>
      <w:pPr>
        <w:ind w:right="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Brazilian Commitments</w:t>
      </w:r>
      <w:r>
        <w:rPr>
          <w:rFonts w:ascii="Arial" w:cs="Arial" w:eastAsia="Arial" w:hAnsi="Arial"/>
          <w:sz w:val="18"/>
          <w:szCs w:val="18"/>
          <w:color w:val="auto"/>
        </w:rPr>
        <w:t>” means, at any time, an amount equal to the excess, if any, of (a) the Total Brazilian Commitments then in effect, over (b) the Total Brazilian Extensions of Credit then outstanding.</w:t>
      </w:r>
    </w:p>
    <w:p>
      <w:pPr>
        <w:spacing w:after="0" w:line="144" w:lineRule="exact"/>
        <w:rPr>
          <w:sz w:val="20"/>
          <w:szCs w:val="20"/>
          <w:color w:val="auto"/>
        </w:rPr>
      </w:pPr>
    </w:p>
    <w:p>
      <w:pPr>
        <w:ind w:right="1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44" w:lineRule="exact"/>
        <w:rPr>
          <w:sz w:val="20"/>
          <w:szCs w:val="20"/>
          <w:color w:val="auto"/>
        </w:rPr>
      </w:pPr>
    </w:p>
    <w:p>
      <w:pPr>
        <w:ind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Domestic Commitments</w:t>
      </w:r>
      <w:r>
        <w:rPr>
          <w:rFonts w:ascii="Arial" w:cs="Arial" w:eastAsia="Arial" w:hAnsi="Arial"/>
          <w:sz w:val="18"/>
          <w:szCs w:val="18"/>
          <w:color w:val="auto"/>
        </w:rPr>
        <w:t>” means, at any time, an amount equal to the excess, if any, of (a) the Total Domestic Commitments then in effect, over (b) the Total Domestic Extensions of Credit then outstanding.</w:t>
      </w:r>
    </w:p>
    <w:p>
      <w:pPr>
        <w:spacing w:after="0" w:line="144" w:lineRule="exact"/>
        <w:rPr>
          <w:sz w:val="20"/>
          <w:szCs w:val="20"/>
          <w:color w:val="auto"/>
        </w:rPr>
      </w:pPr>
    </w:p>
    <w:p>
      <w:pPr>
        <w:ind w:right="9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L/C Tranche Commitments</w:t>
      </w:r>
      <w:r>
        <w:rPr>
          <w:rFonts w:ascii="Arial" w:cs="Arial" w:eastAsia="Arial" w:hAnsi="Arial"/>
          <w:sz w:val="18"/>
          <w:szCs w:val="18"/>
          <w:color w:val="auto"/>
        </w:rPr>
        <w:t>” means, at any time, an amount equal to the excess, if any, of (a) the Total L/C Tranche Commitments then in effect, over (b) the Total L/C Tranche Extensions of Credit then outstanding.</w:t>
      </w:r>
    </w:p>
    <w:p>
      <w:pPr>
        <w:spacing w:after="0" w:line="144" w:lineRule="exact"/>
        <w:rPr>
          <w:sz w:val="20"/>
          <w:szCs w:val="20"/>
          <w:color w:val="auto"/>
        </w:rPr>
      </w:pPr>
    </w:p>
    <w:p>
      <w:pPr>
        <w:ind w:right="7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Commitments</w:t>
      </w:r>
      <w:r>
        <w:rPr>
          <w:rFonts w:ascii="Arial" w:cs="Arial" w:eastAsia="Arial" w:hAnsi="Arial"/>
          <w:sz w:val="18"/>
          <w:szCs w:val="18"/>
          <w:color w:val="auto"/>
        </w:rPr>
        <w:t>” means, at any time, an amount equal to the excess, if any, of (a) the Total Multicurrency Commitments then in effect, over (b) the Total Multicurrency Extensions of Credit then outstanding.</w:t>
      </w:r>
    </w:p>
    <w:p>
      <w:pPr>
        <w:spacing w:after="0" w:line="144" w:lineRule="exact"/>
        <w:rPr>
          <w:sz w:val="20"/>
          <w:szCs w:val="20"/>
          <w:color w:val="auto"/>
        </w:rPr>
      </w:pPr>
    </w:p>
    <w:p>
      <w:pPr>
        <w:ind w:right="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Commitment</w:t>
      </w:r>
      <w:r>
        <w:rPr>
          <w:rFonts w:ascii="Arial" w:cs="Arial" w:eastAsia="Arial" w:hAnsi="Arial"/>
          <w:sz w:val="18"/>
          <w:szCs w:val="18"/>
          <w:color w:val="auto"/>
        </w:rPr>
        <w:t>” means, at any time, the aggregate amount of the Brazilian Commitments then in effect. The original amount of the Total Brazilian Commitment $305 million.</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20" w:top="510" w:right="259" w:bottom="1440" w:gutter="0" w:footer="0" w:header="0"/>
        </w:sectPr>
      </w:pPr>
    </w:p>
    <w:bookmarkStart w:id="41" w:name="page42"/>
    <w:bookmarkEnd w:id="41"/>
    <w:p>
      <w:pPr>
        <w:ind w:right="6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Extensions of Credit</w:t>
      </w:r>
      <w:r>
        <w:rPr>
          <w:rFonts w:ascii="Arial" w:cs="Arial" w:eastAsia="Arial" w:hAnsi="Arial"/>
          <w:sz w:val="18"/>
          <w:szCs w:val="18"/>
          <w:color w:val="auto"/>
        </w:rPr>
        <w:t>” means, at any time, the aggregate Outstanding Amount of the Brazilian Extensions of Credit of the Brazilian Lenders at such time.</w:t>
      </w:r>
    </w:p>
    <w:p>
      <w:pPr>
        <w:spacing w:after="0" w:line="144" w:lineRule="exact"/>
        <w:rPr>
          <w:sz w:val="20"/>
          <w:szCs w:val="20"/>
          <w:color w:val="auto"/>
        </w:rPr>
      </w:pPr>
    </w:p>
    <w:p>
      <w:pPr>
        <w:ind w:right="9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$5.0 billion.</w:t>
      </w:r>
    </w:p>
    <w:p>
      <w:pPr>
        <w:spacing w:after="0" w:line="144" w:lineRule="exact"/>
        <w:rPr>
          <w:sz w:val="20"/>
          <w:szCs w:val="20"/>
          <w:color w:val="auto"/>
        </w:rPr>
      </w:pPr>
    </w:p>
    <w:p>
      <w:pPr>
        <w:ind w:right="3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Consolidated GMF Exposure</w:t>
      </w:r>
      <w:r>
        <w:rPr>
          <w:rFonts w:ascii="Arial" w:cs="Arial" w:eastAsia="Arial" w:hAnsi="Arial"/>
          <w:sz w:val="18"/>
          <w:szCs w:val="18"/>
          <w:color w:val="auto"/>
        </w:rPr>
        <w:t>” means, at any time, the Total Extensions of Credit outstanding at such time made to, or on behalf of, or owing by, GMF or any of its Subsidiaries.</w:t>
      </w:r>
    </w:p>
    <w:p>
      <w:pPr>
        <w:spacing w:after="0" w:line="144" w:lineRule="exact"/>
        <w:rPr>
          <w:sz w:val="20"/>
          <w:szCs w:val="20"/>
          <w:color w:val="auto"/>
        </w:rPr>
      </w:pPr>
    </w:p>
    <w:p>
      <w:pPr>
        <w:ind w:right="2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Commitment</w:t>
      </w:r>
      <w:r>
        <w:rPr>
          <w:rFonts w:ascii="Arial" w:cs="Arial" w:eastAsia="Arial" w:hAnsi="Arial"/>
          <w:sz w:val="18"/>
          <w:szCs w:val="18"/>
          <w:color w:val="auto"/>
        </w:rPr>
        <w:t>” means, at any time, the aggregate amount of the Domestic Commitments then in effect. The original amount of the Total Domestic Commitment is $60 million.</w:t>
      </w:r>
    </w:p>
    <w:p>
      <w:pPr>
        <w:spacing w:after="0" w:line="144" w:lineRule="exact"/>
        <w:rPr>
          <w:sz w:val="20"/>
          <w:szCs w:val="20"/>
          <w:color w:val="auto"/>
        </w:rPr>
      </w:pPr>
    </w:p>
    <w:p>
      <w:pPr>
        <w:ind w:right="3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Extensions of Credit</w:t>
      </w:r>
      <w:r>
        <w:rPr>
          <w:rFonts w:ascii="Arial" w:cs="Arial" w:eastAsia="Arial" w:hAnsi="Arial"/>
          <w:sz w:val="18"/>
          <w:szCs w:val="18"/>
          <w:color w:val="auto"/>
        </w:rPr>
        <w:t xml:space="preserve">” means, at any time, the aggregate Outstanding Amount of (a) the Domestic Extensions of Credit of the Domestic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Domestic Competitive Loans at such time.</w:t>
      </w:r>
    </w:p>
    <w:p>
      <w:pPr>
        <w:spacing w:after="0" w:line="144" w:lineRule="exact"/>
        <w:rPr>
          <w:sz w:val="20"/>
          <w:szCs w:val="20"/>
          <w:color w:val="auto"/>
        </w:rPr>
      </w:pPr>
    </w:p>
    <w:p>
      <w:pPr>
        <w:ind w:right="2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44" w:lineRule="exact"/>
        <w:rPr>
          <w:sz w:val="20"/>
          <w:szCs w:val="20"/>
          <w:color w:val="auto"/>
        </w:rPr>
      </w:pPr>
    </w:p>
    <w:p>
      <w:pPr>
        <w:ind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Commitment</w:t>
      </w:r>
      <w:r>
        <w:rPr>
          <w:rFonts w:ascii="Arial" w:cs="Arial" w:eastAsia="Arial" w:hAnsi="Arial"/>
          <w:sz w:val="18"/>
          <w:szCs w:val="18"/>
          <w:color w:val="auto"/>
        </w:rPr>
        <w:t>” means, at any time, the aggregate amount of the L/C Tranche Commitments then in effect. The original amount of the Total L/C Tranche Commitment is $1.6 billion.</w:t>
      </w:r>
    </w:p>
    <w:p>
      <w:pPr>
        <w:spacing w:after="0" w:line="144"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Extensions of Credit</w:t>
      </w:r>
      <w:r>
        <w:rPr>
          <w:rFonts w:ascii="Arial" w:cs="Arial" w:eastAsia="Arial" w:hAnsi="Arial"/>
          <w:sz w:val="18"/>
          <w:szCs w:val="18"/>
          <w:color w:val="auto"/>
        </w:rPr>
        <w:t>” means, at any time, the aggregate Outstanding Amount of the L/C Tranche Extensions of Credit of the L/C Tranche Lenders at such time.</w:t>
      </w:r>
    </w:p>
    <w:p>
      <w:pPr>
        <w:spacing w:after="0" w:line="144" w:lineRule="exact"/>
        <w:rPr>
          <w:sz w:val="20"/>
          <w:szCs w:val="20"/>
          <w:color w:val="auto"/>
        </w:rPr>
      </w:pPr>
    </w:p>
    <w:p>
      <w:pPr>
        <w:ind w:right="3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Commitment</w:t>
      </w:r>
      <w:r>
        <w:rPr>
          <w:rFonts w:ascii="Arial" w:cs="Arial" w:eastAsia="Arial" w:hAnsi="Arial"/>
          <w:sz w:val="18"/>
          <w:szCs w:val="18"/>
          <w:color w:val="auto"/>
        </w:rPr>
        <w:t>” means, at any time, the aggregate amount of the Multicurrency Commitments then in effect. The original amount of the Total Multicurrency Commitment is $3.035 billion.</w:t>
      </w:r>
    </w:p>
    <w:p>
      <w:pPr>
        <w:spacing w:after="0" w:line="144" w:lineRule="exact"/>
        <w:rPr>
          <w:sz w:val="20"/>
          <w:szCs w:val="20"/>
          <w:color w:val="auto"/>
        </w:rPr>
      </w:pPr>
    </w:p>
    <w:p>
      <w:pPr>
        <w:ind w:right="100"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Multicurrency Extensions of Credit</w:t>
      </w:r>
      <w:r>
        <w:rPr>
          <w:rFonts w:ascii="Arial" w:cs="Arial" w:eastAsia="Arial" w:hAnsi="Arial"/>
          <w:sz w:val="17"/>
          <w:szCs w:val="17"/>
          <w:color w:val="auto"/>
        </w:rPr>
        <w:t xml:space="preserve">” means, at any time, the aggregate Outstanding Amount of (a) the Multicurrency Extensions of Credit of the Multicurrency Lenders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Dollar Equivalent of the Multicurrency Competitive Loans at such time.</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181" w:lineRule="exact"/>
        <w:rPr>
          <w:sz w:val="20"/>
          <w:szCs w:val="20"/>
          <w:color w:val="auto"/>
        </w:rPr>
      </w:pPr>
    </w:p>
    <w:p>
      <w:pPr>
        <w:ind w:right="1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a CDI Loan or a Eurocurrency Loan and (b) as to any Competitive Loan, its nature as a Eurocurrency Competitive Loan or a Fixed Rate Loan.</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UCP</w:t>
      </w:r>
      <w:r>
        <w:rPr>
          <w:rFonts w:ascii="Arial" w:cs="Arial" w:eastAsia="Arial" w:hAnsi="Arial"/>
          <w:sz w:val="16"/>
          <w:szCs w:val="16"/>
          <w:color w:val="auto"/>
        </w:rPr>
        <w:t>” means the Uniform Customs and Practice for Documentary Credits (2007 Revision), International Chamber of Commerce Publication No.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600, and any subsequent revision thereof adhered to by the Issuing Lenders.</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181" w:lineRule="exact"/>
        <w:rPr>
          <w:sz w:val="20"/>
          <w:szCs w:val="20"/>
          <w:color w:val="auto"/>
        </w:rPr>
      </w:pPr>
    </w:p>
    <w:p>
      <w:pPr>
        <w:ind w:right="4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40"/>
          </w:cols>
          <w:pgMar w:left="220" w:top="510" w:right="239" w:bottom="1440" w:gutter="0" w:footer="0" w:header="0"/>
        </w:sectPr>
      </w:pPr>
    </w:p>
    <w:bookmarkStart w:id="42" w:name="page43"/>
    <w:bookmarkEnd w:id="42"/>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URDG</w:t>
      </w:r>
      <w:r>
        <w:rPr>
          <w:rFonts w:ascii="Arial" w:cs="Arial" w:eastAsia="Arial" w:hAnsi="Arial"/>
          <w:sz w:val="16"/>
          <w:szCs w:val="16"/>
          <w:color w:val="auto"/>
        </w:rPr>
        <w:t>” means the Uniform Rules for Demand Guarantees, ICC Publication 758, and any subsequent revision thereof adhered to by the Issuing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181" w:lineRule="exact"/>
        <w:rPr>
          <w:sz w:val="20"/>
          <w:szCs w:val="20"/>
          <w:color w:val="auto"/>
        </w:rPr>
      </w:pPr>
    </w:p>
    <w:p>
      <w:pPr>
        <w:ind w:right="1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44" w:lineRule="exact"/>
        <w:rPr>
          <w:sz w:val="20"/>
          <w:szCs w:val="20"/>
          <w:color w:val="auto"/>
        </w:rPr>
      </w:pPr>
    </w:p>
    <w:p>
      <w:pPr>
        <w:ind w:right="580" w:firstLine="1063"/>
        <w:spacing w:after="0" w:line="29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Definitional Provisions.</w:t>
      </w:r>
      <w:r>
        <w:rPr>
          <w:rFonts w:ascii="Arial" w:cs="Arial" w:eastAsia="Arial" w:hAnsi="Arial"/>
          <w:sz w:val="17"/>
          <w:szCs w:val="17"/>
          <w:color w:val="auto"/>
        </w:rPr>
        <w:t xml:space="preserve"> (a) Unless otherwise specified therein, all terms defined in this Agreement shall have the defined meanings when used in the other Loan Documents or any certificate or other document made or delivered pursuant hereto or thereto.</w:t>
      </w:r>
    </w:p>
    <w:p>
      <w:pPr>
        <w:spacing w:after="0" w:line="121" w:lineRule="exact"/>
        <w:rPr>
          <w:sz w:val="20"/>
          <w:szCs w:val="20"/>
          <w:color w:val="auto"/>
        </w:rPr>
      </w:pPr>
    </w:p>
    <w:p>
      <w:pPr>
        <w:ind w:left="1800" w:hanging="728"/>
        <w:spacing w:after="0"/>
        <w:tabs>
          <w:tab w:leader="none" w:pos="18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w:t>
      </w:r>
    </w:p>
    <w:p>
      <w:pPr>
        <w:spacing w:after="0" w:line="39" w:lineRule="exact"/>
        <w:rPr>
          <w:rFonts w:ascii="Arial" w:cs="Arial" w:eastAsia="Arial" w:hAnsi="Arial"/>
          <w:sz w:val="16"/>
          <w:szCs w:val="16"/>
          <w:color w:val="auto"/>
        </w:rPr>
      </w:pPr>
    </w:p>
    <w:p>
      <w:pPr>
        <w:ind w:firstLine="9"/>
        <w:spacing w:after="0" w:line="278" w:lineRule="auto"/>
        <w:tabs>
          <w:tab w:leader="none" w:pos="2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36" w:lineRule="exact"/>
        <w:rPr>
          <w:rFonts w:ascii="Arial" w:cs="Arial" w:eastAsia="Arial" w:hAnsi="Arial"/>
          <w:sz w:val="16"/>
          <w:szCs w:val="16"/>
          <w:color w:val="auto"/>
        </w:rPr>
      </w:pPr>
    </w:p>
    <w:p>
      <w:pPr>
        <w:ind w:right="60" w:firstLine="1072"/>
        <w:spacing w:after="0" w:line="253" w:lineRule="auto"/>
        <w:tabs>
          <w:tab w:leader="none" w:pos="1791"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53" w:lineRule="exact"/>
        <w:rPr>
          <w:rFonts w:ascii="Arial" w:cs="Arial" w:eastAsia="Arial" w:hAnsi="Arial"/>
          <w:sz w:val="18"/>
          <w:szCs w:val="18"/>
          <w:color w:val="auto"/>
        </w:rPr>
      </w:pPr>
    </w:p>
    <w:p>
      <w:pPr>
        <w:ind w:left="1800" w:hanging="728"/>
        <w:spacing w:after="0"/>
        <w:tabs>
          <w:tab w:leader="none" w:pos="18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192"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Conversion of Foreign Currencies</w:t>
      </w:r>
    </w:p>
    <w:p>
      <w:pPr>
        <w:spacing w:after="0" w:line="181" w:lineRule="exact"/>
        <w:rPr>
          <w:sz w:val="20"/>
          <w:szCs w:val="20"/>
          <w:color w:val="auto"/>
        </w:rPr>
      </w:pPr>
    </w:p>
    <w:p>
      <w:pPr>
        <w:ind w:right="160" w:firstLine="1072"/>
        <w:spacing w:after="0" w:line="250" w:lineRule="auto"/>
        <w:tabs>
          <w:tab w:leader="none" w:pos="17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56" w:lineRule="exact"/>
        <w:rPr>
          <w:rFonts w:ascii="Arial" w:cs="Arial" w:eastAsia="Arial" w:hAnsi="Arial"/>
          <w:sz w:val="18"/>
          <w:szCs w:val="18"/>
          <w:color w:val="auto"/>
        </w:rPr>
      </w:pPr>
    </w:p>
    <w:p>
      <w:pPr>
        <w:ind w:right="360" w:firstLine="1072"/>
        <w:spacing w:after="0" w:line="326" w:lineRule="auto"/>
        <w:tabs>
          <w:tab w:leader="none" w:pos="18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purposes of determining compliance with Section 7.4, with respect to any amount of any Indebtedness that is denominated in a currency other than Dollars, the Dollar Equivalent thereof shall be determined based on the Exchange Rate in effect at the time such Indebtedness was</w:t>
      </w:r>
    </w:p>
    <w:p>
      <w:pPr>
        <w:spacing w:after="0" w:line="292"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60"/>
          </w:cols>
          <w:pgMar w:left="220" w:top="510" w:right="219" w:bottom="1440" w:gutter="0" w:footer="0" w:header="0"/>
        </w:sectPr>
      </w:pPr>
    </w:p>
    <w:bookmarkStart w:id="43" w:name="page44"/>
    <w:bookmarkEnd w:id="43"/>
    <w:p>
      <w:pPr>
        <w:ind w:right="300"/>
        <w:spacing w:after="0" w:line="326" w:lineRule="auto"/>
        <w:rPr>
          <w:sz w:val="20"/>
          <w:szCs w:val="20"/>
          <w:color w:val="auto"/>
        </w:rPr>
      </w:pPr>
      <w:r>
        <w:rPr>
          <w:rFonts w:ascii="Arial" w:cs="Arial" w:eastAsia="Arial" w:hAnsi="Arial"/>
          <w:sz w:val="16"/>
          <w:szCs w:val="16"/>
          <w:color w:val="auto"/>
        </w:rPr>
        <w:t>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98" w:lineRule="exact"/>
        <w:rPr>
          <w:sz w:val="20"/>
          <w:szCs w:val="20"/>
          <w:color w:val="auto"/>
        </w:rPr>
      </w:pPr>
    </w:p>
    <w:p>
      <w:pPr>
        <w:ind w:firstLine="1072"/>
        <w:spacing w:after="0" w:line="300" w:lineRule="auto"/>
        <w:tabs>
          <w:tab w:leader="none" w:pos="179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Administrative Agent and/or the Brazilian Administrative Agent, as applicable,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18" w:lineRule="exact"/>
        <w:rPr>
          <w:sz w:val="20"/>
          <w:szCs w:val="20"/>
          <w:color w:val="auto"/>
        </w:rPr>
      </w:pPr>
    </w:p>
    <w:p>
      <w:pPr>
        <w:jc w:val="both"/>
        <w:ind w:right="500" w:firstLine="1063"/>
        <w:spacing w:after="0" w:line="25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xml:space="preserve">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8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SECTION 2. AMOUNT AND TERMS OF COMMITMENTS</w:t>
      </w:r>
    </w:p>
    <w:p>
      <w:pPr>
        <w:spacing w:after="0" w:line="214" w:lineRule="exact"/>
        <w:rPr>
          <w:sz w:val="20"/>
          <w:szCs w:val="20"/>
          <w:color w:val="auto"/>
        </w:rPr>
      </w:pPr>
    </w:p>
    <w:p>
      <w:pPr>
        <w:ind w:right="80" w:firstLine="1063"/>
        <w:spacing w:after="0" w:line="27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Domestic Commitments. (a)</w:t>
      </w:r>
      <w:r>
        <w:rPr>
          <w:rFonts w:ascii="Arial" w:cs="Arial" w:eastAsia="Arial" w:hAnsi="Arial"/>
          <w:sz w:val="16"/>
          <w:szCs w:val="16"/>
          <w:color w:val="auto"/>
        </w:rPr>
        <w:t xml:space="preserve"> Subject to the terms and conditions hereof, each Domestic Lender severally agrees to make revolving loans (“</w:t>
      </w:r>
      <w:r>
        <w:rPr>
          <w:rFonts w:ascii="Arial" w:cs="Arial" w:eastAsia="Arial" w:hAnsi="Arial"/>
          <w:sz w:val="16"/>
          <w:szCs w:val="16"/>
          <w:u w:val="single" w:color="auto"/>
          <w:color w:val="auto"/>
        </w:rPr>
        <w:t>Domestic Loans</w:t>
      </w:r>
      <w:r>
        <w:rPr>
          <w:rFonts w:ascii="Arial" w:cs="Arial" w:eastAsia="Arial" w:hAnsi="Arial"/>
          <w:sz w:val="16"/>
          <w:szCs w:val="16"/>
          <w:color w:val="auto"/>
        </w:rPr>
        <w:t xml:space="preserve">”) in Dollars to the Company or any Domestic Subsidiary Borrower from time to time during the Commitment Period of such Domestic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Domestic Extensions of Credit do not exceed the amount of such Lender’s Domestic Commitments, (ii) the Total Domestic Extensions of Credit shall not exceed the Total Domestic Commitments then in effect,</w:t>
      </w:r>
    </w:p>
    <w:p>
      <w:pPr>
        <w:spacing w:after="0" w:line="3" w:lineRule="exact"/>
        <w:rPr>
          <w:sz w:val="20"/>
          <w:szCs w:val="20"/>
          <w:color w:val="auto"/>
        </w:rPr>
      </w:pPr>
    </w:p>
    <w:p>
      <w:pPr>
        <w:ind w:right="100" w:firstLine="9"/>
        <w:spacing w:after="0" w:line="283" w:lineRule="auto"/>
        <w:tabs>
          <w:tab w:leader="none" w:pos="3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Total Consolidated GMF Exposure shall not exceed $2 billion and (iv)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 Loans or any combination of the foregoing, as determined by the Company or the relevant Domestic Subsidiary Borrower and notified to the Administrative Agent in accordance with Section 2.2 and 2.17.</w:t>
      </w:r>
    </w:p>
    <w:p>
      <w:pPr>
        <w:spacing w:after="0" w:line="164" w:lineRule="exact"/>
        <w:rPr>
          <w:rFonts w:ascii="Arial" w:cs="Arial" w:eastAsia="Arial" w:hAnsi="Arial"/>
          <w:sz w:val="16"/>
          <w:szCs w:val="16"/>
          <w:color w:val="auto"/>
        </w:rPr>
      </w:pPr>
    </w:p>
    <w:p>
      <w:pPr>
        <w:ind w:right="280" w:firstLine="1072"/>
        <w:spacing w:after="0" w:line="263" w:lineRule="auto"/>
        <w:tabs>
          <w:tab w:leader="none" w:pos="18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78" w:lineRule="exact"/>
        <w:rPr>
          <w:sz w:val="20"/>
          <w:szCs w:val="20"/>
          <w:color w:val="auto"/>
        </w:rPr>
      </w:pPr>
    </w:p>
    <w:p>
      <w:pPr>
        <w:ind w:right="20" w:firstLine="1063"/>
        <w:spacing w:after="0" w:line="26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for Domestic Loan Borrowing</w:t>
      </w:r>
      <w:r>
        <w:rPr>
          <w:rFonts w:ascii="Arial" w:cs="Arial" w:eastAsia="Arial" w:hAnsi="Arial"/>
          <w:sz w:val="17"/>
          <w:szCs w:val="17"/>
          <w:color w:val="auto"/>
        </w:rPr>
        <w:t xml:space="preserve">. The Company and any Domestic Subsidiary Borrower may borrow under the Domestic Commitments during the applicable Commitment Period on any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Domestic Subsidiary Borrower shall give the Administrative Agent a written Borrowing Request (or telephonic notice promptly confirmed with a written Borrowing Request) prior to (a) 1:00 P.M., New York City time, three Business Days prior to the requested Borrowing Date, in the case of Eurocurrency Loans, or (b) 1:00 P.M., New York City time, on the date of the proposed borrowing, in the case of ABR Loans, specifying (i) the amount and Type of Domestic Loans to be borrowed, (ii) the requested Borrowing Date and (iii) in the case of Eurocurrency Loans, the respective lengths of the initial Interest Period(s) therefor. If no election as to the Type of a Domestic Loan is specified in any such notice, then the requested borrowing shall be an ABR Loan. If no Interest Period with respect to a Eurocurrency Loan is specified in any such notice, then the Company or the relevant Domestic Subsidiary Borrower shall be deemed to have selected an Interest Period of one month’s duration. Each borrowing under the Domestic Commitments shall be in an</w:t>
      </w:r>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60"/>
          </w:cols>
          <w:pgMar w:left="220" w:top="510" w:right="219" w:bottom="1440" w:gutter="0" w:footer="0" w:header="0"/>
        </w:sectPr>
      </w:pPr>
    </w:p>
    <w:bookmarkStart w:id="44" w:name="page45"/>
    <w:bookmarkEnd w:id="44"/>
    <w:p>
      <w:pPr>
        <w:ind w:right="40"/>
        <w:spacing w:after="0" w:line="262" w:lineRule="auto"/>
        <w:rPr>
          <w:sz w:val="20"/>
          <w:szCs w:val="20"/>
          <w:color w:val="auto"/>
        </w:rPr>
      </w:pPr>
      <w:r>
        <w:rPr>
          <w:rFonts w:ascii="Arial" w:cs="Arial" w:eastAsia="Arial" w:hAnsi="Arial"/>
          <w:sz w:val="17"/>
          <w:szCs w:val="17"/>
          <w:color w:val="auto"/>
        </w:rPr>
        <w:t xml:space="preserve">amount equal to $25 million (or, if the Total Available Domestic Commitments at such time are less than $25 million, such lesser amount) or a whole multiple of $5 million in excess thereof. Upon receipt of any such notice from the Company or the relevant Domestic Subsidiary Borrower, the Administrative Agent shall promptly notify each Domestic Lender thereof. Each Domestic Lender will make the amount of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81" w:lineRule="exact"/>
        <w:rPr>
          <w:sz w:val="20"/>
          <w:szCs w:val="20"/>
          <w:color w:val="auto"/>
        </w:rPr>
      </w:pPr>
    </w:p>
    <w:p>
      <w:pPr>
        <w:ind w:right="40" w:firstLine="1063"/>
        <w:spacing w:after="0" w:line="26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Multicurrency Commitments.</w:t>
      </w:r>
      <w:r>
        <w:rPr>
          <w:rFonts w:ascii="Arial" w:cs="Arial" w:eastAsia="Arial" w:hAnsi="Arial"/>
          <w:sz w:val="17"/>
          <w:szCs w:val="17"/>
          <w:color w:val="auto"/>
        </w:rPr>
        <w:t xml:space="preserve"> (a) Subject to the terms and conditions hereof, each Multicurrency Lender severally agrees to make (or cause its Applicable Lending Office to make) revolving loans (“</w:t>
      </w:r>
      <w:r>
        <w:rPr>
          <w:rFonts w:ascii="Arial" w:cs="Arial" w:eastAsia="Arial" w:hAnsi="Arial"/>
          <w:sz w:val="17"/>
          <w:szCs w:val="17"/>
          <w:u w:val="single" w:color="auto"/>
          <w:color w:val="auto"/>
        </w:rPr>
        <w:t>Multicurrency Loans</w:t>
      </w:r>
      <w:r>
        <w:rPr>
          <w:rFonts w:ascii="Arial" w:cs="Arial" w:eastAsia="Arial" w:hAnsi="Arial"/>
          <w:sz w:val="17"/>
          <w:szCs w:val="17"/>
          <w:color w:val="auto"/>
        </w:rPr>
        <w:t xml:space="preserve">”) in Dollars or any Optional Currency to the Company, GMF or any Foreign Subsidiary Borrower from time to time during the Commitment Period of such Multicurrency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Multicurrency Extensions of Credit do not exceed the amount of such Lender’s Multicurrency Commitments, (ii) the Total Multicurrency Extensions of Credit shall not exceed the Total Multicurrency Commitments then in effect, (iii) the Total Consolidated GMF Exposure shall not exceed $2 billion and (iv) 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Eurocurrency Loans or (if made to the Company and denominated in Dollars) ABR Loans, in each case, as notified to the Administrative Agent in accordance with Section 2.4 and 2.17.</w:t>
      </w:r>
    </w:p>
    <w:p>
      <w:pPr>
        <w:spacing w:after="0" w:line="181" w:lineRule="exact"/>
        <w:rPr>
          <w:sz w:val="20"/>
          <w:szCs w:val="20"/>
          <w:color w:val="auto"/>
        </w:rPr>
      </w:pPr>
    </w:p>
    <w:p>
      <w:pPr>
        <w:ind w:firstLine="1072"/>
        <w:spacing w:after="0" w:line="263" w:lineRule="auto"/>
        <w:tabs>
          <w:tab w:leader="none" w:pos="18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77" w:lineRule="exact"/>
        <w:rPr>
          <w:rFonts w:ascii="Arial" w:cs="Arial" w:eastAsia="Arial" w:hAnsi="Arial"/>
          <w:sz w:val="18"/>
          <w:szCs w:val="18"/>
          <w:color w:val="auto"/>
        </w:rPr>
      </w:pPr>
    </w:p>
    <w:p>
      <w:pPr>
        <w:ind w:right="300" w:firstLine="1072"/>
        <w:spacing w:after="0" w:line="253" w:lineRule="auto"/>
        <w:tabs>
          <w:tab w:leader="none" w:pos="17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terms of this Agreement and the relevant Ancillary Facility Document(s), any Lender may make all or part of its Multicurrency Commitment available to any Ancillary Borrower as an Ancillary Facility. For the avoidance of doubt, any reference to a Multicurrency Loan, Multicurrency Competitive Loan, Loan or Letter of Credit shall not include any utilization of any Ancillary Facility.</w:t>
      </w:r>
    </w:p>
    <w:p>
      <w:pPr>
        <w:spacing w:after="0" w:line="187" w:lineRule="exact"/>
        <w:rPr>
          <w:sz w:val="20"/>
          <w:szCs w:val="20"/>
          <w:color w:val="auto"/>
        </w:rPr>
      </w:pPr>
    </w:p>
    <w:p>
      <w:pPr>
        <w:ind w:right="180" w:firstLine="1063"/>
        <w:spacing w:after="0" w:line="24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Procedure for Multicurrency Loan Borrowing</w:t>
      </w:r>
      <w:r>
        <w:rPr>
          <w:rFonts w:ascii="Arial" w:cs="Arial" w:eastAsia="Arial" w:hAnsi="Arial"/>
          <w:sz w:val="18"/>
          <w:szCs w:val="18"/>
          <w:color w:val="auto"/>
        </w:rPr>
        <w:t xml:space="preserve">. The Company and any relevant Subsidiary Borrower may borrow under the Multicurrency Commitments during the applicable Commitment Period on any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Subsidiary Borrower shall deliver to the Administrative Agent (x) in the case of any Multicurrency Loan denominated in Dollars, a written Borrowing Request (or telephonic notice promptly confirmed in a written Borrowing Request) prior to (a) in the case of Eurocurrency Loans (i) in the case of requests made by the Company or any Subsidiary Borrower other than GMETC, 1:00 P.M., New York City time, three</w:t>
      </w:r>
    </w:p>
    <w:p>
      <w:pPr>
        <w:spacing w:after="0" w:line="17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60"/>
          </w:cols>
          <w:pgMar w:left="220" w:top="510" w:right="219" w:bottom="1440" w:gutter="0" w:footer="0" w:header="0"/>
        </w:sectPr>
      </w:pPr>
    </w:p>
    <w:bookmarkStart w:id="45" w:name="page46"/>
    <w:bookmarkEnd w:id="45"/>
    <w:p>
      <w:pPr>
        <w:spacing w:after="0" w:line="277" w:lineRule="auto"/>
        <w:rPr>
          <w:sz w:val="20"/>
          <w:szCs w:val="20"/>
          <w:color w:val="auto"/>
        </w:rPr>
      </w:pPr>
      <w:r>
        <w:rPr>
          <w:rFonts w:ascii="Arial" w:cs="Arial" w:eastAsia="Arial" w:hAnsi="Arial"/>
          <w:sz w:val="16"/>
          <w:szCs w:val="16"/>
          <w:color w:val="auto"/>
        </w:rPr>
        <w:t>Business Days prior to the requested Borrowing Date or (ii) in the case of requests made by GMETC, 1:00 P.M., London time, three Business Days prior to the requested Borrowing Date, or (b) 1:00 P.M., New York City time, on the date of the proposed borrowing, in the case of ABR Loans requested by the Company and (y) in the case of any Multicurrency Loan denominated in an Optional Currency, a written Borrowing Request prior to 1:00 P.M., London time, three Business Days prior to the requested Borrowing Date, in each case, specifying (a) the amount, Type and Currency of Multicurrency Loans to be borrowed, (b) the requested Borrowing Date and (c) the respective lengths of the initial Interest Period(s) therefor, if applicable.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pro rata share of each borrowing available to the Administrative Agent for the account of the Company or the relevant Subsidiary Borrower at the Funding Office prior to (x) in the case of any Multicurrency Loan denominated in Dollars, (i) 1:00 P.M. (or, in the case of an ABR Loan requested on the proposed Borrowing Date, 3:00 P.M.), New York City time, on the Borrowing Date requested by the Company or the relevant Subsidiary Borrower (excluding GMETC) and (ii) 1:00 P.M., London time, on the Borrowing Date requested by GMETC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382" w:lineRule="exact"/>
        <w:rPr>
          <w:sz w:val="20"/>
          <w:szCs w:val="20"/>
          <w:color w:val="auto"/>
        </w:rPr>
      </w:pPr>
    </w:p>
    <w:p>
      <w:pPr>
        <w:ind w:right="40" w:firstLine="1063"/>
        <w:spacing w:after="0" w:line="261"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Brazilian Commitments.</w:t>
      </w:r>
      <w:r>
        <w:rPr>
          <w:rFonts w:ascii="Arial" w:cs="Arial" w:eastAsia="Arial" w:hAnsi="Arial"/>
          <w:sz w:val="17"/>
          <w:szCs w:val="17"/>
          <w:color w:val="auto"/>
        </w:rPr>
        <w:t xml:space="preserve"> (a) Subject to the terms and conditions hereof, each Brazilian Lender severally agrees to make (or cause its Applicable Lending Office to make) revolving loans (“</w:t>
      </w:r>
      <w:r>
        <w:rPr>
          <w:rFonts w:ascii="Arial" w:cs="Arial" w:eastAsia="Arial" w:hAnsi="Arial"/>
          <w:sz w:val="17"/>
          <w:szCs w:val="17"/>
          <w:u w:val="single" w:color="auto"/>
          <w:color w:val="auto"/>
        </w:rPr>
        <w:t>Brazilian Loans</w:t>
      </w:r>
      <w:r>
        <w:rPr>
          <w:rFonts w:ascii="Arial" w:cs="Arial" w:eastAsia="Arial" w:hAnsi="Arial"/>
          <w:sz w:val="17"/>
          <w:szCs w:val="17"/>
          <w:color w:val="auto"/>
        </w:rPr>
        <w:t xml:space="preserve">”) in Brazilian Reais to any Brazilian Subsidiary Borrower from time to time during the Commitment Period of such Brazilian Lender pursuant to, in accordance with and subject to the terms of, its Brazilian Bank Certificate; </w:t>
      </w:r>
      <w:r>
        <w:rPr>
          <w:rFonts w:ascii="Arial" w:cs="Arial" w:eastAsia="Arial" w:hAnsi="Arial"/>
          <w:sz w:val="17"/>
          <w:szCs w:val="17"/>
          <w:u w:val="single" w:color="auto"/>
          <w:color w:val="auto"/>
        </w:rPr>
        <w:t>provided</w:t>
      </w:r>
      <w:r>
        <w:rPr>
          <w:rFonts w:ascii="Arial" w:cs="Arial" w:eastAsia="Arial" w:hAnsi="Arial"/>
          <w:sz w:val="17"/>
          <w:szCs w:val="17"/>
          <w:color w:val="auto"/>
        </w:rPr>
        <w:t>, that, (x) after giving effect to such borrowing and the use of proceeds thereof, (i) such Lender’s Brazilian Extensions of Credit do not exceed the amount of such Lender’s Brazilian Commitments then in effect, (ii) the Total Brazilian Extensions of Credit shall not exceed the Total Brazilian Commitment then in effect, (iii) the Total Consolidated GMF Exposure shall not exceed $2 billion and (iv) the Total Extensions of Credit shall not exceed the Total Commitments then in effect and (y) each borrowing under the Brazilian Commitments shall be in an amount that is an integral multiple of R$10 million and no less than R$50 million (or, if the Total Available Brazilian Commitments are less than R$50 million at such time, such lesser amount). During the Commitment Period of the applicable Brazilian Lenders for the Brazilian Facility, the relevant Brazilian Subsidiary Borrower may use the Brazilian Commitments by borrowing, prepaying the Brazilian Loans in whole or in part, and reborrowing, all in accordance with the terms and conditions of the Brazilian Bank Certificates, the Brazilian Intercreditor Agreement and this Agreement. The Brazilian Loans shall be CDI Loans.</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40"/>
          </w:cols>
          <w:pgMar w:left="220" w:top="510" w:right="239" w:bottom="1440" w:gutter="0" w:footer="0" w:header="0"/>
        </w:sectPr>
      </w:pPr>
    </w:p>
    <w:bookmarkStart w:id="46" w:name="page47"/>
    <w:bookmarkEnd w:id="46"/>
    <w:p>
      <w:pPr>
        <w:ind w:right="200" w:firstLine="1072"/>
        <w:spacing w:after="0" w:line="263" w:lineRule="auto"/>
        <w:tabs>
          <w:tab w:leader="none" w:pos="18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all outstanding Brazilian Loans of a Lender on the Termination Date for such Lender under the Brazilian Facility.</w:t>
      </w:r>
    </w:p>
    <w:p>
      <w:pPr>
        <w:spacing w:after="0" w:line="177" w:lineRule="exact"/>
        <w:rPr>
          <w:rFonts w:ascii="Arial" w:cs="Arial" w:eastAsia="Arial" w:hAnsi="Arial"/>
          <w:sz w:val="18"/>
          <w:szCs w:val="18"/>
          <w:color w:val="auto"/>
        </w:rPr>
      </w:pPr>
    </w:p>
    <w:p>
      <w:pPr>
        <w:ind w:right="600" w:firstLine="1072"/>
        <w:spacing w:after="0" w:line="263" w:lineRule="auto"/>
        <w:tabs>
          <w:tab w:leader="none" w:pos="17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any outstanding Brazilian Loans on the dates required by the applicable Brazilian Bank Certificate.</w:t>
      </w:r>
    </w:p>
    <w:p>
      <w:pPr>
        <w:spacing w:after="0" w:line="178" w:lineRule="exact"/>
        <w:rPr>
          <w:sz w:val="20"/>
          <w:szCs w:val="20"/>
          <w:color w:val="auto"/>
        </w:rPr>
      </w:pPr>
    </w:p>
    <w:p>
      <w:pPr>
        <w:ind w:right="20" w:firstLine="1063"/>
        <w:spacing w:after="0" w:line="24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Brazilian Reporting.</w:t>
      </w:r>
      <w:r>
        <w:rPr>
          <w:rFonts w:ascii="Arial" w:cs="Arial" w:eastAsia="Arial" w:hAnsi="Arial"/>
          <w:sz w:val="18"/>
          <w:szCs w:val="18"/>
          <w:color w:val="auto"/>
        </w:rPr>
        <w:t xml:space="preserve"> Unless otherwise requested by the Administrative Agent, the Brazilian Administrative Agent shall report in writing to the Administrative Agent (i) on the last Business Day of each month, the amount of all Brazilian Loans outstanding, (ii) on each Business Day on which the Brazilian Administrative Agent expects a Brazilian Loan to be made, the aggregate principal amount of such Brazilian Loan to be made on such date and the Dollar Equivalent thereof, and the Brazilian Administrative Agent shall not be permitted to release or deliver to any Brazilian Subsidiary Borrower all or any portion of such Brazilian Loan without first notifying the Administrative Agent as set forth herein, and (iii) on any other Business Day, such other information as the Administrative Agent shall reasonably request, including but not limited to prompt verification of such information as may be requested by the Administrative Agent.</w:t>
      </w:r>
    </w:p>
    <w:p>
      <w:pPr>
        <w:spacing w:after="0" w:line="192" w:lineRule="exact"/>
        <w:rPr>
          <w:sz w:val="20"/>
          <w:szCs w:val="20"/>
          <w:color w:val="auto"/>
        </w:rPr>
      </w:pPr>
    </w:p>
    <w:p>
      <w:pPr>
        <w:ind w:firstLine="1063"/>
        <w:spacing w:after="0" w:line="262"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L/C Tranche Commitments.</w:t>
      </w:r>
      <w:r>
        <w:rPr>
          <w:rFonts w:ascii="Arial" w:cs="Arial" w:eastAsia="Arial" w:hAnsi="Arial"/>
          <w:sz w:val="17"/>
          <w:szCs w:val="17"/>
          <w:color w:val="auto"/>
        </w:rPr>
        <w:t xml:space="preserve"> (a) Subject to the terms and conditions hereof, each L/C Tranche Lender severally agrees to make (or cause its Applicable Lending Office to make) revolving loans (“</w:t>
      </w:r>
      <w:r>
        <w:rPr>
          <w:rFonts w:ascii="Arial" w:cs="Arial" w:eastAsia="Arial" w:hAnsi="Arial"/>
          <w:sz w:val="17"/>
          <w:szCs w:val="17"/>
          <w:u w:val="single" w:color="auto"/>
          <w:color w:val="auto"/>
        </w:rPr>
        <w:t>L/C Tranche Loans</w:t>
      </w:r>
      <w:r>
        <w:rPr>
          <w:rFonts w:ascii="Arial" w:cs="Arial" w:eastAsia="Arial" w:hAnsi="Arial"/>
          <w:sz w:val="17"/>
          <w:szCs w:val="17"/>
          <w:color w:val="auto"/>
        </w:rPr>
        <w:t xml:space="preserve">”) in Dollars or any Optional Currency to the Company or any Foreign Subsidiary Borrower from time to time during the Commitment Period of such L/C Tranche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L/C Tranche Extensions of Credit do not exceed the amount of such Lender’s L/C Tranche Commitments, (ii) the Total Consolidated GMF Exposure shall not exceed $2 billion and (iii) the Total Extensions of Credit shall not exceed the Total Commitments then in effect. During the Commitment Period for the applicable L/C Tranche Lenders for the L/C Tranche Facility, the Company and any relevant Subsidiary Borrower may use the L/C Tranche Commitments by borrowing, prepaying the L/C Tranche Loans in whole or in part, and reborrowing, all in accordance with the terms and conditions hereof. The L/C Tranche Loans shall be Eurocurrency Loans or (if made to the Company and denominated in Dollars) ABR Loans as notified to the Administrative Agent in accordance with Section 2.8 and 2.17.</w:t>
      </w:r>
    </w:p>
    <w:p>
      <w:pPr>
        <w:spacing w:after="0" w:line="184" w:lineRule="exact"/>
        <w:rPr>
          <w:sz w:val="20"/>
          <w:szCs w:val="20"/>
          <w:color w:val="auto"/>
        </w:rPr>
      </w:pPr>
    </w:p>
    <w:p>
      <w:pPr>
        <w:ind w:right="100" w:firstLine="1072"/>
        <w:spacing w:after="0" w:line="263" w:lineRule="auto"/>
        <w:tabs>
          <w:tab w:leader="none" w:pos="18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L/C Tranche Loans of a Lender on the Termination Date for such Lender under the L/C Tranche Facility.</w:t>
      </w:r>
    </w:p>
    <w:p>
      <w:pPr>
        <w:spacing w:after="0" w:line="178" w:lineRule="exact"/>
        <w:rPr>
          <w:sz w:val="20"/>
          <w:szCs w:val="20"/>
          <w:color w:val="auto"/>
        </w:rPr>
      </w:pPr>
    </w:p>
    <w:p>
      <w:pPr>
        <w:ind w:right="20" w:firstLine="1063"/>
        <w:spacing w:after="0" w:line="262"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Procedure for L/C Tranche Loan Borrowing</w:t>
      </w:r>
      <w:r>
        <w:rPr>
          <w:rFonts w:ascii="Arial" w:cs="Arial" w:eastAsia="Arial" w:hAnsi="Arial"/>
          <w:sz w:val="17"/>
          <w:szCs w:val="17"/>
          <w:color w:val="auto"/>
        </w:rPr>
        <w:t xml:space="preserve">. The Company and any relevant Subsidiary Borrower may borrow under the L/C Tranche Commitments during the applicable Commitment Period on any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in the case of a deemed request for an ABR Loan (i) on the Reimbursement Date of a Reimbursement Obligation as contemplated by Section 3.5 and (ii) for payment of fees due pursuant to the L/C Fee Letter as contemplated by Section 3.3, the Company or the relevant Subsidiary Borrower shall deliver to the Administrative Agent (x) in the case of any L/C Tranche Loan denominated in Dollars, a written Borrowing Request (or telephonic notice promptly confirmed in a written Borrowing Request) prior to (a) 1:00 P.M., New York City time, three Business Days prior to the requested Borrowing Date, in the case of Eurocurrency Loans, or (b) 12:00 Noon, New York City time, on the date of the proposed borrowing, in the case of ABR Loans requested by the Company and (y) in the case of any L/C Tranche Loan denominated in an Optional Currency, a written Borrowing Request prior to 12:00 Noon, London time, three Business Days prior to the requested Borrowing Date, in each case, specifying (a) the amount, Type and Currency of L/C Tranche Loans to be borrowed, (b) the requested Borrowing Date and (c) the respective lengths of the initial Interest Period(s)</w:t>
      </w:r>
    </w:p>
    <w:p>
      <w:pPr>
        <w:spacing w:after="0" w:line="16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40"/>
          </w:cols>
          <w:pgMar w:left="220" w:top="510"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6"/>
          <w:szCs w:val="16"/>
          <w:color w:val="auto"/>
        </w:rPr>
        <w:t>therefor, if applicable. If no election as to the Type of an L/C Tranche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Except as otherwise contemplated by Sections 3.3 and 3.5,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 $50 million at such time, such lesser amount). Upon receipt of any such notice from the Company or the relevant Subsidiary Borrower (or, as provided in Sections 3.3 and 3.5, deemed notice), the Administrative Agent shall promptly notify each L/C Tranche Lender holding L/C Tranche Commitments of such notice. Each L/C Tranche Lender holding L/C Tranche Commitments will make (or cause its Applicable Lending Office to make) the amount of its pro rata share of each borrowing available to the Administrative Agent for the account of the Company or the relevant Subsidiary Borrower at the Funding Office prior to (x) in the case of any L/C Tranche Loan denominated in Dollars, 1:00 P.M. (or, in the case of an ABR Loan requested by the Company on the proposed Borrowing Date, 3:00 P.M.), New York City time, on the Borrowing Date requested by the Company or the relevant Subsidiary Borrower and (y) in the case of any L/C Tranche Loan denominated in an Optional Currency, 2:00 P.M., London time, on the Borrowing Date requested by the Company or such Subsidiary Borrower in funds immediately available to the Administrative Agent. Subject to Sections 3.3 and 3.5 (where the proceeds of such borrowing shall be applied to repay fees due pursuant to the L/C Fee Letter or the related Reimbursement Obligation, as applicable),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L/C Tranche Lenders and in like funds as received by the Administrative Agent.</w:t>
      </w:r>
    </w:p>
    <w:p>
      <w:pPr>
        <w:spacing w:after="0" w:line="177"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[Reserved].</w:t>
      </w:r>
    </w:p>
    <w:p>
      <w:pPr>
        <w:spacing w:after="0" w:line="214" w:lineRule="exact"/>
        <w:rPr>
          <w:sz w:val="20"/>
          <w:szCs w:val="20"/>
          <w:color w:val="auto"/>
        </w:rPr>
      </w:pPr>
    </w:p>
    <w:p>
      <w:pPr>
        <w:ind w:left="1080"/>
        <w:spacing w:after="0"/>
        <w:tabs>
          <w:tab w:leader="none" w:pos="19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[Reserved].</w:t>
      </w:r>
    </w:p>
    <w:p>
      <w:pPr>
        <w:spacing w:after="0" w:line="214" w:lineRule="exact"/>
        <w:rPr>
          <w:sz w:val="20"/>
          <w:szCs w:val="20"/>
          <w:color w:val="auto"/>
        </w:rPr>
      </w:pPr>
    </w:p>
    <w:p>
      <w:pPr>
        <w:ind w:left="1080"/>
        <w:spacing w:after="0"/>
        <w:tabs>
          <w:tab w:leader="none" w:pos="18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[Reserved].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p>
    <w:p>
      <w:pPr>
        <w:spacing w:after="0" w:line="3" w:lineRule="exact"/>
        <w:rPr>
          <w:sz w:val="20"/>
          <w:szCs w:val="20"/>
          <w:color w:val="auto"/>
        </w:rPr>
      </w:pPr>
    </w:p>
    <w:p>
      <w:pPr>
        <w:ind w:firstLine="1063"/>
        <w:spacing w:after="0" w:line="260"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Competitive Bid Procedure.</w:t>
      </w:r>
      <w:r>
        <w:rPr>
          <w:rFonts w:ascii="Arial" w:cs="Arial" w:eastAsia="Arial" w:hAnsi="Arial"/>
          <w:sz w:val="17"/>
          <w:szCs w:val="17"/>
          <w:color w:val="auto"/>
        </w:rPr>
        <w:t xml:space="preserve"> (a) (i) Subject to the terms and conditions set forth herein, from time to time during the Commitment Period in respect of Domestic Commitments, the Company or any Domestic Subsidiary Borrower may request Competitive Bids under the Domestic Facility and may (but shall not have any obligation to) accept Competitive Bids and borrow Competitive Loans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borrowing and the use of proceeds thereof, (i) the Total Domestic Extensions of Credit shall not exceed the Total Domestic Commitments then in effect, (ii) the Total Consolidated GMF Exposure shall not exceed $2 billion and (iii) the Total Extensions of Credit shall not exceed the 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Domestic Facility, (2) the amount (which shall be a minimum of $50 million) and Type of the requested Competitive Loans, (3) the requested Borrowing Date and (4) the requested Interest Period applicable thereto; provided, that the</w:t>
      </w:r>
    </w:p>
    <w:p>
      <w:pPr>
        <w:spacing w:after="0" w:line="165"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60"/>
          </w:cols>
          <w:pgMar w:left="220" w:top="510" w:right="219" w:bottom="1440" w:gutter="0" w:footer="0" w:header="0"/>
        </w:sectPr>
      </w:pPr>
    </w:p>
    <w:bookmarkStart w:id="48" w:name="page49"/>
    <w:bookmarkEnd w:id="48"/>
    <w:p>
      <w:pPr>
        <w:ind w:right="180"/>
        <w:spacing w:after="0" w:line="263" w:lineRule="auto"/>
        <w:rPr>
          <w:sz w:val="20"/>
          <w:szCs w:val="20"/>
          <w:color w:val="auto"/>
        </w:rPr>
      </w:pPr>
      <w:r>
        <w:rPr>
          <w:rFonts w:ascii="Arial" w:cs="Arial" w:eastAsia="Arial" w:hAnsi="Arial"/>
          <w:sz w:val="18"/>
          <w:szCs w:val="18"/>
          <w:color w:val="auto"/>
        </w:rPr>
        <w:t>Company or the relevant Domestic Subsidiary Borrower may request offers to make Competitive Loans under the Domestic Facility for more than one Interest Period or for multiple Types of Competitive Loans under the Domestic Facility in a single Competitive Bid Request.</w:t>
      </w:r>
    </w:p>
    <w:p>
      <w:pPr>
        <w:spacing w:after="0" w:line="178" w:lineRule="exact"/>
        <w:rPr>
          <w:sz w:val="20"/>
          <w:szCs w:val="20"/>
          <w:color w:val="auto"/>
        </w:rPr>
      </w:pPr>
    </w:p>
    <w:p>
      <w:pPr>
        <w:ind w:right="20" w:firstLine="1072"/>
        <w:spacing w:after="0" w:line="261" w:lineRule="auto"/>
        <w:tabs>
          <w:tab w:leader="none" w:pos="18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from time to time during the Commitment Period in respect of Multicurrency Commitments, the Company or any relevant Subsidiary 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borrowing and the use of proceeds thereof, (x) the Total Multicurrency Extensions of Credit shall not exceed the Total Multicurrency Commitments then in effect, (y) the Total Consolidated GMF Exposure shall not exceed $2 billion and (z) the Total Extensions of Credit shall not exceed the Total Commitments then in effect. To request Competitive Bids under the 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82" w:lineRule="exact"/>
        <w:rPr>
          <w:sz w:val="20"/>
          <w:szCs w:val="20"/>
          <w:color w:val="auto"/>
        </w:rPr>
      </w:pPr>
    </w:p>
    <w:p>
      <w:pPr>
        <w:ind w:right="320" w:firstLine="1072"/>
        <w:spacing w:after="0" w:line="250" w:lineRule="auto"/>
        <w:tabs>
          <w:tab w:leader="none" w:pos="18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Promptly following receipt of a Competitive Bid Request conforming to the requirements of this Section (but, in any event, no later than (x) 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89" w:lineRule="exact"/>
        <w:rPr>
          <w:rFonts w:ascii="Arial" w:cs="Arial" w:eastAsia="Arial" w:hAnsi="Arial"/>
          <w:sz w:val="18"/>
          <w:szCs w:val="18"/>
          <w:color w:val="auto"/>
        </w:rPr>
      </w:pPr>
    </w:p>
    <w:p>
      <w:pPr>
        <w:ind w:firstLine="1072"/>
        <w:spacing w:after="0" w:line="279" w:lineRule="auto"/>
        <w:tabs>
          <w:tab w:leader="none" w:pos="1791"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Lender under the applicable Facility (or any Applicable Lending Office of such Lender) may (but shall not have any obligation to) make one or more Competitive Bids to the Company in response to a Competitive Bid Request. Each Competitive Bid by a Lender must be substantially in the form of Exhibit D and must be received by the Administrative Agent at its office specified in Section 10.2 not later than (x) with respect to any such Competitive Bid made under the Domestic Facility, 9:30 A.M., New York City time, three Business Days before the proposed Borrowing Date, in the case of Eurocurrency Competitive Loans, or 9:30 A.M., New York City time, on the proposed Borrowing Date, in the case of Fixed 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D may be rejected by the Administrative Agent, and the Administrative Agent shall notify the applicable Lender as promptly as practicable if such bid is rejected. Each Competitive Bid shall specify (i) the principal amount (which shall be a minimum of $5 million (or 5 million units of an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w:t>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60"/>
          </w:cols>
          <w:pgMar w:left="220" w:top="510" w:right="219" w:bottom="1440" w:gutter="0" w:footer="0" w:header="0"/>
        </w:sectPr>
      </w:pPr>
    </w:p>
    <w:bookmarkStart w:id="49" w:name="page50"/>
    <w:bookmarkEnd w:id="49"/>
    <w:p>
      <w:pPr>
        <w:ind w:right="320"/>
        <w:spacing w:after="0" w:line="253" w:lineRule="auto"/>
        <w:rPr>
          <w:sz w:val="20"/>
          <w:szCs w:val="20"/>
          <w:color w:val="auto"/>
        </w:rPr>
      </w:pPr>
      <w:r>
        <w:rPr>
          <w:rFonts w:ascii="Arial" w:cs="Arial" w:eastAsia="Arial" w:hAnsi="Arial"/>
          <w:sz w:val="18"/>
          <w:szCs w:val="18"/>
          <w:color w:val="auto"/>
        </w:rPr>
        <w:t>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87" w:lineRule="exact"/>
        <w:rPr>
          <w:sz w:val="20"/>
          <w:szCs w:val="20"/>
          <w:color w:val="auto"/>
        </w:rPr>
      </w:pPr>
    </w:p>
    <w:p>
      <w:pPr>
        <w:ind w:right="40" w:firstLine="1072"/>
        <w:spacing w:after="0" w:line="264" w:lineRule="auto"/>
        <w:tabs>
          <w:tab w:leader="none" w:pos="1801"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no later than (x) with respect to any such requested Domestic Competitive Loan, 10:00 A.M., New York City time (i) three Business Days before the proposed Borrowing Date, in the case of Eurocurrency Competitive Loans, and (ii) on the proposed Borrowing Date, in the case of Fixed Rate Loans and (y) with respect to any such requested Multicurrency Competitive Loan, 10:30 A.M., London time (i) three Business Days before the proposed Borrowing Date, in the case of Eurocurrency Competitive Loans, and (ii) one Business Day before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78" w:lineRule="exact"/>
        <w:rPr>
          <w:rFonts w:ascii="Arial" w:cs="Arial" w:eastAsia="Arial" w:hAnsi="Arial"/>
          <w:sz w:val="17"/>
          <w:szCs w:val="17"/>
          <w:color w:val="auto"/>
        </w:rPr>
      </w:pPr>
    </w:p>
    <w:p>
      <w:pPr>
        <w:ind w:right="60" w:firstLine="1072"/>
        <w:spacing w:after="0" w:line="276" w:lineRule="auto"/>
        <w:tabs>
          <w:tab w:leader="none" w:pos="1791"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w:t>
      </w:r>
    </w:p>
    <w:p>
      <w:pPr>
        <w:spacing w:after="0" w:line="1" w:lineRule="exact"/>
        <w:rPr>
          <w:rFonts w:ascii="Arial" w:cs="Arial" w:eastAsia="Arial" w:hAnsi="Arial"/>
          <w:sz w:val="16"/>
          <w:szCs w:val="16"/>
          <w:color w:val="auto"/>
        </w:rPr>
      </w:pPr>
    </w:p>
    <w:p>
      <w:pPr>
        <w:ind w:right="60" w:firstLine="9"/>
        <w:spacing w:after="0" w:line="260" w:lineRule="auto"/>
        <w:tabs>
          <w:tab w:leader="none" w:pos="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amount of 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 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186" w:lineRule="exact"/>
        <w:rPr>
          <w:rFonts w:ascii="Arial" w:cs="Arial" w:eastAsia="Arial" w:hAnsi="Arial"/>
          <w:sz w:val="17"/>
          <w:szCs w:val="17"/>
          <w:color w:val="auto"/>
        </w:rPr>
      </w:pPr>
    </w:p>
    <w:p>
      <w:pPr>
        <w:ind w:firstLine="1072"/>
        <w:spacing w:after="0" w:line="250" w:lineRule="auto"/>
        <w:tabs>
          <w:tab w:leader="none" w:pos="17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w:t>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60"/>
          </w:cols>
          <w:pgMar w:left="220" w:top="510" w:right="219" w:bottom="1440" w:gutter="0" w:footer="0" w:header="0"/>
        </w:sectPr>
      </w:pPr>
    </w:p>
    <w:bookmarkStart w:id="50" w:name="page51"/>
    <w:bookmarkEnd w:id="50"/>
    <w:p>
      <w:pPr>
        <w:ind w:right="360"/>
        <w:spacing w:after="0" w:line="250" w:lineRule="auto"/>
        <w:rPr>
          <w:sz w:val="20"/>
          <w:szCs w:val="20"/>
          <w:color w:val="auto"/>
        </w:rPr>
      </w:pPr>
      <w:r>
        <w:rPr>
          <w:rFonts w:ascii="Arial" w:cs="Arial" w:eastAsia="Arial" w:hAnsi="Arial"/>
          <w:sz w:val="18"/>
          <w:szCs w:val="18"/>
          <w:color w:val="auto"/>
        </w:rPr>
        <w:t>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90" w:lineRule="exact"/>
        <w:rPr>
          <w:sz w:val="20"/>
          <w:szCs w:val="20"/>
          <w:color w:val="auto"/>
        </w:rPr>
      </w:pPr>
    </w:p>
    <w:p>
      <w:pPr>
        <w:ind w:right="160" w:firstLine="1072"/>
        <w:spacing w:after="0" w:line="253" w:lineRule="auto"/>
        <w:tabs>
          <w:tab w:leader="none" w:pos="18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w:t>
      </w:r>
    </w:p>
    <w:p>
      <w:pPr>
        <w:spacing w:after="0" w:line="187" w:lineRule="exact"/>
        <w:rPr>
          <w:rFonts w:ascii="Arial" w:cs="Arial" w:eastAsia="Arial" w:hAnsi="Arial"/>
          <w:sz w:val="18"/>
          <w:szCs w:val="18"/>
          <w:color w:val="auto"/>
        </w:rPr>
      </w:pPr>
    </w:p>
    <w:p>
      <w:pPr>
        <w:ind w:right="140" w:firstLine="1072"/>
        <w:spacing w:after="0" w:line="263" w:lineRule="auto"/>
        <w:tabs>
          <w:tab w:leader="none" w:pos="18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178" w:lineRule="exact"/>
        <w:rPr>
          <w:sz w:val="20"/>
          <w:szCs w:val="20"/>
          <w:color w:val="auto"/>
        </w:rPr>
      </w:pPr>
    </w:p>
    <w:p>
      <w:pPr>
        <w:ind w:right="40" w:firstLine="1063"/>
        <w:spacing w:after="0" w:line="246"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Facility Fees, etc.</w:t>
      </w:r>
      <w:r>
        <w:rPr>
          <w:rFonts w:ascii="Arial" w:cs="Arial" w:eastAsia="Arial" w:hAnsi="Arial"/>
          <w:sz w:val="18"/>
          <w:szCs w:val="18"/>
          <w:color w:val="auto"/>
        </w:rPr>
        <w:t xml:space="preserve">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Domestic Lender and Multicurrency Lender for the period from and including the Closing Date (or such later date as of which such Lender shall become a Lender under the Domestic Facility or Multicurrency Facility, 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or Multicurrency Lender, as applicable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commencing on the first such date to occur after the Closing Date.</w:t>
      </w:r>
    </w:p>
    <w:p>
      <w:pPr>
        <w:spacing w:after="0" w:line="196" w:lineRule="exact"/>
        <w:rPr>
          <w:sz w:val="20"/>
          <w:szCs w:val="20"/>
          <w:color w:val="auto"/>
        </w:rPr>
      </w:pPr>
    </w:p>
    <w:p>
      <w:pPr>
        <w:ind w:right="480" w:firstLine="1072"/>
        <w:spacing w:after="0" w:line="263" w:lineRule="auto"/>
        <w:tabs>
          <w:tab w:leader="none" w:pos="18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agrees to pay or cause the Applicable Account Party to pay to the L/C Tranche Lenders, the Issuing Lenders or the Administrative Agent, as applicable, the fees in the amounts and on the dates as set forth in the L/C Fee Letter.</w:t>
      </w:r>
    </w:p>
    <w:p>
      <w:pPr>
        <w:spacing w:after="0" w:line="177" w:lineRule="exact"/>
        <w:rPr>
          <w:rFonts w:ascii="Arial" w:cs="Arial" w:eastAsia="Arial" w:hAnsi="Arial"/>
          <w:sz w:val="18"/>
          <w:szCs w:val="18"/>
          <w:color w:val="auto"/>
        </w:rPr>
      </w:pPr>
    </w:p>
    <w:p>
      <w:pPr>
        <w:ind w:right="360" w:firstLine="1072"/>
        <w:spacing w:after="0" w:line="253" w:lineRule="auto"/>
        <w:tabs>
          <w:tab w:leader="none" w:pos="17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GMB or any other Brazilian Subsidiary Borrower shall pay to the Brazilian Administrative Agent for the account of each Brazilian Lender the “Commission”( as such term is defined in each Brazilian Bank Certificate pursuant to the terms thereof, on the dates and in the amounts set forth therein).</w:t>
      </w:r>
    </w:p>
    <w:p>
      <w:pPr>
        <w:spacing w:after="0" w:line="187" w:lineRule="exact"/>
        <w:rPr>
          <w:rFonts w:ascii="Arial" w:cs="Arial" w:eastAsia="Arial" w:hAnsi="Arial"/>
          <w:sz w:val="18"/>
          <w:szCs w:val="18"/>
          <w:color w:val="auto"/>
        </w:rPr>
      </w:pPr>
    </w:p>
    <w:p>
      <w:pPr>
        <w:ind w:right="400" w:firstLine="1072"/>
        <w:spacing w:after="0" w:line="263" w:lineRule="auto"/>
        <w:tabs>
          <w:tab w:leader="none" w:pos="18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September 3, 2014 between the Company and the Administrative Agent.</w:t>
      </w:r>
    </w:p>
    <w:p>
      <w:pPr>
        <w:spacing w:after="0" w:line="177" w:lineRule="exact"/>
        <w:rPr>
          <w:rFonts w:ascii="Arial" w:cs="Arial" w:eastAsia="Arial" w:hAnsi="Arial"/>
          <w:sz w:val="18"/>
          <w:szCs w:val="18"/>
          <w:color w:val="auto"/>
        </w:rPr>
      </w:pPr>
    </w:p>
    <w:p>
      <w:pPr>
        <w:ind w:right="80" w:firstLine="1072"/>
        <w:spacing w:after="0" w:line="263" w:lineRule="auto"/>
        <w:tabs>
          <w:tab w:leader="none" w:pos="17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payments of fees in respect of any Ancillary Facility will be agreed by the relevant Ancillary Lender and the applicable Foreign Subsidiary under such Ancillary Facility.</w:t>
      </w:r>
    </w:p>
    <w:p>
      <w:pPr>
        <w:spacing w:after="0" w:line="178" w:lineRule="exact"/>
        <w:rPr>
          <w:sz w:val="20"/>
          <w:szCs w:val="20"/>
          <w:color w:val="auto"/>
        </w:rPr>
      </w:pPr>
    </w:p>
    <w:p>
      <w:pPr>
        <w:ind w:left="1080"/>
        <w:spacing w:after="0"/>
        <w:tabs>
          <w:tab w:leader="none" w:pos="19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Termination, Reduction and Reallocation of Commitments.</w:t>
      </w:r>
    </w:p>
    <w:p>
      <w:pPr>
        <w:spacing w:after="0" w:line="214" w:lineRule="exact"/>
        <w:rPr>
          <w:sz w:val="20"/>
          <w:szCs w:val="20"/>
          <w:color w:val="auto"/>
        </w:rPr>
      </w:pPr>
    </w:p>
    <w:p>
      <w:pPr>
        <w:ind w:firstLine="1072"/>
        <w:spacing w:after="0" w:line="253" w:lineRule="auto"/>
        <w:tabs>
          <w:tab w:leader="none" w:pos="17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Company shall have the right, upon not less than three Business Days’ notice to the Administrative Agent (and, in the case of a reduction or termination of Brazilian Commitments, the Brazilian Administrative Agent), to terminate the Commitments under any Facility or, from time to time, to reduce the amount of Commitments under any Facility;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termination or reduction</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60"/>
          </w:cols>
          <w:pgMar w:left="220" w:top="510" w:right="219" w:bottom="1440" w:gutter="0" w:footer="0" w:header="0"/>
        </w:sectPr>
      </w:pPr>
    </w:p>
    <w:bookmarkStart w:id="51" w:name="page52"/>
    <w:bookmarkEnd w:id="51"/>
    <w:p>
      <w:pPr>
        <w:ind w:right="20"/>
        <w:spacing w:after="0" w:line="278" w:lineRule="auto"/>
        <w:rPr>
          <w:sz w:val="20"/>
          <w:szCs w:val="20"/>
          <w:color w:val="auto"/>
        </w:rPr>
      </w:pPr>
      <w:r>
        <w:rPr>
          <w:rFonts w:ascii="Arial" w:cs="Arial" w:eastAsia="Arial" w:hAnsi="Arial"/>
          <w:sz w:val="16"/>
          <w:szCs w:val="16"/>
          <w:color w:val="auto"/>
        </w:rPr>
        <w:t xml:space="preserve">of such Commitments shall be permitted if, after giving effect thereto and to any prepayments of the Loans (if applicable) made on the effective date thereof, (v) the Total Brazilian Extensions of Credit would exceed the Total Brazilian Commitments then in effect, (w) the Total Domestic Extensions of Credit would exceed the Total Domestic Commitments then in effect, (x) the Domestic Extensions of Credit of any Lender would exceed such Lender’s Domestic Commitment then in effect, (y) the Total L/C Tranche Extensions of Credit would exceed the Total L/C Tranche Commitments then in effect, or (z) the Total Multicurrency Extensions of Credit would exceed the Total Multicurrency Commitments then in effect. In the event that the Administrative Agent (and the Brazilian Administrative Agent, if applicable) receives such notice, the Administrative Agent (or the Brazilian Administrative Agent, if applicable)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2.14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(and the Brazilian Administrative Agent, if applicable) on or prior to the specified effective date) if such condition is not satisfied. Notwithstanding the foregoing, the revocation of a termination notice shall not affect the Company’s obligation to indemnify any Lender in accordance with Section 2.25 for any loss or expense sustained or incurred as a consequence thereof.</w:t>
      </w:r>
    </w:p>
    <w:p>
      <w:pPr>
        <w:spacing w:after="0" w:line="175" w:lineRule="exact"/>
        <w:rPr>
          <w:sz w:val="20"/>
          <w:szCs w:val="20"/>
          <w:color w:val="auto"/>
        </w:rPr>
      </w:pPr>
    </w:p>
    <w:p>
      <w:pPr>
        <w:ind w:firstLine="1072"/>
        <w:spacing w:after="0" w:line="277" w:lineRule="auto"/>
        <w:tabs>
          <w:tab w:leader="none" w:pos="1801"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upon not less than three Business Days’ notice to the Administrative Agent, to require the Lenders under the Multicurrency Facility or L/C Tranche Facility, as applicable, to reallocate the Multicurrency Commitments or L/C Tranche Commitments, as applicable, to the Domestic Facility and the Company may at any time or from time to time after the Closing Date, by notice to the Administrative Agent and the Lenders, request that one or more of the Lenders under the Brazilian Facility reallocate a portion of their respective Brazilian Commitments to the Domestic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(y) in the case of a reallocation of L/C Tranche Commitments, the Total L/C Tranche Extensions of Credit shall not exceed the Total L/C Tranche Commitments then in effect and (z) in the case of a reallocation of Brazilian Commitments, the Total Brazilian Extensions of Credit shall not exceed the Total Brazilian Commitments then in effect. Except as provided in Section 2.27, any such reallocation shall be in an amount equal to $25 million or a whole multiple of $1 million in excess thereof. Any such reallocation shall reduce the Multicurrency Commitments or L/C Tranche Commitments, as applicable, of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existing Multicurrency Commitments or L/C Tranche Commitments, as applicable, at such time and increase such Lender’s Domestic Commitment by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reallocation would result in amounts being payable by the Company or any Subsidiary Borrower to any Lender under Section 2.23 or 2.24, such Lender shall use reasonable efforts (subject to Section 2.26)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2.25 as a result of</w:t>
      </w:r>
    </w:p>
    <w:p>
      <w:pPr>
        <w:spacing w:after="0" w:line="157"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20" w:top="510" w:right="259" w:bottom="1440" w:gutter="0" w:footer="0" w:header="0"/>
        </w:sectPr>
      </w:pPr>
    </w:p>
    <w:bookmarkStart w:id="52" w:name="page53"/>
    <w:bookmarkEnd w:id="52"/>
    <w:p>
      <w:pPr>
        <w:ind w:right="340"/>
        <w:spacing w:after="0" w:line="263" w:lineRule="auto"/>
        <w:rPr>
          <w:sz w:val="20"/>
          <w:szCs w:val="20"/>
          <w:color w:val="auto"/>
        </w:rPr>
      </w:pPr>
      <w:r>
        <w:rPr>
          <w:rFonts w:ascii="Arial" w:cs="Arial" w:eastAsia="Arial" w:hAnsi="Arial"/>
          <w:sz w:val="18"/>
          <w:szCs w:val="18"/>
          <w:color w:val="auto"/>
        </w:rPr>
        <w:t>such prepayment. Notwithstanding anything in this clause (b) to the contrary, no Brazilian Lender shall be obligated to reallocate any portion of its Brazilian Commitments to the Domestic Facility unless such Lender agrees.</w:t>
      </w:r>
    </w:p>
    <w:p>
      <w:pPr>
        <w:spacing w:after="0" w:line="178" w:lineRule="exact"/>
        <w:rPr>
          <w:sz w:val="20"/>
          <w:szCs w:val="20"/>
          <w:color w:val="auto"/>
        </w:rPr>
      </w:pPr>
    </w:p>
    <w:p>
      <w:pPr>
        <w:ind w:firstLine="1072"/>
        <w:spacing w:after="0" w:line="275" w:lineRule="auto"/>
        <w:tabs>
          <w:tab w:leader="none" w:pos="1791"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L/C Tranche Facility or Brazilian Facility, as applicable, reallocate a portion of their respective Domestic Commitments, L/C Tranche Commitments or Brazilian Commitments, as applicable, to the Multicurrency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reallocation and any prepayment of the Domestic Loans, L/C Tranche Loans or Brazilian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(i)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(ii) in the case of a reallocation of L/C Tranche Commitments, the Total L/C Tranche Extensions of Credit shall not exceed the Total L/C Tranche Commitments then in effect and (iii) in the case of a reallocation of Brazilian Commitments, the Total Brazilian Extensions of Credit shall not exceed the Total Brazilian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the L/C Tranche Lenders or the Brazilian Lenders, as applicable, to such reallocation. The relevant Lenders agreeing to reallocate a portion of their Domestic Commitments, L/C Tranche Commitments or Brazilian Commitments, as applicable, to the Multicurrency Facility shall have such portion of their Domestic Commitment, L/C Tranche Commitments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w:t>
      </w:r>
    </w:p>
    <w:p>
      <w:pPr>
        <w:spacing w:after="0" w:line="6" w:lineRule="exact"/>
        <w:rPr>
          <w:rFonts w:ascii="Arial" w:cs="Arial" w:eastAsia="Arial" w:hAnsi="Arial"/>
          <w:sz w:val="16"/>
          <w:szCs w:val="16"/>
          <w:color w:val="auto"/>
        </w:rPr>
      </w:pPr>
    </w:p>
    <w:p>
      <w:pPr>
        <w:ind w:right="80" w:firstLine="9"/>
        <w:spacing w:after="0" w:line="245" w:lineRule="auto"/>
        <w:tabs>
          <w:tab w:leader="none" w:pos="3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any relevant Subsidiary Borrower shall pay to the relevant Lenders the amounts, if any, payable under Section 2.25 as a result of such prepayment(s). Notwithstanding anything in this clause (c) to the contrary, no Domestic Lender, L/C Tranche Lender or Brazilian Lender, as applicable, shall be obligated to reallocate any portion of its Domestic Commitments, L/C Tranche Commitments or Brazilian Commitments, as applicable, to the Multicurrency Facility unless such Lender agrees.</w:t>
      </w:r>
    </w:p>
    <w:p>
      <w:pPr>
        <w:spacing w:after="0" w:line="193" w:lineRule="exact"/>
        <w:rPr>
          <w:rFonts w:ascii="Arial" w:cs="Arial" w:eastAsia="Arial" w:hAnsi="Arial"/>
          <w:sz w:val="18"/>
          <w:szCs w:val="18"/>
          <w:color w:val="auto"/>
        </w:rPr>
      </w:pPr>
    </w:p>
    <w:p>
      <w:pPr>
        <w:ind w:right="140" w:firstLine="1072"/>
        <w:spacing w:after="0" w:line="277" w:lineRule="auto"/>
        <w:tabs>
          <w:tab w:leader="none" w:pos="1801"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Multicurrency Facility or Brazilian Facility, as applicable, reallocate a portion of their respective Domestic Commitments, Multicurrency Commitments or Brazilian Commitments, as applicable, to the L/C Tranche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reallocation and any prepayment of the Domestic Loans, Multicurrency Loans or Brazilian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(x) in the case of a reallocation of Domestic Commitments, (A) the Total Domestic Extensions of Credit shall not exceed the Total Domestic Commitments then in effect and</w:t>
      </w:r>
    </w:p>
    <w:p>
      <w:pPr>
        <w:spacing w:after="0" w:line="1" w:lineRule="exact"/>
        <w:rPr>
          <w:rFonts w:ascii="Arial" w:cs="Arial" w:eastAsia="Arial" w:hAnsi="Arial"/>
          <w:sz w:val="16"/>
          <w:szCs w:val="16"/>
          <w:color w:val="auto"/>
        </w:rPr>
      </w:pPr>
    </w:p>
    <w:p>
      <w:pPr>
        <w:ind w:right="260"/>
        <w:spacing w:after="0" w:line="247" w:lineRule="auto"/>
        <w:rPr>
          <w:rFonts w:ascii="Arial" w:cs="Arial" w:eastAsia="Arial" w:hAnsi="Arial"/>
          <w:sz w:val="16"/>
          <w:szCs w:val="16"/>
          <w:color w:val="auto"/>
        </w:rPr>
      </w:pPr>
      <w:r>
        <w:rPr>
          <w:rFonts w:ascii="Arial" w:cs="Arial" w:eastAsia="Arial" w:hAnsi="Arial"/>
          <w:sz w:val="18"/>
          <w:szCs w:val="18"/>
          <w:color w:val="auto"/>
        </w:rPr>
        <w:t>(B) the Domestic Extensions of Credit of any Lender shall not exceed the amount of such Lender’s Domestic Commitments then in effect, (y) in the case of a reallocation of Multicurrency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40"/>
          </w:cols>
          <w:pgMar w:left="220" w:top="510" w:right="239" w:bottom="1440" w:gutter="0" w:footer="0" w:header="0"/>
        </w:sectPr>
      </w:pPr>
    </w:p>
    <w:bookmarkStart w:id="53" w:name="page54"/>
    <w:bookmarkEnd w:id="53"/>
    <w:p>
      <w:pPr>
        <w:ind w:right="20" w:firstLine="9"/>
        <w:spacing w:after="0" w:line="277" w:lineRule="auto"/>
        <w:tabs>
          <w:tab w:leader="none" w:pos="29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Total Multicurrency Extensions of Credit shall not exceed the Total Multicurrency Commitments then in effect and (B) the Multicurrency Extensions of Credit of any Lender shall not exceed the amount of such Lender’s Multicurrency Commitments then in effect and (z) in the case of a reallocation of Brazilian Commitments, the Total Brazilian Extensions of Credit shall not exceed the Total Brazilian Commitments then in effect and (ii) such reallocation shall have been consented to by each Material Issuing Lender to the extent such consent would be required for an assignment to such Lender pursuant to Section 10.6(b). Each notice from the Company pursuant to this paragraph (d) shall set forth the requested amount of such reallocation and date of such reallocation (which shall be at least three Business Days after the date of such request) and shall also set forth the agreement of the relevant Domestic Lenders, the Multicurrency Lenders or the Brazilian Lenders, as applicable, to such reallocation. The relevant Lenders agreeing to reallocate a portion of their Domestic Commitments, Multicurrency Commitments or Brazilian Commitments, as applicable, to the L/C Tranche Facility shall have such portion of their Domestic Commitments, Multicurrency Commitments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L/C Tranche Loans of the other L/C Tranche Lenders, the L/C Tranche Loans to be held ratably by all L/C Tranche Lenders in accordance with their respective L/C Tranche Commitments after giving effect to such reallocation, (ii) the Company and any relevant Subsidiary Borrower shall be deemed to have prepaid and reborrowed all outstanding L/C Tranche Loans and (iii) the Company and any relevant Subsidiary Borrower shall pay to the relevant Lenders the amounts, if any, payable under Section 2.25 as a result of such prepayment(s). Notwithstanding anything in this clause (d) to the contrary, no Domestic Lender, Multicurrency Lender or Brazilian Lender, as applicable, shall be obligated to reallocate any portion of its Domestic Commitments, Multicurrency Commitments or Brazilian Commitments, as applicable, to the L/C Tranche Facility unless such Lender agrees.</w:t>
      </w:r>
    </w:p>
    <w:p>
      <w:pPr>
        <w:spacing w:after="0" w:line="177" w:lineRule="exact"/>
        <w:rPr>
          <w:rFonts w:ascii="Arial" w:cs="Arial" w:eastAsia="Arial" w:hAnsi="Arial"/>
          <w:sz w:val="16"/>
          <w:szCs w:val="16"/>
          <w:color w:val="auto"/>
        </w:rPr>
      </w:pPr>
    </w:p>
    <w:p>
      <w:pPr>
        <w:ind w:right="500" w:firstLine="1072"/>
        <w:spacing w:after="0" w:line="275" w:lineRule="auto"/>
        <w:tabs>
          <w:tab w:leader="none" w:pos="1791"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reallocation of Brazilian Commitments described above shall be made pursuant to an amendment to the Brazilian Bank Certificates and, to the extent required, this Agreement and, as appropriate, the other Loan Documents, executed by the applicable Brazilian Lenders, each Borrower under the Brazilian Facility, the Administrative Agent and/or the Brazilian Administrative Agent, as applicable.</w:t>
      </w:r>
    </w:p>
    <w:p>
      <w:pPr>
        <w:spacing w:after="0" w:line="170" w:lineRule="exact"/>
        <w:rPr>
          <w:sz w:val="20"/>
          <w:szCs w:val="20"/>
          <w:color w:val="auto"/>
        </w:rPr>
      </w:pPr>
    </w:p>
    <w:p>
      <w:pPr>
        <w:ind w:firstLine="1063"/>
        <w:spacing w:after="0" w:line="279"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Company and any relevant Subsidiary Borrower may at any time and from time to time prepay the Loans (other than the Brazilian Loans), in whole or in part, without premium or penalty, upon irrevocable notice delivered to the Administrative Agent no later than (x) with respect to Domestic Loans and Domestic Competitive Loans, 1:00 P.M., New York City time, three Business Days prior thereto, in the case of Eurocurrency Loans, and no later than 1:00 P.M., New York City time, on the day of such prepayment, in the case of ABR Loans, and (y) with respect to L/C Tranche Loans, Multicurrency Loans and Multicurrency Competitive Loans, 11 A.M., London time, three Business Days prior thereto, in each case which notice shall specify the applicable Facility, the date and amount of prepayment and whether the prepayment is of Eurocurrency Loans or ABR Loans; provided, that (a) if a Eurocurrency Loan is prepaid on any day other than the last day of the Interest Period applicable thereto, the Company or the relevant Subsidiary Borrower shall also pay any amounts owing pursuant to Section 2.25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provided, further, that such notice to prepay the Loans delivered by the Company may state that such notice is conditioned upon the effectiveness of other</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60"/>
          </w:cols>
          <w:pgMar w:left="220" w:top="510" w:right="219" w:bottom="1440" w:gutter="0" w:footer="0" w:header="0"/>
        </w:sectPr>
      </w:pPr>
    </w:p>
    <w:bookmarkStart w:id="54" w:name="page55"/>
    <w:bookmarkEnd w:id="54"/>
    <w:p>
      <w:pPr>
        <w:ind w:right="20"/>
        <w:spacing w:after="0" w:line="280" w:lineRule="auto"/>
        <w:rPr>
          <w:sz w:val="20"/>
          <w:szCs w:val="20"/>
          <w:color w:val="auto"/>
        </w:rPr>
      </w:pPr>
      <w:r>
        <w:rPr>
          <w:rFonts w:ascii="Arial" w:cs="Arial" w:eastAsia="Arial" w:hAnsi="Arial"/>
          <w:sz w:val="16"/>
          <w:szCs w:val="16"/>
          <w:color w:val="auto"/>
        </w:rPr>
        <w:t>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2.25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(other than Brazilian Loans) shall be in an integral multiple of 1 million units of the Currency of such Loan and no less than the Dollar Equivalent of $25 million. Any Brazilian Subsidiary Borrower may at any time and from time to time prepay the Brazilian Loans, in whole or in part, without premium or penalty, upon irrevocable notice delivered to the Brazilian Administrative Agent pursuant to, and in accordance with the terms of, each Brazilian Bank Certificate.</w:t>
      </w:r>
    </w:p>
    <w:p>
      <w:pPr>
        <w:spacing w:after="0" w:line="172" w:lineRule="exact"/>
        <w:rPr>
          <w:sz w:val="20"/>
          <w:szCs w:val="20"/>
          <w:color w:val="auto"/>
        </w:rPr>
      </w:pPr>
    </w:p>
    <w:p>
      <w:pPr>
        <w:ind w:left="1080"/>
        <w:spacing w:after="0"/>
        <w:tabs>
          <w:tab w:leader="none" w:pos="19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4"/>
          <w:szCs w:val="14"/>
          <w:u w:val="single" w:color="auto"/>
          <w:color w:val="auto"/>
        </w:rPr>
        <w:t xml:space="preserve">Mandatory Prepayments. </w:t>
      </w:r>
      <w:r>
        <w:rPr>
          <w:rFonts w:ascii="Arial" w:cs="Arial" w:eastAsia="Arial" w:hAnsi="Arial"/>
          <w:sz w:val="14"/>
          <w:szCs w:val="14"/>
          <w:color w:val="auto"/>
        </w:rPr>
        <w:t>(a) [Reserved].</w:t>
      </w:r>
    </w:p>
    <w:p>
      <w:pPr>
        <w:spacing w:after="0" w:line="214" w:lineRule="exact"/>
        <w:rPr>
          <w:sz w:val="20"/>
          <w:szCs w:val="20"/>
          <w:color w:val="auto"/>
        </w:rPr>
      </w:pPr>
    </w:p>
    <w:p>
      <w:pPr>
        <w:ind w:left="1800" w:hanging="72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1800" w:hanging="72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firstLine="1072"/>
        <w:spacing w:after="0" w:line="247" w:lineRule="auto"/>
        <w:tabs>
          <w:tab w:leader="none" w:pos="18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of the Administrative Agent to determine the Total Multicurrency Extensions of Credit as provided in this Section 2.16(d) shall not subject the Administrative Agent to any liability hereunder.</w:t>
      </w:r>
    </w:p>
    <w:p>
      <w:pPr>
        <w:spacing w:after="0" w:line="194" w:lineRule="exact"/>
        <w:rPr>
          <w:rFonts w:ascii="Arial" w:cs="Arial" w:eastAsia="Arial" w:hAnsi="Arial"/>
          <w:sz w:val="18"/>
          <w:szCs w:val="18"/>
          <w:color w:val="auto"/>
        </w:rPr>
      </w:pPr>
    </w:p>
    <w:p>
      <w:pPr>
        <w:ind w:right="60" w:firstLine="1072"/>
        <w:spacing w:after="0" w:line="265" w:lineRule="auto"/>
        <w:tabs>
          <w:tab w:leader="none" w:pos="1791"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On each Fee Payment Date, the Administrative Agent shall determine the Total L/C Tranche Extensions of Credit as of the last day of the related Fee Payment Period. If, as of the last day of any Fee Payment Period, the Total L/C Tranche Extensions of Credit exceeds the Total L/C Tranche Commitments then in effect by 5% or more, then the Administrative Agent shall notify the Company and, within five Business Days of such notice, the Company or the relevant Subsidiary Borrower shall prepay L/C Tranche Loans or Collateralize outstanding Letters of Credit in an aggregate principal or face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of the Administrative Agent to determine the Total L/C Tranche Extensions of Credit as provided in this Section 2.16(e) shall not subject the Administrative Agent to any liability hereunder.</w:t>
      </w:r>
    </w:p>
    <w:p>
      <w:pPr>
        <w:spacing w:after="0" w:line="177" w:lineRule="exact"/>
        <w:rPr>
          <w:rFonts w:ascii="Arial" w:cs="Arial" w:eastAsia="Arial" w:hAnsi="Arial"/>
          <w:sz w:val="17"/>
          <w:szCs w:val="17"/>
          <w:color w:val="auto"/>
        </w:rPr>
      </w:pPr>
    </w:p>
    <w:p>
      <w:pPr>
        <w:ind w:firstLine="1072"/>
        <w:spacing w:after="0" w:line="267" w:lineRule="auto"/>
        <w:tabs>
          <w:tab w:leader="none" w:pos="1772"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Brazilian Administrative Agent shall determine the Total Brazilian Extensions of Credit on a quarterly basis as detailed in the Brazilian Bank Certificates. If, as of any quarterly date of determination, the Total Brazilian Extensions of Credit exceeds the Total Brazilian Commitments then in effect by 5% or more, then the Brazilian Administrative Agent shall notify the Administrative Agent and the Company and, within five Business Days of such notice, the Company or the relevant Subsidiary Borrower shall prepay the Brazilian Loans in an aggregate principal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the Brazilian Administrative Agent to determine the Total Brazilian</w:t>
      </w:r>
    </w:p>
    <w:p>
      <w:pPr>
        <w:spacing w:after="0" w:line="15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20" w:top="510"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Extensions of Credit as provided in this Section 2.16(f) shall not subject the Brazilian Administrative Agent to any liability hereunder.</w:t>
      </w:r>
    </w:p>
    <w:p>
      <w:pPr>
        <w:spacing w:after="0" w:line="214" w:lineRule="exact"/>
        <w:rPr>
          <w:sz w:val="20"/>
          <w:szCs w:val="20"/>
          <w:color w:val="auto"/>
        </w:rPr>
      </w:pPr>
    </w:p>
    <w:p>
      <w:pPr>
        <w:ind w:right="440" w:firstLine="1072"/>
        <w:spacing w:after="0" w:line="263" w:lineRule="auto"/>
        <w:tabs>
          <w:tab w:leader="none" w:pos="18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at any time the Total Consolidated GMF Exposure shall exceed $2 billion, the Company, GMF or any Subsidiary of GMF shall, within one (1) Business Day, prepay the then outstanding Total Consolidated GMF Exposure by the amount of such excess.</w:t>
      </w:r>
    </w:p>
    <w:p>
      <w:pPr>
        <w:spacing w:after="0" w:line="178" w:lineRule="exact"/>
        <w:rPr>
          <w:sz w:val="20"/>
          <w:szCs w:val="20"/>
          <w:color w:val="auto"/>
        </w:rPr>
      </w:pPr>
    </w:p>
    <w:p>
      <w:pPr>
        <w:ind w:right="20" w:firstLine="1063"/>
        <w:spacing w:after="0" w:line="261"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Conversion and Continuation Options.</w:t>
      </w:r>
      <w:r>
        <w:rPr>
          <w:rFonts w:ascii="Arial" w:cs="Arial" w:eastAsia="Arial" w:hAnsi="Arial"/>
          <w:sz w:val="17"/>
          <w:szCs w:val="17"/>
          <w:color w:val="auto"/>
        </w:rPr>
        <w:t xml:space="preserve"> (a) 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conversion of Eurocurrency Loans that is not made on the last day of an Interest Period with respect thereto shall be subject to Section 2.25. The Company or any Subsidiary Borrower may elect from time to time to convert ABR Loans to Eurocurrency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provided,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87" w:lineRule="exact"/>
        <w:rPr>
          <w:sz w:val="20"/>
          <w:szCs w:val="20"/>
          <w:color w:val="auto"/>
        </w:rPr>
      </w:pPr>
    </w:p>
    <w:p>
      <w:pPr>
        <w:ind w:firstLine="1072"/>
        <w:spacing w:after="0" w:line="279" w:lineRule="auto"/>
        <w:tabs>
          <w:tab w:leader="none" w:pos="18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 the Interest Period applicable thereto to a Eurocurrency Loan with an Interest Period of two weeks;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69" w:lineRule="exact"/>
        <w:rPr>
          <w:sz w:val="20"/>
          <w:szCs w:val="20"/>
          <w:color w:val="auto"/>
        </w:rPr>
      </w:pPr>
    </w:p>
    <w:p>
      <w:pPr>
        <w:jc w:val="both"/>
        <w:ind w:right="120" w:firstLine="1063"/>
        <w:spacing w:after="0" w:line="253"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xml:space="preserve"> Notwithstanding anything to the contrary in this Agreement, all borrowings, conversions and continuations of Eurocurrency Loans and all selections of Interest Periods shall be in such amounts and be made pursuant to such elections so that no more than 30 Eurocurrency Tranches shall be outstanding at any one time.</w:t>
      </w:r>
    </w:p>
    <w:p>
      <w:pPr>
        <w:spacing w:after="0" w:line="38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60"/>
          </w:cols>
          <w:pgMar w:left="220" w:top="510" w:right="219" w:bottom="1440" w:gutter="0" w:footer="0" w:header="0"/>
        </w:sectPr>
      </w:pPr>
    </w:p>
    <w:bookmarkStart w:id="56" w:name="page57"/>
    <w:bookmarkEnd w:id="56"/>
    <w:p>
      <w:pPr>
        <w:jc w:val="both"/>
        <w:ind w:right="360" w:firstLine="1063"/>
        <w:spacing w:after="0" w:line="249"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 xml:space="preserve"> (a) Each Eurocurrency Loan that is an L/C Tranche Loan, a Multicurrency Loan or a Domestic Loan shall bear interest for each day during each Interest Period with respect thereto at a rate per annum equal to the Eurocurrency Rate determined for such Interest Period plus the Applicable Margin.</w:t>
      </w:r>
    </w:p>
    <w:p>
      <w:pPr>
        <w:ind w:right="280" w:firstLine="1072"/>
        <w:spacing w:after="0" w:line="247" w:lineRule="auto"/>
        <w:tabs>
          <w:tab w:leader="none" w:pos="18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191" w:lineRule="exact"/>
        <w:rPr>
          <w:rFonts w:ascii="Arial" w:cs="Arial" w:eastAsia="Arial" w:hAnsi="Arial"/>
          <w:sz w:val="18"/>
          <w:szCs w:val="18"/>
          <w:color w:val="auto"/>
        </w:rPr>
      </w:pPr>
    </w:p>
    <w:p>
      <w:pPr>
        <w:ind w:left="1800" w:hanging="72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13" w:lineRule="exact"/>
        <w:rPr>
          <w:rFonts w:ascii="Arial" w:cs="Arial" w:eastAsia="Arial" w:hAnsi="Arial"/>
          <w:sz w:val="18"/>
          <w:szCs w:val="18"/>
          <w:color w:val="auto"/>
        </w:rPr>
      </w:pPr>
    </w:p>
    <w:p>
      <w:pPr>
        <w:ind w:left="1800" w:hanging="72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213" w:lineRule="exact"/>
        <w:rPr>
          <w:rFonts w:ascii="Arial" w:cs="Arial" w:eastAsia="Arial" w:hAnsi="Arial"/>
          <w:sz w:val="18"/>
          <w:szCs w:val="18"/>
          <w:color w:val="auto"/>
        </w:rPr>
      </w:pPr>
    </w:p>
    <w:p>
      <w:pPr>
        <w:ind w:left="1800" w:hanging="72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firstLine="1072"/>
        <w:spacing w:after="0" w:line="279" w:lineRule="auto"/>
        <w:tabs>
          <w:tab w:leader="none" w:pos="1772"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 If all or a portion of the principal amount of any Loan (other than any Brazilian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 or (y) in the case of Reimbursement Obligations, the rate applicable to ABR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 (ii) if all or a portion of any interest payable on any Loan or Reimbursement Obligation or any Facility Fee payable hereunder (in each case, other than any of the foregoing in connection with the Brazilian Facility) or any fees payable pursuant to the L/C Fee Letter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 and (iii) if all or a portion of any principal amount of any Brazilian Loans or any interest payable on any Brazilian Loan or any fee payable in connection with the Brazilian Facility shall not be paid when due (whether at the stated maturity, by acceleration or otherwise), such overdue amount shall bear interest at the rate per annum required by the Brazilian Bank Certificates.</w:t>
      </w:r>
    </w:p>
    <w:p>
      <w:pPr>
        <w:spacing w:after="0" w:line="172" w:lineRule="exact"/>
        <w:rPr>
          <w:rFonts w:ascii="Arial" w:cs="Arial" w:eastAsia="Arial" w:hAnsi="Arial"/>
          <w:sz w:val="16"/>
          <w:szCs w:val="16"/>
          <w:color w:val="auto"/>
        </w:rPr>
      </w:pPr>
    </w:p>
    <w:p>
      <w:pPr>
        <w:ind w:right="140" w:firstLine="1072"/>
        <w:spacing w:after="0" w:line="253" w:lineRule="auto"/>
        <w:tabs>
          <w:tab w:leader="none" w:pos="18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(x) interest accruing pursuant to Section 2.19(f) shall be payable from time to time on demand and (y) interest accruing in respect of the Brazilian Facility shall be payable in accordance with and pursuant to the terms of the Brazilian Bank Certificates.</w:t>
      </w:r>
    </w:p>
    <w:p>
      <w:pPr>
        <w:spacing w:after="0" w:line="187" w:lineRule="exact"/>
        <w:rPr>
          <w:rFonts w:ascii="Arial" w:cs="Arial" w:eastAsia="Arial" w:hAnsi="Arial"/>
          <w:sz w:val="18"/>
          <w:szCs w:val="18"/>
          <w:color w:val="auto"/>
        </w:rPr>
      </w:pPr>
    </w:p>
    <w:p>
      <w:pPr>
        <w:ind w:right="100" w:firstLine="1072"/>
        <w:spacing w:after="0" w:line="263" w:lineRule="auto"/>
        <w:tabs>
          <w:tab w:leader="none" w:pos="18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and timing of payments of interest in respect of any Ancillary Facility will be agreed by the relevant Ancillary Lender and the applicable Ancillary Borrower under such Ancillary Facility.</w:t>
      </w:r>
    </w:p>
    <w:p>
      <w:pPr>
        <w:spacing w:after="0" w:line="177" w:lineRule="exact"/>
        <w:rPr>
          <w:rFonts w:ascii="Arial" w:cs="Arial" w:eastAsia="Arial" w:hAnsi="Arial"/>
          <w:sz w:val="18"/>
          <w:szCs w:val="18"/>
          <w:color w:val="auto"/>
        </w:rPr>
      </w:pPr>
    </w:p>
    <w:p>
      <w:pPr>
        <w:ind w:left="1780" w:hanging="708"/>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interest hereunder shall be paid in the Currency in which the Loan giving rise to such interest is denominated.</w:t>
      </w:r>
    </w:p>
    <w:p>
      <w:pPr>
        <w:spacing w:after="0" w:line="214"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xml:space="preserve"> (a) Interest and fees payable pursuant hereto shall be calculated on the basis of a 360-day year for the actual days elapsed, except that (i) interest computed by reference to ABR at times when ABR is based on the Prime Rate shall be computed on the basis of a year of 365 days (or 366 days in a leap year), and shall be payable for the actual number of days elapsed, (ii) interest computed on Loans and Letters of Credit denominated in Pounds Sterling shall be</w:t>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60"/>
          </w:cols>
          <w:pgMar w:left="220" w:top="510" w:right="219" w:bottom="1440" w:gutter="0" w:footer="0" w:header="0"/>
        </w:sectPr>
      </w:pPr>
    </w:p>
    <w:bookmarkStart w:id="57" w:name="page58"/>
    <w:bookmarkEnd w:id="57"/>
    <w:p>
      <w:pPr>
        <w:ind w:right="40"/>
        <w:spacing w:after="0" w:line="284" w:lineRule="auto"/>
        <w:rPr>
          <w:sz w:val="20"/>
          <w:szCs w:val="20"/>
          <w:color w:val="auto"/>
        </w:rPr>
      </w:pPr>
      <w:r>
        <w:rPr>
          <w:rFonts w:ascii="Arial" w:cs="Arial" w:eastAsia="Arial" w:hAnsi="Arial"/>
          <w:sz w:val="16"/>
          <w:szCs w:val="16"/>
          <w:color w:val="auto"/>
        </w:rPr>
        <w:t>computed on the basis of a year of 365 days, and shall be payable for the actual number of days elapsed and (iii) interest and fees payable in connection with the Brazilian Facility shall be calculated in the manner required by the Brazilian Bank Certificates. The Administrative Agent shall as soon as practicable notify the Company or relevant Subsidiary Borrower and the Lenders of each determination of a Eurocurrency Rate. Any change in the interest rate on a Loan resulting from a change in the ABR, the CDI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(other than any such change in the CDI).</w:t>
      </w:r>
    </w:p>
    <w:p>
      <w:pPr>
        <w:spacing w:after="0" w:line="167" w:lineRule="exact"/>
        <w:rPr>
          <w:sz w:val="20"/>
          <w:szCs w:val="20"/>
          <w:color w:val="auto"/>
        </w:rPr>
      </w:pPr>
    </w:p>
    <w:p>
      <w:pPr>
        <w:ind w:firstLine="1072"/>
        <w:spacing w:after="0" w:line="267" w:lineRule="auto"/>
        <w:tabs>
          <w:tab w:leader="none" w:pos="1801"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determination of an interest rate by the Administrative Agent (or, in the case of the CDI, the Brazilian Administrative Agent) pursuant to any provision of this Agreement or any other Loan Document shall be conclusive and binding on the Company, any Subsidiary Borrower and the Lenders in the absence of manifest error. The Administrative Agent (or the Brazilian Administrative Agent, if applicable) shall, at the request of the Company or any Subsidiary Borrower, deliver to the Company or such Subsidiary Borrower a statement showing the quotations used by the Administrative Agent (or the Brazilian Administrative Agent, as the case may be) in determining any interest rate pursuant to Section 2.20(a).</w:t>
      </w:r>
    </w:p>
    <w:p>
      <w:pPr>
        <w:spacing w:after="0" w:line="175" w:lineRule="exact"/>
        <w:rPr>
          <w:sz w:val="20"/>
          <w:szCs w:val="20"/>
          <w:color w:val="auto"/>
        </w:rPr>
      </w:pPr>
    </w:p>
    <w:p>
      <w:pPr>
        <w:ind w:left="1080"/>
        <w:spacing w:after="0"/>
        <w:tabs>
          <w:tab w:leader="none" w:pos="19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auto"/>
        </w:rPr>
        <w:t xml:space="preserve">Inability to Determine Interest Rate; Illegality. </w:t>
      </w:r>
      <w:r>
        <w:rPr>
          <w:rFonts w:ascii="Arial" w:cs="Arial" w:eastAsia="Arial" w:hAnsi="Arial"/>
          <w:sz w:val="16"/>
          <w:szCs w:val="16"/>
          <w:color w:val="auto"/>
        </w:rPr>
        <w:t>(a) If prior to the first day of any Interest Period:</w:t>
      </w:r>
    </w:p>
    <w:p>
      <w:pPr>
        <w:spacing w:after="0" w:line="214" w:lineRule="exact"/>
        <w:rPr>
          <w:sz w:val="20"/>
          <w:szCs w:val="20"/>
          <w:color w:val="auto"/>
        </w:rPr>
      </w:pPr>
    </w:p>
    <w:p>
      <w:pPr>
        <w:ind w:right="200" w:firstLine="1072"/>
        <w:spacing w:after="0" w:line="253" w:lineRule="auto"/>
        <w:tabs>
          <w:tab w:leader="none" w:pos="176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w:t>
      </w:r>
    </w:p>
    <w:p>
      <w:pPr>
        <w:spacing w:after="0" w:line="187" w:lineRule="exact"/>
        <w:rPr>
          <w:rFonts w:ascii="Arial" w:cs="Arial" w:eastAsia="Arial" w:hAnsi="Arial"/>
          <w:sz w:val="18"/>
          <w:szCs w:val="18"/>
          <w:color w:val="auto"/>
        </w:rPr>
      </w:pPr>
    </w:p>
    <w:p>
      <w:pPr>
        <w:ind w:right="540" w:firstLine="1072"/>
        <w:spacing w:after="0" w:line="253" w:lineRule="auto"/>
        <w:tabs>
          <w:tab w:leader="none" w:pos="1811"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Majority Facility Lenders in respect of such Facility that the Eurocurrency Rate determined or to be determined for such Interest Period will not adequately and fairly reflect the cost to such Lenders (as conclusively certified by such Lenders) of making or maintaining their affected Loans during such Interest Period; or</w:t>
      </w:r>
    </w:p>
    <w:p>
      <w:pPr>
        <w:spacing w:after="0" w:line="187" w:lineRule="exact"/>
        <w:rPr>
          <w:rFonts w:ascii="Arial" w:cs="Arial" w:eastAsia="Arial" w:hAnsi="Arial"/>
          <w:sz w:val="18"/>
          <w:szCs w:val="18"/>
          <w:color w:val="auto"/>
        </w:rPr>
      </w:pPr>
    </w:p>
    <w:p>
      <w:pPr>
        <w:ind w:right="520" w:firstLine="1072"/>
        <w:spacing w:after="0" w:line="249" w:lineRule="auto"/>
        <w:tabs>
          <w:tab w:leader="none" w:pos="1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and binding upon the Company or the relevant Subsidiary Borrower) that deposits in the applicable Currency are not generally available in the applicable market (any Optional Currency affected by the circumstances described in clause (i), (ii) or (iii) is referred to as an “</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w:t>
      </w:r>
    </w:p>
    <w:p>
      <w:pPr>
        <w:ind w:right="20"/>
        <w:spacing w:after="0" w:line="274" w:lineRule="auto"/>
        <w:rPr>
          <w:rFonts w:ascii="Arial" w:cs="Arial" w:eastAsia="Arial" w:hAnsi="Arial"/>
          <w:sz w:val="18"/>
          <w:szCs w:val="18"/>
          <w:color w:val="auto"/>
        </w:rPr>
      </w:pPr>
      <w:r>
        <w:rPr>
          <w:rFonts w:ascii="Arial" w:cs="Arial" w:eastAsia="Arial" w:hAnsi="Arial"/>
          <w:sz w:val="16"/>
          <w:szCs w:val="16"/>
          <w:color w:val="auto"/>
        </w:rPr>
        <w:t>the Administrative Agent shall give notice thereof to the Company and any relevant Subsidiary Borrower and the relevant Lenders as soon as practicable thereafter. If any such notice is given (A) pursuant to clause (i) or (ii) of this Section 2.21(a) in respect of Eurocurrency Loans denominated in Dollars,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in Dollars under the relevant Facility requested to be made on the first day of such Interest Period shall be made as ABR Loans, (2) any ABR Loans that were to have been converted on the first day of such Interest Period to Eurocurrency Loans denominated in Dollars shall be continued as ABR Loans, (3) any outstanding Eurocurrency Loans denominated in Dollars shall be converted, on the last day of the then-current Interest Period, to ABR Loans, (4) any L/C Tranche Loans or Multicurrency Loans denominated in an Optional Currency requested to be made on the first day of such Interest Period shall not be made and</w:t>
      </w:r>
    </w:p>
    <w:p>
      <w:pPr>
        <w:spacing w:after="0" w:line="2" w:lineRule="exact"/>
        <w:rPr>
          <w:rFonts w:ascii="Arial" w:cs="Arial" w:eastAsia="Arial" w:hAnsi="Arial"/>
          <w:sz w:val="18"/>
          <w:szCs w:val="18"/>
          <w:color w:val="auto"/>
        </w:rPr>
      </w:pPr>
    </w:p>
    <w:p>
      <w:pPr>
        <w:ind w:left="260" w:hanging="251"/>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outstanding L/C Tranche Loans or Multicurrency Loans denominated in an</w:t>
      </w:r>
    </w:p>
    <w:p>
      <w:pPr>
        <w:spacing w:after="0" w:line="3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20" w:top="510" w:right="259" w:bottom="1440" w:gutter="0" w:footer="0" w:header="0"/>
        </w:sectPr>
      </w:pPr>
    </w:p>
    <w:bookmarkStart w:id="58" w:name="page59"/>
    <w:bookmarkEnd w:id="58"/>
    <w:p>
      <w:pPr>
        <w:spacing w:after="0" w:line="265" w:lineRule="auto"/>
        <w:rPr>
          <w:sz w:val="20"/>
          <w:szCs w:val="20"/>
          <w:color w:val="auto"/>
        </w:rPr>
      </w:pPr>
      <w:r>
        <w:rPr>
          <w:rFonts w:ascii="Arial" w:cs="Arial" w:eastAsia="Arial" w:hAnsi="Arial"/>
          <w:sz w:val="17"/>
          <w:szCs w:val="17"/>
          <w:color w:val="auto"/>
        </w:rPr>
        <w:t>Optional Currency shall be converted to or be made as Alternate Rate Loans (and any request set forth in such interest rate election shall be deemed to be a request for such L/C Tranche Loans or Multicurrency Loans to be converted to or be made as Alternate Rate Loans) and (B) in respect of any L/C Tranche Loans or Multicurrency Loans denominated in an Optional Currency, then thereafter (and until the Administrative Agent notifies the Company and the Lenders that the circumstances giving rise to such notice no longer exist) (such notice to be given promptly upon the Administrative Agent becoming aware of such change in circumstances) if such notice is given pursuant to clause (iii) above, any L/C Tranche Loans or Multicurrency Loans in an Affected Foreign Currency requested to be made on the first day of such Interest Period shall not be made.</w:t>
      </w:r>
    </w:p>
    <w:p>
      <w:pPr>
        <w:spacing w:after="0" w:line="145" w:lineRule="exact"/>
        <w:rPr>
          <w:sz w:val="20"/>
          <w:szCs w:val="20"/>
          <w:color w:val="auto"/>
        </w:rPr>
      </w:pPr>
    </w:p>
    <w:p>
      <w:pPr>
        <w:ind w:right="20" w:firstLine="1072"/>
        <w:spacing w:after="0" w:line="261" w:lineRule="auto"/>
        <w:tabs>
          <w:tab w:leader="none" w:pos="18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denominated in Dollars, continue such Eurocurrency Loans as such and convert ABR Loans to Eurocurrency Loans denominated in Dollars shall forthwith be cancelled, (ii) such Lender’s outstanding Eurocurrency Loans denominated in Dollars shall be converted automatically on the last day of the then current Interest Periods with respect to such Loans (or within such earlier period as shall be required by law) to ABR Loans and (iii) such Lender’s outstanding Eurocurrency Loans denominated in any Optional Currency shall be paid in full by the applicable Borrower on the respective last days of the then current Interest Periods with respect to such Loans (or within such earlier period as may be required by law).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2.25.</w:t>
      </w:r>
    </w:p>
    <w:p>
      <w:pPr>
        <w:spacing w:after="0" w:line="184" w:lineRule="exact"/>
        <w:rPr>
          <w:sz w:val="20"/>
          <w:szCs w:val="20"/>
          <w:color w:val="auto"/>
        </w:rPr>
      </w:pPr>
    </w:p>
    <w:p>
      <w:pPr>
        <w:ind w:right="60" w:firstLine="1063"/>
        <w:spacing w:after="0" w:line="267"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Pro Rata Treatment and Payments; Evidence of Deb.</w:t>
      </w:r>
      <w:r>
        <w:rPr>
          <w:rFonts w:ascii="Arial" w:cs="Arial" w:eastAsia="Arial" w:hAnsi="Arial"/>
          <w:sz w:val="17"/>
          <w:szCs w:val="17"/>
          <w:color w:val="auto"/>
        </w:rPr>
        <w:t xml:space="preserve"> (a) Each borrowing of Loans under any Facility by the Company or any Subsidiary Borrower from the Lenders under such Facility, each payment by the Company or any Subsidiary Borrower on account of any Facility Fee or any fee payable pursuant to the L/C Fee Letter, and any reduction of the Commitments of the Lenders under any Facility shall be made pro rata according to the respective Percentages under such Facility, of the relevant Lenders in such Facility except to the extent required or permitted pursuant to Sections 2.12, 2.14, 2.27, 2.28, 2.30, 2.32 and 2.33 and except, in the case of the L/C Tranche Facility, as otherwise provided in the L/C Fee Letter.</w:t>
      </w:r>
    </w:p>
    <w:p>
      <w:pPr>
        <w:spacing w:after="0" w:line="175" w:lineRule="exact"/>
        <w:rPr>
          <w:sz w:val="20"/>
          <w:szCs w:val="20"/>
          <w:color w:val="auto"/>
        </w:rPr>
      </w:pPr>
    </w:p>
    <w:p>
      <w:pPr>
        <w:jc w:val="both"/>
        <w:ind w:right="100" w:firstLine="1072"/>
        <w:spacing w:after="0" w:line="291" w:lineRule="auto"/>
        <w:tabs>
          <w:tab w:leader="none" w:pos="18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Company or any Subsidiary Borrower on account of principal of and interest on the Loans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Lenders under such Facility according to the respective outstanding principal amounts of the Loans under such Facility then held by the Lenders under such Facility except to the extent required or permitted pursuant to Sections 2.12, 2.14, 2.27, 2.28, 2.30, 2.32 and 2.33. Except as otherwise provided in Section 8, each such payment shall be paid in the relevant Currency in which such Loan was made.</w:t>
      </w:r>
    </w:p>
    <w:p>
      <w:pPr>
        <w:spacing w:after="0" w:line="159" w:lineRule="exact"/>
        <w:rPr>
          <w:rFonts w:ascii="Arial" w:cs="Arial" w:eastAsia="Arial" w:hAnsi="Arial"/>
          <w:sz w:val="16"/>
          <w:szCs w:val="16"/>
          <w:color w:val="auto"/>
        </w:rPr>
      </w:pPr>
    </w:p>
    <w:p>
      <w:pPr>
        <w:ind w:right="240" w:firstLine="1072"/>
        <w:spacing w:after="0" w:line="253" w:lineRule="auto"/>
        <w:tabs>
          <w:tab w:leader="none" w:pos="17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60"/>
          </w:cols>
          <w:pgMar w:left="220" w:top="510" w:right="219" w:bottom="1440" w:gutter="0" w:footer="0" w:header="0"/>
        </w:sectPr>
      </w:pPr>
    </w:p>
    <w:bookmarkStart w:id="59" w:name="page60"/>
    <w:bookmarkEnd w:id="59"/>
    <w:p>
      <w:pPr>
        <w:spacing w:after="0" w:line="280" w:lineRule="auto"/>
        <w:rPr>
          <w:sz w:val="20"/>
          <w:szCs w:val="20"/>
          <w:color w:val="auto"/>
        </w:rPr>
      </w:pPr>
      <w:r>
        <w:rPr>
          <w:rFonts w:ascii="Arial" w:cs="Arial" w:eastAsia="Arial" w:hAnsi="Arial"/>
          <w:sz w:val="16"/>
          <w:szCs w:val="16"/>
          <w:color w:val="auto"/>
        </w:rPr>
        <w:t>applicable Currency and in immediately available funds, except that (x) payment of fronting fees owing to any Issuing Lender shall be made as provided in the L/C Fee Letter and (y) payment of all amounts in connection with the Brazilian Facility shall be paid to the Brazilian Administrative Agent pursuant to the terms of the Brazilian Bank Certificates.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2" w:lineRule="exact"/>
        <w:rPr>
          <w:sz w:val="20"/>
          <w:szCs w:val="20"/>
          <w:color w:val="auto"/>
        </w:rPr>
      </w:pPr>
    </w:p>
    <w:p>
      <w:pPr>
        <w:ind w:right="20" w:firstLine="1072"/>
        <w:spacing w:after="0" w:line="261" w:lineRule="auto"/>
        <w:tabs>
          <w:tab w:leader="none" w:pos="1801"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80" w:lineRule="exact"/>
        <w:rPr>
          <w:rFonts w:ascii="Arial" w:cs="Arial" w:eastAsia="Arial" w:hAnsi="Arial"/>
          <w:sz w:val="17"/>
          <w:szCs w:val="17"/>
          <w:color w:val="auto"/>
        </w:rPr>
      </w:pPr>
    </w:p>
    <w:p>
      <w:pPr>
        <w:ind w:right="80" w:firstLine="1072"/>
        <w:spacing w:after="0" w:line="280" w:lineRule="auto"/>
        <w:tabs>
          <w:tab w:leader="none" w:pos="17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20" w:top="510" w:right="259" w:bottom="1440" w:gutter="0" w:footer="0" w:header="0"/>
        </w:sectPr>
      </w:pPr>
    </w:p>
    <w:bookmarkStart w:id="60" w:name="page61"/>
    <w:bookmarkEnd w:id="60"/>
    <w:p>
      <w:pPr>
        <w:ind w:right="100"/>
        <w:spacing w:after="0" w:line="263" w:lineRule="auto"/>
        <w:rPr>
          <w:sz w:val="20"/>
          <w:szCs w:val="20"/>
          <w:color w:val="auto"/>
        </w:rPr>
      </w:pPr>
      <w:r>
        <w:rPr>
          <w:rFonts w:ascii="Arial" w:cs="Arial" w:eastAsia="Arial" w:hAnsi="Arial"/>
          <w:sz w:val="18"/>
          <w:szCs w:val="18"/>
          <w:color w:val="auto"/>
        </w:rPr>
        <w:t>the cost to it of funding such amount. Nothing herein shall be deemed to limit the rights of the Administrative Agent or any Lender against the Company or any Subsidiary Borrower.</w:t>
      </w:r>
    </w:p>
    <w:p>
      <w:pPr>
        <w:spacing w:after="0" w:line="178" w:lineRule="exact"/>
        <w:rPr>
          <w:sz w:val="20"/>
          <w:szCs w:val="20"/>
          <w:color w:val="auto"/>
        </w:rPr>
      </w:pPr>
    </w:p>
    <w:p>
      <w:pPr>
        <w:ind w:right="340" w:firstLine="1072"/>
        <w:spacing w:after="0" w:line="275" w:lineRule="auto"/>
        <w:tabs>
          <w:tab w:leader="none" w:pos="1772"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2.22(a) and (b) (applied as if such payments were made by the Company) and Section 10.7.</w:t>
      </w:r>
    </w:p>
    <w:p>
      <w:pPr>
        <w:spacing w:after="0" w:line="169" w:lineRule="exact"/>
        <w:rPr>
          <w:rFonts w:ascii="Arial" w:cs="Arial" w:eastAsia="Arial" w:hAnsi="Arial"/>
          <w:sz w:val="17"/>
          <w:szCs w:val="17"/>
          <w:color w:val="auto"/>
        </w:rPr>
      </w:pPr>
    </w:p>
    <w:p>
      <w:pPr>
        <w:ind w:right="160" w:firstLine="1072"/>
        <w:spacing w:after="0" w:line="300" w:lineRule="auto"/>
        <w:tabs>
          <w:tab w:leader="none" w:pos="1801"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M (a “</w:t>
      </w:r>
      <w:r>
        <w:rPr>
          <w:rFonts w:ascii="Arial" w:cs="Arial" w:eastAsia="Arial" w:hAnsi="Arial"/>
          <w:sz w:val="16"/>
          <w:szCs w:val="16"/>
          <w:u w:val="single" w:color="auto"/>
          <w:color w:val="auto"/>
        </w:rPr>
        <w:t>Note</w:t>
      </w:r>
      <w:r>
        <w:rPr>
          <w:rFonts w:ascii="Arial" w:cs="Arial" w:eastAsia="Arial" w:hAnsi="Arial"/>
          <w:sz w:val="16"/>
          <w:szCs w:val="16"/>
          <w:color w:val="auto"/>
        </w:rPr>
        <w:t>”), with appropriate insertions as to date and principal amount.</w:t>
      </w:r>
    </w:p>
    <w:p>
      <w:pPr>
        <w:spacing w:after="0" w:line="152" w:lineRule="exact"/>
        <w:rPr>
          <w:sz w:val="20"/>
          <w:szCs w:val="20"/>
          <w:color w:val="auto"/>
        </w:rPr>
      </w:pPr>
    </w:p>
    <w:p>
      <w:pPr>
        <w:ind w:left="1080"/>
        <w:spacing w:after="0"/>
        <w:tabs>
          <w:tab w:leader="none" w:pos="19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 xml:space="preserve">Requirements of Law. </w:t>
      </w:r>
      <w:r>
        <w:rPr>
          <w:rFonts w:ascii="Arial" w:cs="Arial" w:eastAsia="Arial" w:hAnsi="Arial"/>
          <w:sz w:val="16"/>
          <w:szCs w:val="16"/>
          <w:color w:val="auto"/>
        </w:rPr>
        <w:t>Except with respect to Competitive Loans to which this Section 2.23 shall not apply:</w:t>
      </w:r>
    </w:p>
    <w:p>
      <w:pPr>
        <w:spacing w:after="0" w:line="214" w:lineRule="exact"/>
        <w:rPr>
          <w:sz w:val="20"/>
          <w:szCs w:val="20"/>
          <w:color w:val="auto"/>
        </w:rPr>
      </w:pPr>
    </w:p>
    <w:p>
      <w:pPr>
        <w:ind w:left="1800" w:hanging="72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14" w:lineRule="exact"/>
        <w:rPr>
          <w:sz w:val="20"/>
          <w:szCs w:val="20"/>
          <w:color w:val="auto"/>
        </w:rPr>
      </w:pPr>
    </w:p>
    <w:p>
      <w:pPr>
        <w:jc w:val="both"/>
        <w:ind w:right="80" w:firstLine="1072"/>
        <w:spacing w:after="0" w:line="253" w:lineRule="auto"/>
        <w:tabs>
          <w:tab w:leader="none" w:pos="17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87" w:lineRule="exact"/>
        <w:rPr>
          <w:rFonts w:ascii="Arial" w:cs="Arial" w:eastAsia="Arial" w:hAnsi="Arial"/>
          <w:sz w:val="18"/>
          <w:szCs w:val="18"/>
          <w:color w:val="auto"/>
        </w:rPr>
      </w:pPr>
    </w:p>
    <w:p>
      <w:pPr>
        <w:ind w:left="1820" w:hanging="748"/>
        <w:spacing w:after="0"/>
        <w:tabs>
          <w:tab w:leader="none" w:pos="1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1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and the result of any of the foregoing is to increase the cost to the Administrative Agent, the Brazilian Administrative Agent or such Lender (or its affiliate, as the case may be), by an amount that the Administrative Agent, the Brazilian Administrative Agent or such Lender reasonably deems material, of making, converting into, continuing or maintaining Eurocurrency Loans, issuing or participating in Letters of Credit, or to reduce any amount receivable hereunder in respect thereof, then, in any such case, the Company and any relevant Subsidiary Borrower shall pay the Administrative Agent, the Brazilian Administrative Agent or such Lender, within 15 Business Days of receipt of notice from the Administrative Agent, the Brazilian Administrative Agent or the relevant Lender as described below, any additional amounts necessary to compensate the Administrative Agent, the Brazilian Administrative Agent or such Lender for such increased cost or reduced amount receivable (it being understood that the provisions set forth in this Section 2.23(a) are not intended to derogate from the Company’s rights provided in Section 2.26 and Section 2.27). If the Administrative Agent, the Brazilian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37" w:lineRule="exact"/>
        <w:rPr>
          <w:sz w:val="20"/>
          <w:szCs w:val="20"/>
          <w:color w:val="auto"/>
        </w:rPr>
      </w:pPr>
    </w:p>
    <w:p>
      <w:pPr>
        <w:jc w:val="both"/>
        <w:ind w:right="40" w:firstLine="1072"/>
        <w:spacing w:after="0" w:line="291" w:lineRule="auto"/>
        <w:tabs>
          <w:tab w:leader="none" w:pos="18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40"/>
          </w:cols>
          <w:pgMar w:left="220" w:top="510" w:right="239" w:bottom="1440" w:gutter="0" w:footer="0" w:header="0"/>
        </w:sectPr>
      </w:pPr>
    </w:p>
    <w:bookmarkStart w:id="61" w:name="page62"/>
    <w:bookmarkEnd w:id="61"/>
    <w:p>
      <w:pPr>
        <w:spacing w:after="0" w:line="291" w:lineRule="auto"/>
        <w:rPr>
          <w:sz w:val="20"/>
          <w:szCs w:val="20"/>
          <w:color w:val="auto"/>
        </w:rPr>
      </w:pPr>
      <w:r>
        <w:rPr>
          <w:rFonts w:ascii="Arial" w:cs="Arial" w:eastAsia="Arial" w:hAnsi="Arial"/>
          <w:sz w:val="16"/>
          <w:szCs w:val="16"/>
          <w:color w:val="auto"/>
        </w:rPr>
        <w:t>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2.23(b) are not intended to derogate from the Company’s rights provided in Sections 2.26 and 2.27).</w:t>
      </w:r>
    </w:p>
    <w:p>
      <w:pPr>
        <w:spacing w:after="0" w:line="160" w:lineRule="exact"/>
        <w:rPr>
          <w:sz w:val="20"/>
          <w:szCs w:val="20"/>
          <w:color w:val="auto"/>
        </w:rPr>
      </w:pPr>
    </w:p>
    <w:p>
      <w:pPr>
        <w:ind w:right="20" w:firstLine="1072"/>
        <w:spacing w:after="0" w:line="261" w:lineRule="auto"/>
        <w:tabs>
          <w:tab w:leader="none" w:pos="1791"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certificate as to any additional amounts payable pursuant to this Section 2.23 submitted by the Administrative Agent, the Brazilian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the Brazilian Administrative Agent nor any Lender shall be entitled to request any payment or amount under this Section 2.23 unless the Administrative Agent, the Brazilian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Administrative Agent nor the Brazilian Administrative Agent shall be under any obligation to verify any such request of a Lender) and (ii) the Company and any relevant Subsidiary Borrower shall not be required to compensate the Administrative Agent, the Brazilian Administrative Agent or a Lender pursuant to this Section 2.23 for any amounts incurred more than 90 days prior to the date that the Administrative Agent, the Brazilian Administrative Agent or such Lender notifies the Company or relevant Subsidiary Borrower of the Administrative Agent’s, the Brazilian Administrative Agent’s or such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shall survive the termination of this Agreement and the payment of the Loans and all interest thereon and fees payable hereunder.</w:t>
      </w:r>
    </w:p>
    <w:p>
      <w:pPr>
        <w:spacing w:after="0" w:line="180" w:lineRule="exact"/>
        <w:rPr>
          <w:sz w:val="20"/>
          <w:szCs w:val="20"/>
          <w:color w:val="auto"/>
        </w:rPr>
      </w:pPr>
    </w:p>
    <w:p>
      <w:pPr>
        <w:ind w:firstLine="1063"/>
        <w:spacing w:after="0" w:line="278"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All payments made by or on behalf of any Loan Party under this Agreement (other than in respect of any Competitive Loans as to which this Section 2.24(a) shall not apply)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(i) taxes imposed on or measured by income or profits (including franchise taxes imposed in lieu of or in addition to net income taxes) imposed on the Administrative Agent, the Brazilian Administrative Agent or any Lender as a result of a present or former connection between the Administrative Agent, the Brazilian Administrative Agent or such Lender and the jurisdiction of the Governmental Authority imposing such tax or any political subdivision or taxing authority thereof or therein (other than any such connection arising solely from the Administrative Agent, the Brazilian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 United States withholding taxes imposed by reason of FATCA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If any Taxes are required to be withheld from any amounts payable to the Administrative Agent, the Brazilian Administrative Agent or any Lender under any Loan Document, as determined in good faith by the applicable withholding agent, the applicable withholding agent shall make such deductions and shall pay the full amount deducted to the relevant Governmental</w:t>
      </w:r>
    </w:p>
    <w:p>
      <w:pPr>
        <w:spacing w:after="0" w:line="15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60"/>
          </w:cols>
          <w:pgMar w:left="220" w:top="510" w:right="219" w:bottom="1440" w:gutter="0" w:footer="0" w:header="0"/>
        </w:sectPr>
      </w:pPr>
    </w:p>
    <w:bookmarkStart w:id="62" w:name="page63"/>
    <w:bookmarkEnd w:id="62"/>
    <w:p>
      <w:pPr>
        <w:spacing w:after="0" w:line="279" w:lineRule="auto"/>
        <w:rPr>
          <w:sz w:val="20"/>
          <w:szCs w:val="20"/>
          <w:color w:val="auto"/>
        </w:rPr>
      </w:pPr>
      <w:r>
        <w:rPr>
          <w:rFonts w:ascii="Arial" w:cs="Arial" w:eastAsia="Arial" w:hAnsi="Arial"/>
          <w:sz w:val="16"/>
          <w:szCs w:val="16"/>
          <w:color w:val="auto"/>
        </w:rPr>
        <w:t xml:space="preserve">Authority in accordance with applicable laws. In the case of any Non-Excluded Taxes or Other Taxes, the amounts so payable by the applicable Loan Party to the Administrative Agent, the Brazilian Administrative Agent or such Lender shall be increased to the extent necessary to yield to the Administrative Agent, the Brazilian Administrative Agent or such Lender (after payment of all Non-Excluded Taxes and Other Taxes) an amount equal to the sum which would have been received had no such deduction or withholding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Loan Party shall be required to increase any such amounts payable to the Administrative Agent, the Brazilian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6"/>
          <w:szCs w:val="16"/>
          <w:u w:val="single" w:color="auto"/>
          <w:color w:val="auto"/>
        </w:rPr>
        <w:t>Change in Tax Law</w:t>
      </w:r>
      <w:r>
        <w:rPr>
          <w:rFonts w:ascii="Arial" w:cs="Arial" w:eastAsia="Arial" w:hAnsi="Arial"/>
          <w:sz w:val="16"/>
          <w:szCs w:val="16"/>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2.24.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(e) of this Section 2.24 except as such failure relates to a Change in Tax Law rendering such Person legally unable to comply.</w:t>
      </w:r>
    </w:p>
    <w:p>
      <w:pPr>
        <w:spacing w:after="0" w:line="169" w:lineRule="exact"/>
        <w:rPr>
          <w:sz w:val="20"/>
          <w:szCs w:val="20"/>
          <w:color w:val="auto"/>
        </w:rPr>
      </w:pPr>
    </w:p>
    <w:p>
      <w:pPr>
        <w:ind w:left="1800" w:hanging="728"/>
        <w:spacing w:after="0"/>
        <w:tabs>
          <w:tab w:leader="none" w:pos="18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addition, each Loan Party shall pay any Other Taxes over to the relevant Governmental Authority in accordance with applicable law.</w:t>
      </w:r>
    </w:p>
    <w:p>
      <w:pPr>
        <w:spacing w:after="0" w:line="236" w:lineRule="exact"/>
        <w:rPr>
          <w:rFonts w:ascii="Arial" w:cs="Arial" w:eastAsia="Arial" w:hAnsi="Arial"/>
          <w:sz w:val="16"/>
          <w:szCs w:val="16"/>
          <w:color w:val="auto"/>
        </w:rPr>
      </w:pPr>
    </w:p>
    <w:p>
      <w:pPr>
        <w:ind w:right="140" w:firstLine="1072"/>
        <w:spacing w:after="0" w:line="280" w:lineRule="auto"/>
        <w:tabs>
          <w:tab w:leader="none" w:pos="1791"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any Loan Party, as promptly as possible thereafter such Loan Party shall send to the Administrative Agent for its own account or for the account of the relevant Lender, as the case may be, a certified copy of an original official receipt received by such Loan Party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the Brazilian Administrative Agent or any Lender, the Loan Parties shall indemnify the Administrative Agent, the Brazilian Administrative Agent and the Lenders for such amount and any incremental taxes, interest, additions to tax, expenses or penalties that may become payable by the Administrative Agent, the Brazilian Administrative Agent or any Lender as a result of any such failure in the case of clauses (i) and (ii), or any such direct imposition in the case of clause (iii). The indemnification payment under this Section 2.24 shall be made within 30 days after the date the Administrative Agent, the Brazilian Administrative Agent or such Lender (as the case may be) makes a written demand therefor (together with a reasonably detailed calculation of such amounts).</w:t>
      </w:r>
    </w:p>
    <w:p>
      <w:pPr>
        <w:spacing w:after="0" w:line="168" w:lineRule="exact"/>
        <w:rPr>
          <w:rFonts w:ascii="Arial" w:cs="Arial" w:eastAsia="Arial" w:hAnsi="Arial"/>
          <w:sz w:val="16"/>
          <w:szCs w:val="16"/>
          <w:color w:val="auto"/>
        </w:rPr>
      </w:pPr>
    </w:p>
    <w:p>
      <w:pPr>
        <w:ind w:right="60" w:firstLine="1072"/>
        <w:spacing w:after="0" w:line="264" w:lineRule="auto"/>
        <w:tabs>
          <w:tab w:leader="none" w:pos="1801" w:val="left"/>
        </w:tabs>
        <w:numPr>
          <w:ilvl w:val="0"/>
          <w:numId w:val="48"/>
        </w:numPr>
        <w:rPr>
          <w:rFonts w:ascii="Arial" w:cs="Arial" w:eastAsia="Arial" w:hAnsi="Arial"/>
          <w:sz w:val="17"/>
          <w:szCs w:val="17"/>
          <w:color w:val="auto"/>
        </w:rPr>
      </w:pPr>
      <w:r>
        <w:rPr>
          <w:rFonts w:ascii="Arial" w:cs="Arial" w:eastAsia="Arial" w:hAnsi="Arial"/>
          <w:sz w:val="17"/>
          <w:szCs w:val="17"/>
          <w:color w:val="auto"/>
        </w:rPr>
        <w:t>Each Lender (or Transferee) (i) that is not a “United States person” as defined in Section 7701(a)(30) of the Code (a “</w:t>
      </w:r>
      <w:r>
        <w:rPr>
          <w:rFonts w:ascii="Arial" w:cs="Arial" w:eastAsia="Arial" w:hAnsi="Arial"/>
          <w:sz w:val="17"/>
          <w:szCs w:val="17"/>
          <w:u w:val="single" w:color="auto"/>
          <w:color w:val="auto"/>
        </w:rPr>
        <w:t>Non-U.S.</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shall deliver to the Company, any relevant Domestic Subsidiary Borrower and the Administrative Agent (or in the case of a Participant, to the Lender from which the related participation shall have been purchased) two copies of IRS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K-1, Exhibit K-2, Exhibit K-3 or Exhibit K-4, as applicable, and the applicable IRS Form W-8, or any subsequent versions thereof or successors thereto, properly completed and duly executed by such Non-U.S. Lender claiming complete exemption from U.S. federal withholding tax on all payments by the</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60"/>
          </w:cols>
          <w:pgMar w:left="220" w:top="510" w:right="219" w:bottom="1440" w:gutter="0" w:footer="0" w:header="0"/>
        </w:sectPr>
      </w:pPr>
    </w:p>
    <w:bookmarkStart w:id="63" w:name="page64"/>
    <w:bookmarkEnd w:id="63"/>
    <w:p>
      <w:pPr>
        <w:spacing w:after="0" w:line="276" w:lineRule="auto"/>
        <w:rPr>
          <w:sz w:val="20"/>
          <w:szCs w:val="20"/>
          <w:color w:val="auto"/>
        </w:rPr>
      </w:pPr>
      <w:r>
        <w:rPr>
          <w:rFonts w:ascii="Arial" w:cs="Arial" w:eastAsia="Arial" w:hAnsi="Arial"/>
          <w:sz w:val="16"/>
          <w:szCs w:val="16"/>
          <w:color w:val="auto"/>
        </w:rPr>
        <w:t>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2.14(b),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2.24(d), “FATCA” shall include any amendments made to FATCA after the date of this Agreement. Notwithstanding any other provision of this Section 2.24, a Lender shall not be required to deliver any form pursuant to this Section 2.24 that such Lender is not legally able to deliver.</w:t>
      </w:r>
    </w:p>
    <w:p>
      <w:pPr>
        <w:spacing w:after="0" w:line="185" w:lineRule="exact"/>
        <w:rPr>
          <w:sz w:val="20"/>
          <w:szCs w:val="20"/>
          <w:color w:val="auto"/>
        </w:rPr>
      </w:pPr>
    </w:p>
    <w:p>
      <w:pPr>
        <w:ind w:firstLine="1072"/>
        <w:spacing w:after="0" w:line="262" w:lineRule="auto"/>
        <w:tabs>
          <w:tab w:leader="none" w:pos="1791"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2.14(c) or 2.14(d),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w:t>
      </w:r>
    </w:p>
    <w:p>
      <w:pPr>
        <w:spacing w:after="0" w:line="16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40"/>
          </w:cols>
          <w:pgMar w:left="220" w:top="51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U.S. withholding tax on payments by such Foreign Subsidiary Borrower under this Agreement and the other Loan Documents.</w:t>
      </w:r>
    </w:p>
    <w:p>
      <w:pPr>
        <w:spacing w:after="0" w:line="214" w:lineRule="exact"/>
        <w:rPr>
          <w:sz w:val="20"/>
          <w:szCs w:val="20"/>
          <w:color w:val="auto"/>
        </w:rPr>
      </w:pPr>
    </w:p>
    <w:p>
      <w:pPr>
        <w:ind w:firstLine="1072"/>
        <w:spacing w:after="0" w:line="260" w:lineRule="auto"/>
        <w:tabs>
          <w:tab w:leader="none" w:pos="1772"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If the Administrative Agent, the Brazilian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2.24, it shall pay over such refund to such Loan Party (but only to the extent of indemnity payments made, or additional amounts paid, by such Loan Party under this Section 2.24 with respect to the Non-Excluded Taxes or Other Taxes giving rise to such refund), net of all out-of-pocket expenses of the Administrative Agent, the Brazilian Administrative Agent, such Transferee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Loan Party, upon the request of the Administrative Agent, the Brazilian Administrative Agent, such Transferee or such Lender, agrees to repay the amount paid over to such Loan Party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to the Administrative Agent, the Brazilian Administrative Agent, such Transferee or such Lender in the event the Administrative Agent, the Brazilian Administrative Agent, such Transferee or such Lender is required to repay such refund to such Governmental Authority. This paragraph shall not be construed to (i) interfere with the right of the Administrative Agent, the Brazilian Administrative Agent, any Transferee or any Lender to arrange its tax affairs in whatever manner it sees fit, (ii) obligate the Administrative Agent, the Brazilian Administrative Agent, any Transferee or any Lender to claim any tax refund, (iii) require the Administrative Agent, the Brazilian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the Brazilian Administrative Agent, any Transferee or any Lender to do anything that would in its sole discretion prejudice its ability to benefit from any other refunds, credits, reliefs, remissions or repayments to which it may be entitled.</w:t>
      </w:r>
    </w:p>
    <w:p>
      <w:pPr>
        <w:spacing w:after="0" w:line="188" w:lineRule="exact"/>
        <w:rPr>
          <w:rFonts w:ascii="Arial" w:cs="Arial" w:eastAsia="Arial" w:hAnsi="Arial"/>
          <w:sz w:val="17"/>
          <w:szCs w:val="17"/>
          <w:color w:val="auto"/>
        </w:rPr>
      </w:pPr>
    </w:p>
    <w:p>
      <w:pPr>
        <w:ind w:right="160" w:firstLine="1072"/>
        <w:spacing w:after="0" w:line="283" w:lineRule="auto"/>
        <w:tabs>
          <w:tab w:leader="none" w:pos="18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Lender shall indemnify the Administrative Agent and the Brazilian Administrative Agent (to the extent not reimbursed by or on behalf of the Company if it is required to do so under Section 2.24(a) or 10.5 and without limiting the obligation of the Company under Section 2.24(a) or 10.5 to do so) for the full amount of any taxes, levies, imposts, duties, charges, fees, deductions, withholdings or similar charges imposed by any Governmental Authority that are attributable to such Lender and that are payable or paid by the Administrative Agent or the Brazilian Administrative Agent, as applicable, together with all interest, penalties, reasonable costs and expenses arising therefrom or with respect thereto, as determined by the Administrative Agent or the Brazilian Administrative Agent, as applicable, in good faith. A certificate as to the amount of such payment or liability delivered to any Lender by the Administrative Agent or the Brazilian Administrative Agent shall be conclusive absent manifest error.</w:t>
      </w:r>
    </w:p>
    <w:p>
      <w:pPr>
        <w:spacing w:after="0" w:line="164" w:lineRule="exact"/>
        <w:rPr>
          <w:rFonts w:ascii="Arial" w:cs="Arial" w:eastAsia="Arial" w:hAnsi="Arial"/>
          <w:sz w:val="16"/>
          <w:szCs w:val="16"/>
          <w:color w:val="auto"/>
        </w:rPr>
      </w:pPr>
    </w:p>
    <w:p>
      <w:pPr>
        <w:ind w:left="1800" w:hanging="728"/>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Assignee shall be bound by this Section 2.24.</w:t>
      </w:r>
    </w:p>
    <w:p>
      <w:pPr>
        <w:spacing w:after="0" w:line="213" w:lineRule="exact"/>
        <w:rPr>
          <w:rFonts w:ascii="Arial" w:cs="Arial" w:eastAsia="Arial" w:hAnsi="Arial"/>
          <w:sz w:val="18"/>
          <w:szCs w:val="18"/>
          <w:color w:val="auto"/>
        </w:rPr>
      </w:pPr>
    </w:p>
    <w:p>
      <w:pPr>
        <w:ind w:right="20" w:firstLine="1072"/>
        <w:spacing w:after="0" w:line="263" w:lineRule="auto"/>
        <w:tabs>
          <w:tab w:leader="none" w:pos="17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agreements in this Section 2.24 shall survive the termination of this Agreement and the payment of the Loans and all other amounts payable hereunder and the other Loan Documents.</w:t>
      </w:r>
    </w:p>
    <w:p>
      <w:pPr>
        <w:spacing w:after="0" w:line="177" w:lineRule="exact"/>
        <w:rPr>
          <w:rFonts w:ascii="Arial" w:cs="Arial" w:eastAsia="Arial" w:hAnsi="Arial"/>
          <w:sz w:val="18"/>
          <w:szCs w:val="18"/>
          <w:color w:val="auto"/>
        </w:rPr>
      </w:pPr>
    </w:p>
    <w:p>
      <w:pPr>
        <w:ind w:right="220" w:firstLine="1072"/>
        <w:spacing w:after="0" w:line="253" w:lineRule="auto"/>
        <w:tabs>
          <w:tab w:leader="none" w:pos="17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Agreement, the Loan Parties and the Administrative Agent shall treat (and the Lenders hereby authorize the Administrative Agent to treat) this Agreement as not qualifying as a “grandfathered obligation” within the meaning of Treasury Regulation Section 1.1471-2(b)(2)(i).</w:t>
      </w:r>
    </w:p>
    <w:p>
      <w:pPr>
        <w:spacing w:after="0" w:line="38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40"/>
          </w:cols>
          <w:pgMar w:left="220" w:top="510" w:right="239" w:bottom="1440" w:gutter="0" w:footer="0" w:header="0"/>
        </w:sectPr>
      </w:pPr>
    </w:p>
    <w:bookmarkStart w:id="65" w:name="page66"/>
    <w:bookmarkEnd w:id="65"/>
    <w:p>
      <w:pPr>
        <w:ind w:firstLine="1063"/>
        <w:spacing w:after="0" w:line="277" w:lineRule="auto"/>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u w:val="single" w:color="auto"/>
          <w:color w:val="auto"/>
        </w:rPr>
        <w:t>Indemnity.</w:t>
      </w:r>
      <w:r>
        <w:rPr>
          <w:rFonts w:ascii="Arial" w:cs="Arial" w:eastAsia="Arial" w:hAnsi="Arial"/>
          <w:sz w:val="16"/>
          <w:szCs w:val="16"/>
          <w:color w:val="auto"/>
        </w:rPr>
        <w:t xml:space="preserve">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2.27.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2.25 shall survive the termination of this Agreement, the repayment of the Loans and all other amounts payable hereunder and the other Loan Documents.</w:t>
      </w:r>
    </w:p>
    <w:p>
      <w:pPr>
        <w:spacing w:after="0" w:line="177" w:lineRule="exact"/>
        <w:rPr>
          <w:sz w:val="20"/>
          <w:szCs w:val="20"/>
          <w:color w:val="auto"/>
        </w:rPr>
      </w:pPr>
    </w:p>
    <w:p>
      <w:pPr>
        <w:ind w:right="200" w:firstLine="1063"/>
        <w:spacing w:after="0" w:line="247"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2.23 or 2.24(a)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provided,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2.26 shall affect or postpone any of the obligations of the Company or the rights of any Lender pursuant to Section 2.23 or 2.24(a).</w:t>
      </w:r>
    </w:p>
    <w:p>
      <w:pPr>
        <w:spacing w:after="0" w:line="192" w:lineRule="exact"/>
        <w:rPr>
          <w:sz w:val="20"/>
          <w:szCs w:val="20"/>
          <w:color w:val="auto"/>
        </w:rPr>
      </w:pPr>
    </w:p>
    <w:p>
      <w:pPr>
        <w:ind w:right="20" w:firstLine="1063"/>
        <w:spacing w:after="0" w:line="281"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Replacement/Termination of Lenders.</w:t>
      </w:r>
      <w:r>
        <w:rPr>
          <w:rFonts w:ascii="Arial" w:cs="Arial" w:eastAsia="Arial" w:hAnsi="Arial"/>
          <w:sz w:val="16"/>
          <w:szCs w:val="16"/>
          <w:color w:val="auto"/>
        </w:rPr>
        <w:t xml:space="preserve">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2.23 or 2.24(a),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 (iii) fails to give its consent to an extension of the Termination Date to which the Majority Facility Lenders under such Facility have consented, (b) in the case of any Multicurrency Lender or L/C Tranche Lender that fails to give its consent to the addition of a new Optional Currency to which the Majority Facility Lenders under such Facility have consented, to reallocate such Lender’s Multicurrency Commitment or L/C Tranche Commitment, as applicable, to a</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60"/>
          </w:cols>
          <w:pgMar w:left="220" w:top="510" w:right="219" w:bottom="1440" w:gutter="0" w:footer="0" w:header="0"/>
        </w:sectPr>
      </w:pPr>
    </w:p>
    <w:bookmarkStart w:id="66" w:name="page67"/>
    <w:bookmarkEnd w:id="66"/>
    <w:p>
      <w:pPr>
        <w:spacing w:after="0" w:line="277" w:lineRule="auto"/>
        <w:rPr>
          <w:sz w:val="20"/>
          <w:szCs w:val="20"/>
          <w:color w:val="auto"/>
        </w:rPr>
      </w:pPr>
      <w:r>
        <w:rPr>
          <w:rFonts w:ascii="Arial" w:cs="Arial" w:eastAsia="Arial" w:hAnsi="Arial"/>
          <w:sz w:val="16"/>
          <w:szCs w:val="16"/>
          <w:color w:val="auto"/>
        </w:rPr>
        <w:t>Domestic Commitment pursuant to Section 2.14(b) (regardless of whether the amount of such Commitment is less than the minimum amount required under such section) and (c) in the case of any Multicurrency Lender or L/C Tranche Lender that fails to give its consent to the addition of a new Borrower pursuant to Section 10.1(d)(i) to which the Administrative Agent has agreed, to reallocate such Lender’s Multicurrency Commitment or L/C Tranche Commitment, as applicable, to a Domestic Commitment pursuant to Section 2.14(b) (regardless of whether the amount of such Commitment is less than the minimum amount required under such section); provided,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2.25 if any Eurocurrency Loan owing to such replaced Lender shall be purchased or repaid other than on the last day of the Interest Period relating thereto, (C) any replacement financial institution, if not a Lender, shall be reasonably satisfactory to the Administrative Agent (and the Brazilian Administrative Agent in the case of any such replacement under the Brazilian Facility)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2.23 or 2.24(a), as the case may be, and (F) any such replacement, termination and/or repayment shall not be deemed to be a waiver of any rights that the Company, any other Loan Party, the Administrative Agent, the Brazilian Administrative Agent or any other Lender shall have against the replaced Lender. Notwithstanding the foregoing, in the event that a Lender being replaced pursuant to this Section 2.27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76" w:lineRule="exact"/>
        <w:rPr>
          <w:sz w:val="20"/>
          <w:szCs w:val="20"/>
          <w:color w:val="auto"/>
        </w:rPr>
      </w:pPr>
    </w:p>
    <w:p>
      <w:pPr>
        <w:ind w:left="1080"/>
        <w:spacing w:after="0"/>
        <w:tabs>
          <w:tab w:leader="none" w:pos="190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u w:val="single" w:color="auto"/>
          <w:color w:val="auto"/>
        </w:rPr>
        <w:t>Defaulting Lender.</w:t>
      </w:r>
    </w:p>
    <w:p>
      <w:pPr>
        <w:spacing w:after="0" w:line="214" w:lineRule="exact"/>
        <w:rPr>
          <w:sz w:val="20"/>
          <w:szCs w:val="20"/>
          <w:color w:val="auto"/>
        </w:rPr>
      </w:pPr>
    </w:p>
    <w:p>
      <w:pPr>
        <w:ind w:right="80" w:firstLine="1063"/>
        <w:spacing w:after="0" w:line="263"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44" w:lineRule="exact"/>
        <w:rPr>
          <w:sz w:val="20"/>
          <w:szCs w:val="20"/>
          <w:color w:val="auto"/>
        </w:rPr>
      </w:pPr>
    </w:p>
    <w:p>
      <w:pPr>
        <w:ind w:left="1800" w:hanging="728"/>
        <w:spacing w:after="0"/>
        <w:tabs>
          <w:tab w:leader="none" w:pos="18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Facility Fees, if any, shall cease to accrue on the unfunded Commitment of such Defaulting Lender pursuant to Section 2.13;</w:t>
      </w:r>
    </w:p>
    <w:p>
      <w:pPr>
        <w:spacing w:after="0" w:line="225" w:lineRule="exact"/>
        <w:rPr>
          <w:rFonts w:ascii="Arial" w:cs="Arial" w:eastAsia="Arial" w:hAnsi="Arial"/>
          <w:sz w:val="17"/>
          <w:szCs w:val="17"/>
          <w:color w:val="auto"/>
        </w:rPr>
      </w:pPr>
    </w:p>
    <w:p>
      <w:pPr>
        <w:jc w:val="both"/>
        <w:ind w:right="100" w:firstLine="1072"/>
        <w:spacing w:after="0" w:line="280" w:lineRule="auto"/>
        <w:tabs>
          <w:tab w:leader="none" w:pos="1801"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w:t>
      </w:r>
    </w:p>
    <w:p>
      <w:pPr>
        <w:ind w:right="100" w:firstLine="9"/>
        <w:spacing w:after="0" w:line="244" w:lineRule="auto"/>
        <w:tabs>
          <w:tab w:leader="none" w:pos="2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w:t>
      </w:r>
    </w:p>
    <w:p>
      <w:pPr>
        <w:spacing w:after="0" w:line="18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60"/>
          </w:cols>
          <w:pgMar w:left="220" w:top="510" w:right="219" w:bottom="1440" w:gutter="0" w:footer="0" w:header="0"/>
        </w:sectPr>
      </w:pPr>
    </w:p>
    <w:bookmarkStart w:id="67" w:name="page68"/>
    <w:bookmarkEnd w:id="67"/>
    <w:p>
      <w:pPr>
        <w:ind w:right="300"/>
        <w:spacing w:after="0" w:line="263" w:lineRule="auto"/>
        <w:rPr>
          <w:sz w:val="20"/>
          <w:szCs w:val="20"/>
          <w:color w:val="auto"/>
        </w:rPr>
      </w:pPr>
      <w:r>
        <w:rPr>
          <w:rFonts w:ascii="Arial" w:cs="Arial" w:eastAsia="Arial" w:hAnsi="Arial"/>
          <w:sz w:val="18"/>
          <w:szCs w:val="18"/>
          <w:color w:val="auto"/>
        </w:rPr>
        <w:t>(ii), and (iii) shall not include any waiver of a mandatory prepayment and shall not preclude a waiver of applicability of any post-default increases in interest rates).</w:t>
      </w:r>
    </w:p>
    <w:p>
      <w:pPr>
        <w:spacing w:after="0" w:line="178" w:lineRule="exact"/>
        <w:rPr>
          <w:sz w:val="20"/>
          <w:szCs w:val="20"/>
          <w:color w:val="auto"/>
        </w:rPr>
      </w:pPr>
    </w:p>
    <w:p>
      <w:pPr>
        <w:ind w:left="1800" w:hanging="728"/>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any L/C Obligations exist at the time any L/C Tranche Lender becomes a Defaulting Lender then:</w:t>
      </w:r>
    </w:p>
    <w:p>
      <w:pPr>
        <w:spacing w:after="0" w:line="214" w:lineRule="exact"/>
        <w:rPr>
          <w:sz w:val="20"/>
          <w:szCs w:val="20"/>
          <w:color w:val="auto"/>
        </w:rPr>
      </w:pPr>
    </w:p>
    <w:p>
      <w:pPr>
        <w:jc w:val="both"/>
        <w:ind w:right="80" w:firstLine="1072"/>
        <w:spacing w:after="0" w:line="291" w:lineRule="auto"/>
        <w:tabs>
          <w:tab w:leader="none" w:pos="1762"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so long as no Event of Default shall have occurred and be continuing at such time, all or any part of the L/C Obligations of such Defaulting Lender shall be reallocated among the L/C Tranche Lenders that are not Defaulting Lenders in accordance with their L/C Tranche Percentages (calculated without regard to such Defaulting Lender) but only to the extent the sum of all non-Defaulting Lenders’ L/C Tranche Extensions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L/C Obligations does not exceed the total of all L/C Tranche Lenders that are not Defaulting Lenders’ L/C Tranche Commitments;</w:t>
      </w:r>
    </w:p>
    <w:p>
      <w:pPr>
        <w:spacing w:after="0" w:line="159" w:lineRule="exact"/>
        <w:rPr>
          <w:rFonts w:ascii="Arial" w:cs="Arial" w:eastAsia="Arial" w:hAnsi="Arial"/>
          <w:sz w:val="16"/>
          <w:szCs w:val="16"/>
          <w:color w:val="auto"/>
        </w:rPr>
      </w:pPr>
    </w:p>
    <w:p>
      <w:pPr>
        <w:ind w:right="20" w:firstLine="1072"/>
        <w:spacing w:after="0" w:line="264" w:lineRule="auto"/>
        <w:tabs>
          <w:tab w:leader="none" w:pos="1811" w:val="left"/>
        </w:tabs>
        <w:numPr>
          <w:ilvl w:val="1"/>
          <w:numId w:val="54"/>
        </w:numPr>
        <w:rPr>
          <w:rFonts w:ascii="Arial" w:cs="Arial" w:eastAsia="Arial" w:hAnsi="Arial"/>
          <w:sz w:val="17"/>
          <w:szCs w:val="17"/>
          <w:color w:val="auto"/>
        </w:rPr>
      </w:pPr>
      <w:r>
        <w:rPr>
          <w:rFonts w:ascii="Arial" w:cs="Arial" w:eastAsia="Arial" w:hAnsi="Arial"/>
          <w:sz w:val="17"/>
          <w:szCs w:val="17"/>
          <w:color w:val="auto"/>
        </w:rPr>
        <w:t xml:space="preserve">if any reallocation described in clause (i) above cannot, or can only partially, be effected, the Company or any applicable 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Event of Default shall have then occurred and be continuing);</w:t>
      </w:r>
    </w:p>
    <w:p>
      <w:pPr>
        <w:spacing w:after="0" w:line="178" w:lineRule="exact"/>
        <w:rPr>
          <w:rFonts w:ascii="Arial" w:cs="Arial" w:eastAsia="Arial" w:hAnsi="Arial"/>
          <w:sz w:val="17"/>
          <w:szCs w:val="17"/>
          <w:color w:val="auto"/>
        </w:rPr>
      </w:pPr>
    </w:p>
    <w:p>
      <w:pPr>
        <w:ind w:left="1860" w:hanging="788"/>
        <w:spacing w:after="0"/>
        <w:tabs>
          <w:tab w:leader="none" w:pos="18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the Company or any Subsidiary Borrower Collateralizes any portion of such Defaulting Lender’s L/C Obligations pursuant to clause</w:t>
      </w:r>
    </w:p>
    <w:p>
      <w:pPr>
        <w:spacing w:after="0" w:line="39" w:lineRule="exact"/>
        <w:rPr>
          <w:rFonts w:ascii="Arial" w:cs="Arial" w:eastAsia="Arial" w:hAnsi="Arial"/>
          <w:sz w:val="16"/>
          <w:szCs w:val="16"/>
          <w:color w:val="auto"/>
        </w:rPr>
      </w:pPr>
    </w:p>
    <w:p>
      <w:pPr>
        <w:ind w:right="160" w:firstLine="9"/>
        <w:spacing w:after="0" w:line="308" w:lineRule="auto"/>
        <w:tabs>
          <w:tab w:leader="none" w:pos="26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145" w:lineRule="exact"/>
        <w:rPr>
          <w:rFonts w:ascii="Arial" w:cs="Arial" w:eastAsia="Arial" w:hAnsi="Arial"/>
          <w:sz w:val="16"/>
          <w:szCs w:val="16"/>
          <w:color w:val="auto"/>
        </w:rPr>
      </w:pPr>
    </w:p>
    <w:p>
      <w:pPr>
        <w:ind w:firstLine="1072"/>
        <w:spacing w:after="0" w:line="250" w:lineRule="auto"/>
        <w:tabs>
          <w:tab w:leader="none" w:pos="18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the L/C Obligations of the Defaulting Lenders are reallocated pursuant to clause (i) above, then the fees payable to the non-Defaulting Lenders pursuant to Section 2.13 and Section 3.3, as applicable, shall be adjusted in accordance with such non-Defaulting Lenders’ L/C Tranche Percentages of the L/C Tranche Commitments calculated without regard to such Defaulting Lender’s L/C Tranche Percentage of the L/C Tranche Commitments; and</w:t>
      </w:r>
    </w:p>
    <w:p>
      <w:pPr>
        <w:spacing w:after="0" w:line="189" w:lineRule="exact"/>
        <w:rPr>
          <w:rFonts w:ascii="Arial" w:cs="Arial" w:eastAsia="Arial" w:hAnsi="Arial"/>
          <w:sz w:val="18"/>
          <w:szCs w:val="18"/>
          <w:color w:val="auto"/>
        </w:rPr>
      </w:pPr>
    </w:p>
    <w:p>
      <w:pPr>
        <w:ind w:right="180" w:firstLine="1072"/>
        <w:spacing w:after="0" w:line="269" w:lineRule="auto"/>
        <w:tabs>
          <w:tab w:leader="none" w:pos="1801" w:val="left"/>
        </w:tabs>
        <w:numPr>
          <w:ilvl w:val="1"/>
          <w:numId w:val="55"/>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Obligations is neither reallocated nor Collateralized pursuant to clause (i) or (ii) above, then, without prejudice to any rights or remedies of the Company or any relevant Subsidiary Borrower, the applicable Issuing Lender or any other L/C Tranche Lender hereunder, all fees payable pursuant to the L/C Fee Letter with respect to such Defaulting Lender’s L/C Obligations shall be payable to the applicable Issuing Lender until and to the extent that such L/C Obligations are so reallocated and/or Collateralized; and</w:t>
      </w:r>
    </w:p>
    <w:p>
      <w:pPr>
        <w:spacing w:after="0" w:line="176" w:lineRule="exact"/>
        <w:rPr>
          <w:sz w:val="20"/>
          <w:szCs w:val="20"/>
          <w:color w:val="auto"/>
        </w:rPr>
      </w:pPr>
    </w:p>
    <w:p>
      <w:pPr>
        <w:ind w:right="120" w:firstLine="1072"/>
        <w:spacing w:after="0" w:line="291" w:lineRule="auto"/>
        <w:tabs>
          <w:tab w:leader="none" w:pos="18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Issuing Lender shall be required to issue, renew, amend or increase any Letter of Credit, unless it is reasonably satisfied that the related exposure and such Defaulting Lender’s then outstanding L/C Obligations will be 100% covered by the L/C Tranche Commitments of the L/C Tranche Lenders that are not Defaulting Lenders and/or Collateralized by the Company or any applicable Subsidiary Borrower in accordance with this Section 2.28 and participating interests in any newly issued or increased Letter of Credit shall be allocated among the L/C Tranche Lenders that are not Defaulting</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20" w:top="510"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Lenders in a manner consistent with this Section 2.28 (and such Defaulting Lender shall not participate therein).</w:t>
      </w:r>
    </w:p>
    <w:p>
      <w:pPr>
        <w:spacing w:after="0" w:line="214" w:lineRule="exact"/>
        <w:rPr>
          <w:sz w:val="20"/>
          <w:szCs w:val="20"/>
          <w:color w:val="auto"/>
        </w:rPr>
      </w:pPr>
    </w:p>
    <w:p>
      <w:pPr>
        <w:ind w:firstLine="1063"/>
        <w:spacing w:after="0" w:line="248" w:lineRule="auto"/>
        <w:rPr>
          <w:sz w:val="20"/>
          <w:szCs w:val="20"/>
          <w:color w:val="auto"/>
        </w:rPr>
      </w:pPr>
      <w:r>
        <w:rPr>
          <w:rFonts w:ascii="Arial" w:cs="Arial" w:eastAsia="Arial" w:hAnsi="Arial"/>
          <w:sz w:val="18"/>
          <w:szCs w:val="18"/>
          <w:color w:val="auto"/>
        </w:rPr>
        <w:t>If (i) a Lender Insolvency Event with respect to the parent company of any L/C Tranche Lender shall occur following the Closing Date and for so long as such event shall continue or (ii) any L/C Tranche Lender has defaulted in fulfilling its obligations under one or more other agreements in which such L/C Tranche Lender commits to extend credit, no Issuing Lender shall be required to issue, amend or increase any Letter of Credit unless such Issuing Lender shall have entered into arrangements with the Company or such L/C Tranche Lender, satisfactory to such Issuing Lender, to defease any risk to it in respect of such L/C Tranche Lender hereunder.</w:t>
      </w:r>
    </w:p>
    <w:p>
      <w:pPr>
        <w:spacing w:after="0" w:line="160" w:lineRule="exact"/>
        <w:rPr>
          <w:sz w:val="20"/>
          <w:szCs w:val="20"/>
          <w:color w:val="auto"/>
        </w:rPr>
      </w:pPr>
    </w:p>
    <w:p>
      <w:pPr>
        <w:ind w:right="20" w:firstLine="1063"/>
        <w:spacing w:after="0" w:line="283" w:lineRule="auto"/>
        <w:rPr>
          <w:sz w:val="20"/>
          <w:szCs w:val="20"/>
          <w:color w:val="auto"/>
        </w:rPr>
      </w:pPr>
      <w:r>
        <w:rPr>
          <w:rFonts w:ascii="Arial" w:cs="Arial" w:eastAsia="Arial" w:hAnsi="Arial"/>
          <w:sz w:val="16"/>
          <w:szCs w:val="16"/>
          <w:color w:val="auto"/>
        </w:rPr>
        <w:t>In the event that an L/C Tranche Lender becomes a Defaulting Lender, the Administrative Agent shall give notice to the Company and each affected Issuing Lender stating that such L/C Tranche Lender has become a Defaulting Lender. In the event that each of the Administrative Agent, the Company, each relevant Subsidiary Borrower and each affected Issuing Lender agrees that such Defaulting Lender has adequately remedied all matters that caused such Defaulting Lender to be a Defaulting Lender, then the L/C Obligations of the L/C Tranche Lenders shall be readjusted to reflect the inclusion of such Defaulting Lender’s L/C Tranche Commitments and, on such date, such L/C Tranche Lender shall purchase at par such of the Loans and/or participations in the L/C Obligations of the other L/C Tranche Lenders as the Administrative Agent shall determine may be necessary in order for such L/C Tranche Lender to hold such L/C Tranche Loans and participations in the L/C Obligations in accordance with its L/C Tranche Percentage of the L/C Tranche Commitments.</w:t>
      </w:r>
    </w:p>
    <w:p>
      <w:pPr>
        <w:spacing w:after="0" w:line="131"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u w:val="single" w:color="auto"/>
          <w:color w:val="auto"/>
        </w:rPr>
        <w:t>Reallocation of Payments for the Account of Defaulting Lenders.</w:t>
      </w:r>
      <w:r>
        <w:rPr>
          <w:rFonts w:ascii="Arial" w:cs="Arial" w:eastAsia="Arial" w:hAnsi="Arial"/>
          <w:sz w:val="16"/>
          <w:szCs w:val="16"/>
          <w:color w:val="auto"/>
        </w:rPr>
        <w:t xml:space="preserve"> Any payment of principal, interest, fees or other amounts received by the Administrative Agent or the Brazilian Administrative Agent, as applicable, for the account of any Defaulting Lender under any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 amounts owing by such Defaulting Lender to the Administrative Agent and the Brazilian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and the Brazilian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the L/C Tranche Facility only,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such Defaulting Lender to each Issuing Lender hereunder (</w:t>
      </w:r>
      <w:r>
        <w:rPr>
          <w:rFonts w:ascii="Arial" w:cs="Arial" w:eastAsia="Arial" w:hAnsi="Arial"/>
          <w:sz w:val="16"/>
          <w:szCs w:val="16"/>
          <w:u w:val="single" w:color="auto"/>
          <w:color w:val="auto"/>
        </w:rPr>
        <w:t>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w:t>
      </w:r>
      <w:r>
        <w:rPr>
          <w:rFonts w:ascii="Arial" w:cs="Arial" w:eastAsia="Arial" w:hAnsi="Arial"/>
          <w:sz w:val="16"/>
          <w:szCs w:val="16"/>
          <w:color w:val="auto"/>
        </w:rPr>
        <w:t xml:space="preserve"> to the Issuing Lenders in accordance with the amounts owed by such Defaulting Lender to each Issuing Lender);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in the case of the L/C Tranche Facility only, if so determined by the Administrative Agent or requested by the Company or an Issuing Lender, to be held as cash collateral for future funding obligations of such Defaulting Lender of any participation in any Letter of Credit;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under such Facility and, in the case of the L/C Tranche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to such Defaulting</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20" w:top="510" w:right="259" w:bottom="1440" w:gutter="0" w:footer="0" w:header="0"/>
        </w:sectPr>
      </w:pPr>
    </w:p>
    <w:bookmarkStart w:id="69" w:name="page70"/>
    <w:bookmarkEnd w:id="69"/>
    <w:p>
      <w:pPr>
        <w:ind w:right="100"/>
        <w:spacing w:after="0" w:line="283" w:lineRule="auto"/>
        <w:rPr>
          <w:sz w:val="20"/>
          <w:szCs w:val="20"/>
          <w:color w:val="auto"/>
        </w:rPr>
      </w:pPr>
      <w:r>
        <w:rPr>
          <w:rFonts w:ascii="Arial" w:cs="Arial" w:eastAsia="Arial" w:hAnsi="Arial"/>
          <w:sz w:val="16"/>
          <w:szCs w:val="16"/>
          <w:color w:val="auto"/>
        </w:rPr>
        <w:t xml:space="preserve">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2.29 shall be deemed paid to and redirected by such Defaulting Lender, and each Lender under the applicable Facility irrevocably consents hereto.</w:t>
      </w:r>
    </w:p>
    <w:p>
      <w:pPr>
        <w:spacing w:after="0" w:line="165"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u w:val="single" w:color="auto"/>
          <w:color w:val="auto"/>
        </w:rPr>
        <w:t>New Local Facilities.</w:t>
      </w:r>
      <w:r>
        <w:rPr>
          <w:rFonts w:ascii="Arial" w:cs="Arial" w:eastAsia="Arial" w:hAnsi="Arial"/>
          <w:sz w:val="16"/>
          <w:szCs w:val="16"/>
          <w:color w:val="auto"/>
        </w:rPr>
        <w:t xml:space="preserve">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hereunder (each, a “</w:t>
      </w:r>
      <w:r>
        <w:rPr>
          <w:rFonts w:ascii="Arial" w:cs="Arial" w:eastAsia="Arial" w:hAnsi="Arial"/>
          <w:sz w:val="16"/>
          <w:szCs w:val="16"/>
          <w:u w:val="single" w:color="auto"/>
          <w:color w:val="auto"/>
        </w:rPr>
        <w:t>New Local Facility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both at the time of any such request and upon the effectiveness of any Local Facility Amendment referred to below, no Default or Event of Default shall have occurred and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Lender shall be required to make Extensions of Credit in excess of its Commitment then in effect, and (ii) after giving effect to any such New Local Facility, the Total Brazilian Extensions of Credit shall not exceed the Total Brazilian Commitments then in effect, the Total Domestic Extensions of Credit shall not exceed the Total Domestic Commitments then in effect, the Total L/C Tranche Extensions of Credit shall not exceed the Total L/C Tranche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2.30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“New Local Facility Lender”) shall have such portion of their Commitment under such Facility designated to such New Local Facility on a pro rata basis in accordance with the aggregate Commitments of the other New Local Facility Lenders; provided, that no Lender may so reallocate its Commitments to a New Local Facility if such reallocation would result in amounts being payable by the Company or any Subsidiary Borrower under Section 2.23 or 2.24 unless such Lender changes its Applicable Lending Office to avoid such a result or the Company otherwise consents. The designation of Commitments to any New Local Facility shall be made pursuant to an amendment (each, a “Local Facility Amendment”) to this Agreement and, as appropriate, the other Loan Documents, executed by the Loan Parties, the Administrative Agent and each New Local Facility Lender. Notwithstanding anything in this Section 2.30 to the contrary, no Lender shall be obligated to transfer any portion of its Commitments to a New Local Facility unless it so agrees.</w:t>
      </w:r>
    </w:p>
    <w:p>
      <w:pPr>
        <w:spacing w:after="0" w:line="172" w:lineRule="exact"/>
        <w:rPr>
          <w:sz w:val="20"/>
          <w:szCs w:val="20"/>
          <w:color w:val="auto"/>
        </w:rPr>
      </w:pPr>
    </w:p>
    <w:p>
      <w:pPr>
        <w:ind w:right="200" w:firstLine="1072"/>
        <w:spacing w:after="0" w:line="300" w:lineRule="auto"/>
        <w:tabs>
          <w:tab w:leader="none" w:pos="18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a copy of which shall be made available to each Lender.</w:t>
      </w:r>
    </w:p>
    <w:p>
      <w:pPr>
        <w:spacing w:after="0" w:line="345"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40"/>
          </w:cols>
          <w:pgMar w:left="220" w:top="510" w:right="239" w:bottom="1440" w:gutter="0" w:footer="0" w:header="0"/>
        </w:sectPr>
      </w:pPr>
    </w:p>
    <w:bookmarkStart w:id="70" w:name="page71"/>
    <w:bookmarkEnd w:id="70"/>
    <w:p>
      <w:pPr>
        <w:ind w:firstLine="1063"/>
        <w:spacing w:after="0" w:line="277"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Incremental Commitments/Facilities.</w:t>
      </w:r>
      <w:r>
        <w:rPr>
          <w:rFonts w:ascii="Arial" w:cs="Arial" w:eastAsia="Arial" w:hAnsi="Arial"/>
          <w:sz w:val="16"/>
          <w:szCs w:val="16"/>
          <w:color w:val="auto"/>
        </w:rPr>
        <w:t xml:space="preserve">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w:t>
      </w:r>
    </w:p>
    <w:p>
      <w:pPr>
        <w:spacing w:after="0" w:line="2" w:lineRule="exact"/>
        <w:rPr>
          <w:sz w:val="20"/>
          <w:szCs w:val="20"/>
          <w:color w:val="auto"/>
        </w:rPr>
      </w:pPr>
    </w:p>
    <w:p>
      <w:pPr>
        <w:ind w:right="40" w:firstLine="9"/>
        <w:spacing w:after="0" w:line="260" w:lineRule="auto"/>
        <w:tabs>
          <w:tab w:leader="none" w:pos="2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borrower(s) thereunder (which may be the Company and/or any Subsidiary Borrowers), (D) 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5-Year Total Commitments then in effect (including, for the avoidance of doubt, any commitments under incremental facilities under the 5-Year Revolving Credit Agreement) and the aggregate amount of all Ancillary Commitments then in effect shall not exceed $15.5 billion.</w:t>
      </w:r>
    </w:p>
    <w:p>
      <w:pPr>
        <w:spacing w:after="0" w:line="184" w:lineRule="exact"/>
        <w:rPr>
          <w:rFonts w:ascii="Arial" w:cs="Arial" w:eastAsia="Arial" w:hAnsi="Arial"/>
          <w:sz w:val="17"/>
          <w:szCs w:val="17"/>
          <w:color w:val="auto"/>
        </w:rPr>
      </w:pPr>
    </w:p>
    <w:p>
      <w:pPr>
        <w:ind w:right="80" w:firstLine="1072"/>
        <w:spacing w:after="0" w:line="265" w:lineRule="auto"/>
        <w:tabs>
          <w:tab w:leader="none" w:pos="1801" w:val="left"/>
        </w:tabs>
        <w:numPr>
          <w:ilvl w:val="1"/>
          <w:numId w:val="58"/>
        </w:numPr>
        <w:rPr>
          <w:rFonts w:ascii="Arial" w:cs="Arial" w:eastAsia="Arial" w:hAnsi="Arial"/>
          <w:sz w:val="17"/>
          <w:szCs w:val="17"/>
          <w:color w:val="auto"/>
        </w:rPr>
      </w:pPr>
      <w:r>
        <w:rPr>
          <w:rFonts w:ascii="Arial" w:cs="Arial" w:eastAsia="Arial" w:hAnsi="Arial"/>
          <w:sz w:val="17"/>
          <w:szCs w:val="17"/>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7"/>
          <w:szCs w:val="17"/>
          <w:u w:val="single" w:color="auto"/>
          <w:color w:val="auto"/>
        </w:rPr>
        <w:t>Incremental Loan</w:t>
      </w:r>
      <w:r>
        <w:rPr>
          <w:rFonts w:ascii="Arial" w:cs="Arial" w:eastAsia="Arial" w:hAnsi="Arial"/>
          <w:sz w:val="17"/>
          <w:szCs w:val="17"/>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2.31 shall be construed to obligate any Lender to execute an Incremental Loan Activation Notice.</w:t>
      </w:r>
    </w:p>
    <w:p>
      <w:pPr>
        <w:spacing w:after="0" w:line="177" w:lineRule="exact"/>
        <w:rPr>
          <w:rFonts w:ascii="Arial" w:cs="Arial" w:eastAsia="Arial" w:hAnsi="Arial"/>
          <w:sz w:val="17"/>
          <w:szCs w:val="17"/>
          <w:color w:val="auto"/>
        </w:rPr>
      </w:pPr>
    </w:p>
    <w:p>
      <w:pPr>
        <w:ind w:right="160" w:firstLine="1072"/>
        <w:spacing w:after="0" w:line="263" w:lineRule="auto"/>
        <w:tabs>
          <w:tab w:leader="none" w:pos="1791" w:val="left"/>
        </w:tabs>
        <w:numPr>
          <w:ilvl w:val="1"/>
          <w:numId w:val="58"/>
        </w:numPr>
        <w:rPr>
          <w:rFonts w:ascii="Arial" w:cs="Arial" w:eastAsia="Arial" w:hAnsi="Arial"/>
          <w:sz w:val="17"/>
          <w:szCs w:val="17"/>
          <w:color w:val="auto"/>
        </w:rPr>
      </w:pPr>
      <w:r>
        <w:rPr>
          <w:rFonts w:ascii="Arial" w:cs="Arial" w:eastAsia="Arial" w:hAnsi="Arial"/>
          <w:sz w:val="17"/>
          <w:szCs w:val="17"/>
          <w:color w:val="auto"/>
        </w:rPr>
        <w:t>On any Commitment Increase Date with respect to any Facility, in the event any Loans under such Facility are then outstanding, (i) each relevant Incremental Lender shall make available to the Administrative Agent (or the Brazilian Administrative Agent in the case of the Brazilian Facility) such amounts in immediately available funds as the Administrative Agent (or the Brazilian Administrative Agent in the case of the Brazilian Facility)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2.25 as a result of such prepayment.</w:t>
      </w:r>
    </w:p>
    <w:p>
      <w:pPr>
        <w:spacing w:after="0" w:line="180" w:lineRule="exact"/>
        <w:rPr>
          <w:sz w:val="20"/>
          <w:szCs w:val="20"/>
          <w:color w:val="auto"/>
        </w:rPr>
      </w:pPr>
    </w:p>
    <w:p>
      <w:pPr>
        <w:ind w:right="100" w:firstLine="1063"/>
        <w:spacing w:after="0" w:line="263"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Termination Date Extension.</w:t>
      </w:r>
      <w:r>
        <w:rPr>
          <w:rFonts w:ascii="Arial" w:cs="Arial" w:eastAsia="Arial" w:hAnsi="Arial"/>
          <w:sz w:val="18"/>
          <w:szCs w:val="18"/>
          <w:color w:val="auto"/>
        </w:rPr>
        <w:t xml:space="preserve"> (a) The Company may at any time and from time to time, by notice to the Administrative Agent and the Brazilian Administrative Agent, if applicable, propose</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40"/>
          </w:cols>
          <w:pgMar w:left="220" w:top="510" w:right="239" w:bottom="1440" w:gutter="0" w:footer="0" w:header="0"/>
        </w:sectPr>
      </w:pPr>
    </w:p>
    <w:bookmarkStart w:id="71" w:name="page72"/>
    <w:bookmarkEnd w:id="71"/>
    <w:p>
      <w:pPr>
        <w:spacing w:after="0" w:line="283" w:lineRule="auto"/>
        <w:rPr>
          <w:sz w:val="20"/>
          <w:szCs w:val="20"/>
          <w:color w:val="auto"/>
        </w:rPr>
      </w:pPr>
      <w:r>
        <w:rPr>
          <w:rFonts w:ascii="Arial" w:cs="Arial" w:eastAsia="Arial" w:hAnsi="Arial"/>
          <w:sz w:val="16"/>
          <w:szCs w:val="16"/>
          <w:color w:val="auto"/>
        </w:rPr>
        <w:t>an extension of the Termination Date, which proposal may include a proposal to change the Applicable Margins (including any provision of the Applicable Pricing Grid) for the Lenders as may be specified in such proposal. Upon receipt of any such proposal the Administrative Agent and the Brazilian Administrative Agent, if applicable,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2.32(b).</w:t>
      </w:r>
    </w:p>
    <w:p>
      <w:pPr>
        <w:spacing w:after="0" w:line="165" w:lineRule="exact"/>
        <w:rPr>
          <w:sz w:val="20"/>
          <w:szCs w:val="20"/>
          <w:color w:val="auto"/>
        </w:rPr>
      </w:pPr>
    </w:p>
    <w:p>
      <w:pPr>
        <w:ind w:right="100" w:firstLine="1072"/>
        <w:spacing w:after="0" w:line="300" w:lineRule="auto"/>
        <w:tabs>
          <w:tab w:leader="none" w:pos="1801"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any Lender does not consent to any extension request that becomes effective pursuant to Section 2.32(a) (each such Lender,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 then the Termination Date for such Non-Extending Lender shall remain unchanged from that applicable prior to the extension and the Commitments of each Non-Extending Lender and the existing Applicable Margins shall, subject to the terms of Section 2.21, continue in full force and effect.</w:t>
      </w:r>
    </w:p>
    <w:p>
      <w:pPr>
        <w:spacing w:after="0" w:line="151" w:lineRule="exact"/>
        <w:rPr>
          <w:rFonts w:ascii="Arial" w:cs="Arial" w:eastAsia="Arial" w:hAnsi="Arial"/>
          <w:sz w:val="16"/>
          <w:szCs w:val="16"/>
          <w:color w:val="auto"/>
        </w:rPr>
      </w:pPr>
    </w:p>
    <w:p>
      <w:pPr>
        <w:ind w:right="20" w:firstLine="1072"/>
        <w:spacing w:after="0" w:line="269" w:lineRule="auto"/>
        <w:tabs>
          <w:tab w:leader="none" w:pos="1791"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Notwithstanding the provisions of Section 10.1(a), the Company and the Administrative Agent and the Brazilian Administrative Agent, if applicable, (and the Extending Lenders) shall be entitled to enter into any amendments to this Agreement that the Administrative Agent and the Brazilian Administrative Agent, if applicable, believe are necessary or appropriate to reflect, or to provide for the integration of, any extension of the Termination Date or change in Applicable Margins pursuant to this Section 2.32 without the consent of any Non-Extending Lender.</w:t>
      </w:r>
    </w:p>
    <w:p>
      <w:pPr>
        <w:spacing w:after="0" w:line="176" w:lineRule="exact"/>
        <w:rPr>
          <w:sz w:val="20"/>
          <w:szCs w:val="20"/>
          <w:color w:val="auto"/>
        </w:rPr>
      </w:pPr>
    </w:p>
    <w:p>
      <w:pPr>
        <w:ind w:right="20" w:firstLine="1063"/>
        <w:spacing w:after="0" w:line="247"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Ancillary Facilities.</w:t>
      </w:r>
      <w:r>
        <w:rPr>
          <w:rFonts w:ascii="Arial" w:cs="Arial" w:eastAsia="Arial" w:hAnsi="Arial"/>
          <w:sz w:val="18"/>
          <w:szCs w:val="18"/>
          <w:color w:val="auto"/>
        </w:rPr>
        <w:t xml:space="preserve"> (a) Subject to compliance with the requirements set forth in this Section 2.33, the Company may request from time to time (but in any event prior to the Termination Date for the applicable Multicurrency Lenders in respect of the Multicurrency Facility) and any Multicurrency Lender may agree (in its sole discretion) to establish an Ancillary Facility on a bilateral basis to be made available to any Loan Party or any Foreign Subsidiary (each such Loan Party or Foreign Subsidiary in such capacity, an “</w:t>
      </w:r>
      <w:r>
        <w:rPr>
          <w:rFonts w:ascii="Arial" w:cs="Arial" w:eastAsia="Arial" w:hAnsi="Arial"/>
          <w:sz w:val="18"/>
          <w:szCs w:val="18"/>
          <w:u w:val="single" w:color="auto"/>
          <w:color w:val="auto"/>
        </w:rPr>
        <w:t>Ancillary Borrower</w:t>
      </w:r>
      <w:r>
        <w:rPr>
          <w:rFonts w:ascii="Arial" w:cs="Arial" w:eastAsia="Arial" w:hAnsi="Arial"/>
          <w:sz w:val="18"/>
          <w:szCs w:val="18"/>
          <w:color w:val="auto"/>
        </w:rPr>
        <w:t>”) by conversion of such Lender’s unutilized Multicurrency Commitments (or part thereof) into an Ancillary Commitment (and a corresponding reduction of such Lender’s Multicurrency Commitments then in effect by an amount equal to such Ancillary Commitment).</w:t>
      </w:r>
    </w:p>
    <w:p>
      <w:pPr>
        <w:spacing w:after="0" w:line="195" w:lineRule="exact"/>
        <w:rPr>
          <w:sz w:val="20"/>
          <w:szCs w:val="20"/>
          <w:color w:val="auto"/>
        </w:rPr>
      </w:pPr>
    </w:p>
    <w:p>
      <w:pPr>
        <w:ind w:right="80" w:firstLine="1072"/>
        <w:spacing w:after="0" w:line="253" w:lineRule="auto"/>
        <w:tabs>
          <w:tab w:leader="none" w:pos="18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request the creation of an Ancillary Facility, the Company and the applicable Ancillary Borrower(s) shall deliver to the Administrative Agent not later than 3 Business Days (or such shorter period agreed to by the Administrative Agent) prior to the Ancillary Commencement Date for such Ancillary Facility:</w:t>
      </w:r>
    </w:p>
    <w:p>
      <w:pPr>
        <w:spacing w:after="0" w:line="187" w:lineRule="exact"/>
        <w:rPr>
          <w:sz w:val="20"/>
          <w:szCs w:val="20"/>
          <w:color w:val="auto"/>
        </w:rPr>
      </w:pPr>
    </w:p>
    <w:p>
      <w:pPr>
        <w:ind w:left="1780" w:hanging="708"/>
        <w:spacing w:after="0"/>
        <w:tabs>
          <w:tab w:leader="none" w:pos="1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notice in writing specifying:</w:t>
      </w:r>
    </w:p>
    <w:p>
      <w:pPr>
        <w:spacing w:after="0" w:line="213" w:lineRule="exact"/>
        <w:rPr>
          <w:rFonts w:ascii="Arial" w:cs="Arial" w:eastAsia="Arial" w:hAnsi="Arial"/>
          <w:sz w:val="18"/>
          <w:szCs w:val="18"/>
          <w:color w:val="auto"/>
        </w:rPr>
      </w:pPr>
    </w:p>
    <w:p>
      <w:pPr>
        <w:ind w:left="2920" w:hanging="785"/>
        <w:spacing w:after="0"/>
        <w:tabs>
          <w:tab w:leader="none" w:pos="2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Ancillary Borrower(s) to which extensions of credit will be made available thereunder;</w:t>
      </w:r>
    </w:p>
    <w:p>
      <w:pPr>
        <w:spacing w:after="0" w:line="213" w:lineRule="exact"/>
        <w:rPr>
          <w:rFonts w:ascii="Arial" w:cs="Arial" w:eastAsia="Arial" w:hAnsi="Arial"/>
          <w:sz w:val="18"/>
          <w:szCs w:val="18"/>
          <w:color w:val="auto"/>
        </w:rPr>
      </w:pPr>
    </w:p>
    <w:p>
      <w:pPr>
        <w:ind w:left="1600" w:right="100" w:firstLine="535"/>
        <w:spacing w:after="0" w:line="263" w:lineRule="auto"/>
        <w:tabs>
          <w:tab w:leader="none" w:pos="28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proposed Ancillary Commencement Date and the expiration date of such Ancillary Facility (which shall be no later than the Termination Date for the applicable Lenders under the Multicurrency Facility);</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40"/>
          </w:cols>
          <w:pgMar w:left="220" w:top="510" w:right="239" w:bottom="1440" w:gutter="0" w:footer="0" w:header="0"/>
        </w:sectPr>
      </w:pPr>
    </w:p>
    <w:bookmarkStart w:id="72" w:name="page73"/>
    <w:bookmarkEnd w:id="72"/>
    <w:p>
      <w:pPr>
        <w:ind w:left="1600" w:right="440" w:firstLine="535"/>
        <w:spacing w:after="0" w:line="263" w:lineRule="auto"/>
        <w:tabs>
          <w:tab w:leader="none" w:pos="2899"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type of Ancillary Facility being provided (with such type being specified based on the applicable clause of the definition of “Ancillary Facility”);</w:t>
      </w:r>
    </w:p>
    <w:p>
      <w:pPr>
        <w:spacing w:after="0" w:line="177" w:lineRule="exact"/>
        <w:rPr>
          <w:rFonts w:ascii="Arial" w:cs="Arial" w:eastAsia="Arial" w:hAnsi="Arial"/>
          <w:sz w:val="18"/>
          <w:szCs w:val="18"/>
          <w:color w:val="auto"/>
        </w:rPr>
      </w:pPr>
    </w:p>
    <w:p>
      <w:pPr>
        <w:ind w:left="2920" w:hanging="785"/>
        <w:spacing w:after="0"/>
        <w:tabs>
          <w:tab w:leader="none" w:pos="29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identity of the Ancillary Lender(s);</w:t>
      </w:r>
    </w:p>
    <w:p>
      <w:pPr>
        <w:spacing w:after="0" w:line="213" w:lineRule="exact"/>
        <w:rPr>
          <w:rFonts w:ascii="Arial" w:cs="Arial" w:eastAsia="Arial" w:hAnsi="Arial"/>
          <w:sz w:val="18"/>
          <w:szCs w:val="18"/>
          <w:color w:val="auto"/>
        </w:rPr>
      </w:pPr>
    </w:p>
    <w:p>
      <w:pPr>
        <w:ind w:left="1600" w:firstLine="535"/>
        <w:spacing w:after="0" w:line="250" w:lineRule="auto"/>
        <w:tabs>
          <w:tab w:leader="none" w:pos="2889"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amount and currency of the proposed Ancillary Commitment with respect to such Ancillary Facility (the Dollar Equivalent of which on the Ancillary Commencement Date shall not exceed such Ancillary Lender’s Available Multicurrency Commitment (determined prior to giving effect to such Ancillary Commitment but after giving effect to any other Ancillary Commitments of such Lender)); and</w:t>
      </w:r>
    </w:p>
    <w:p>
      <w:pPr>
        <w:spacing w:after="0" w:line="189" w:lineRule="exact"/>
        <w:rPr>
          <w:rFonts w:ascii="Arial" w:cs="Arial" w:eastAsia="Arial" w:hAnsi="Arial"/>
          <w:sz w:val="18"/>
          <w:szCs w:val="18"/>
          <w:color w:val="auto"/>
        </w:rPr>
      </w:pPr>
    </w:p>
    <w:p>
      <w:pPr>
        <w:ind w:left="1820" w:hanging="748"/>
        <w:spacing w:after="0"/>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copy of the Ancillary Facility Document with respect to such Ancillary Facility; and</w:t>
      </w:r>
    </w:p>
    <w:p>
      <w:pPr>
        <w:spacing w:after="0" w:line="213" w:lineRule="exact"/>
        <w:rPr>
          <w:rFonts w:ascii="Arial" w:cs="Arial" w:eastAsia="Arial" w:hAnsi="Arial"/>
          <w:sz w:val="18"/>
          <w:szCs w:val="18"/>
          <w:color w:val="auto"/>
        </w:rPr>
      </w:pPr>
    </w:p>
    <w:p>
      <w:pPr>
        <w:ind w:left="1860" w:hanging="788"/>
        <w:spacing w:after="0"/>
        <w:tabs>
          <w:tab w:leader="none" w:pos="1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other information that the Administrative Agent may reasonably request in connection with such Ancillary Facility.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give notice to each Lender with Multicurrency Commitments of such Ancillary Facility notice.</w:t>
      </w:r>
    </w:p>
    <w:p>
      <w:pPr>
        <w:spacing w:after="0" w:line="167" w:lineRule="exact"/>
        <w:rPr>
          <w:sz w:val="20"/>
          <w:szCs w:val="20"/>
          <w:color w:val="auto"/>
        </w:rPr>
      </w:pPr>
    </w:p>
    <w:p>
      <w:pPr>
        <w:ind w:firstLine="1072"/>
        <w:spacing w:after="0" w:line="270" w:lineRule="auto"/>
        <w:tabs>
          <w:tab w:leader="none" w:pos="1791"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Subject to the terms of this Agreement, an affiliate of any Lender may become an Ancillary Lender, in which case such Lender and such affiliate shall be treated as a single Lender whose Multicurrency Commitments are as set forth in Schedule 1.1A or in the Assignment and Assumption pursuant to which such Lender assumed its applicable Multicurrency Commitment, as the same may be modified in accordance with the definition of “Multicurrency Commitment”; it being understood that the relevant Lender’s Multicurrency Commitment will be reduced by the amount of the Ancillary Commitment of such Lender or such affiliate for so long as such Ancillary Commitments remain outstanding.</w:t>
      </w:r>
    </w:p>
    <w:p>
      <w:pPr>
        <w:spacing w:after="0" w:line="174" w:lineRule="exact"/>
        <w:rPr>
          <w:sz w:val="20"/>
          <w:szCs w:val="20"/>
          <w:color w:val="auto"/>
        </w:rPr>
      </w:pPr>
    </w:p>
    <w:p>
      <w:pPr>
        <w:ind w:right="340" w:firstLine="1072"/>
        <w:spacing w:after="0" w:line="253" w:lineRule="auto"/>
        <w:tabs>
          <w:tab w:leader="none" w:pos="18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the extent that this Agreement or any other Loan Document imposes any obligation on any Ancillary Lender and such Ancillary Lender is an affiliate of a Lender and not a party hereto or thereto, the relevant Lender shall ensure that such obligation is performed by such affiliate in compliance with the terms hereof or such other Loan Document.</w:t>
      </w:r>
    </w:p>
    <w:p>
      <w:pPr>
        <w:spacing w:after="0" w:line="187" w:lineRule="exact"/>
        <w:rPr>
          <w:rFonts w:ascii="Arial" w:cs="Arial" w:eastAsia="Arial" w:hAnsi="Arial"/>
          <w:sz w:val="18"/>
          <w:szCs w:val="18"/>
          <w:color w:val="auto"/>
        </w:rPr>
      </w:pPr>
    </w:p>
    <w:p>
      <w:pPr>
        <w:ind w:left="1860" w:hanging="788"/>
        <w:spacing w:after="0"/>
        <w:tabs>
          <w:tab w:leader="none" w:pos="18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Ancillary Lender, in its capacity as such, hereby appoints the Administrative Agent as its agent for purposes of the Loan</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Documents.</w:t>
      </w:r>
    </w:p>
    <w:p>
      <w:pPr>
        <w:spacing w:after="0" w:line="200" w:lineRule="exact"/>
        <w:rPr>
          <w:sz w:val="20"/>
          <w:szCs w:val="20"/>
          <w:color w:val="auto"/>
        </w:rPr>
      </w:pPr>
    </w:p>
    <w:p>
      <w:pPr>
        <w:ind w:right="20" w:firstLine="1072"/>
        <w:spacing w:after="0" w:line="281" w:lineRule="auto"/>
        <w:tabs>
          <w:tab w:leader="none" w:pos="1801"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Each Ancillary Facility shall contain terms and conditions acceptable to the applicable Ancillary Lender(s) and the applicable Ancillary Borrower(s) thereunder; provided that such terms shall, in the reasonable business judgment of the Company, be based upon normal commercial terms at the time of the creation of such Ancillary Facility pursuant to paragraph (b) of this Section 2.33 and such terms shall at all times (A) permit extensions of credit thereunder to be made only to the applicable Ancillary Borrower(s); (B) provide that the Ancillary Commitment of any Ancillary Lender under such Ancillary Facility shall not exceed such Ancillary Lender’s Available Multicurrency Commitment as of the Ancillary Commencement Date (determined without giving effect to any reduction pursuant to the definition thereof by the amount of such Ancillary Lender’s Ancillary Commitment in relation to such Ancillary Facility) and that, in the event and on such occasion that such Ancillary Commitment exceeds such Available Multicurrency Commitment (determined as of the Ancillary Commencement Date and without giving effect to any reduction pursuant to the definition thereof by the</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20" w:top="510" w:right="259" w:bottom="1440" w:gutter="0" w:footer="0" w:header="0"/>
        </w:sectPr>
      </w:pPr>
    </w:p>
    <w:bookmarkStart w:id="73" w:name="page74"/>
    <w:bookmarkEnd w:id="73"/>
    <w:p>
      <w:pPr>
        <w:ind w:right="20"/>
        <w:spacing w:after="0" w:line="279" w:lineRule="auto"/>
        <w:rPr>
          <w:sz w:val="20"/>
          <w:szCs w:val="20"/>
          <w:color w:val="auto"/>
        </w:rPr>
      </w:pPr>
      <w:r>
        <w:rPr>
          <w:rFonts w:ascii="Arial" w:cs="Arial" w:eastAsia="Arial" w:hAnsi="Arial"/>
          <w:sz w:val="16"/>
          <w:szCs w:val="16"/>
          <w:color w:val="auto"/>
        </w:rPr>
        <w:t>amount of such Ancillary Lender’s Ancillary Commitment in relation to such Ancillary Facility but after giving effect to any other Ancillary Commitments of such Lender), such Ancillary Commitment shall be automatically reduced by the amount of such excess; (C) provide that the Ancillary Facility Outstandings shall not exceed the Ancillary Commitment with respect to such Ancillary Facility, (D) provide that the Ancillary Commitment under such Ancillary Facility be canceled, and that all Ancillary Facility Outstandings under such Ancillary Facility be repaid, not later than the Termination Date for the applicable Ancillary Lenders under the Multicurrency Facility (or such earlier date as the Multicurrency Commitment of the relevant Ancillary Lender (or its affiliate) is reduced to zero) unless cash collateralized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and, in each case, the Administrative Agent is reasonably satisfied that (x) such Ancillary Facility shall continue on a bilateral basis and the Lenders other than such Ancillary Lender shall have no obligations with respect to such Ancillary Facility or the relevant Ancillary Outstandings, (y) the Ancillary Outstandings in respect of such Ancillary Facility shall not constitute “Guaranteed Obligations” (as defined in the Guarantee) and (z) the Administrative Agent shall have no further obligations with respect to such Ancillary Facility or the related Ancillary Outstandings; and (E) provide that the conditions set forth in Section 5.2 shall be conditions to each extension of credit under such Ancillary Facility (in each case to the extent applicable).</w:t>
      </w:r>
    </w:p>
    <w:p>
      <w:pPr>
        <w:spacing w:after="0" w:line="169" w:lineRule="exact"/>
        <w:rPr>
          <w:sz w:val="20"/>
          <w:szCs w:val="20"/>
          <w:color w:val="auto"/>
        </w:rPr>
      </w:pPr>
    </w:p>
    <w:p>
      <w:pPr>
        <w:ind w:firstLine="1072"/>
        <w:spacing w:after="0" w:line="291" w:lineRule="auto"/>
        <w:tabs>
          <w:tab w:leader="none" w:pos="1811" w:val="left"/>
        </w:tabs>
        <w:numPr>
          <w:ilvl w:val="0"/>
          <w:numId w:val="67"/>
        </w:numPr>
        <w:rPr>
          <w:rFonts w:ascii="Arial" w:cs="Arial" w:eastAsia="Arial" w:hAnsi="Arial"/>
          <w:sz w:val="16"/>
          <w:szCs w:val="16"/>
          <w:color w:val="auto"/>
        </w:rPr>
      </w:pPr>
      <w:r>
        <w:rPr>
          <w:rFonts w:ascii="Arial" w:cs="Arial" w:eastAsia="Arial" w:hAnsi="Arial"/>
          <w:sz w:val="16"/>
          <w:szCs w:val="16"/>
          <w:color w:val="auto"/>
        </w:rPr>
        <w:t>On the relevant Ancillary Commencement Date after giving effect to the reduction of the Multicurrency Commitment of each Ancillary Lender, each Multicurrency Lender will participate in the outstanding Multicurrency Loans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w:t>
      </w:r>
    </w:p>
    <w:p>
      <w:pPr>
        <w:spacing w:after="0" w:line="160" w:lineRule="exact"/>
        <w:rPr>
          <w:sz w:val="20"/>
          <w:szCs w:val="20"/>
          <w:color w:val="auto"/>
        </w:rPr>
      </w:pPr>
    </w:p>
    <w:p>
      <w:pPr>
        <w:ind w:right="40" w:firstLine="1072"/>
        <w:spacing w:after="0" w:line="267" w:lineRule="auto"/>
        <w:tabs>
          <w:tab w:leader="none" w:pos="1791" w:val="left"/>
        </w:tabs>
        <w:numPr>
          <w:ilvl w:val="0"/>
          <w:numId w:val="68"/>
        </w:numPr>
        <w:rPr>
          <w:rFonts w:ascii="Arial" w:cs="Arial" w:eastAsia="Arial" w:hAnsi="Arial"/>
          <w:sz w:val="17"/>
          <w:szCs w:val="17"/>
          <w:color w:val="auto"/>
        </w:rPr>
      </w:pPr>
      <w:r>
        <w:rPr>
          <w:rFonts w:ascii="Arial" w:cs="Arial" w:eastAsia="Arial" w:hAnsi="Arial"/>
          <w:sz w:val="17"/>
          <w:szCs w:val="17"/>
          <w:color w:val="auto"/>
        </w:rPr>
        <w:t>(i) An Ancillary Facility shall terminate on the Termination Date for the applicable Ancillary Lender(s) under the Multicurrency Facility (or later if cash collateral arrangements are made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or such earlier date (A) as provided in the relevant Ancillary Facility Document or (B) on which its expiry date occurs or on which it is cancelled in accordance with the terms of this Agreement.</w:t>
      </w:r>
    </w:p>
    <w:p>
      <w:pPr>
        <w:spacing w:after="0" w:line="175" w:lineRule="exact"/>
        <w:rPr>
          <w:sz w:val="20"/>
          <w:szCs w:val="20"/>
          <w:color w:val="auto"/>
        </w:rPr>
      </w:pPr>
    </w:p>
    <w:p>
      <w:pPr>
        <w:ind w:right="440" w:firstLine="1072"/>
        <w:spacing w:after="0" w:line="253" w:lineRule="auto"/>
        <w:tabs>
          <w:tab w:leader="none" w:pos="18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 Ancillary Facility expires or is otherwise cancelled in accordance with its terms, the Ancillary Commitment of the Ancillary Lender(s) shall be reduced to zero and the Multicurrency Commitment of those Ancillary Lender(s) (or their respective affiliates) then in effect shall be increased by the amount of such Lender’s expired Ancillary Commitment.</w:t>
      </w:r>
    </w:p>
    <w:p>
      <w:pPr>
        <w:spacing w:after="0" w:line="187" w:lineRule="exact"/>
        <w:rPr>
          <w:rFonts w:ascii="Arial" w:cs="Arial" w:eastAsia="Arial" w:hAnsi="Arial"/>
          <w:sz w:val="18"/>
          <w:szCs w:val="18"/>
          <w:color w:val="auto"/>
        </w:rPr>
      </w:pPr>
    </w:p>
    <w:p>
      <w:pPr>
        <w:ind w:right="100" w:firstLine="1072"/>
        <w:spacing w:after="0" w:line="253" w:lineRule="auto"/>
        <w:tabs>
          <w:tab w:leader="none" w:pos="18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Ancillary Lender may demand repayment or prepayment of, or cash collateralization of, any Ancillary Facility Outstandings prior to the expiry date of the relevant Ancillary Facility unless it gives the Company and the relevant Ancillary Borrower(s) not less than 3 Business Days’ notice and:</w:t>
      </w:r>
    </w:p>
    <w:p>
      <w:pPr>
        <w:spacing w:after="0" w:line="187" w:lineRule="exact"/>
        <w:rPr>
          <w:sz w:val="20"/>
          <w:szCs w:val="20"/>
          <w:color w:val="auto"/>
        </w:rPr>
      </w:pPr>
    </w:p>
    <w:p>
      <w:pPr>
        <w:ind w:left="2380" w:hanging="777"/>
        <w:spacing w:after="0"/>
        <w:tabs>
          <w:tab w:leader="none" w:pos="2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Termination Date for the applicable Lender(s) under the Multicurrency Facility has occurred;</w:t>
      </w:r>
    </w:p>
    <w:p>
      <w:pPr>
        <w:spacing w:after="0" w:line="197"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40"/>
          </w:cols>
          <w:pgMar w:left="220" w:top="510" w:right="239" w:bottom="1440" w:gutter="0" w:footer="0" w:header="0"/>
        </w:sectPr>
      </w:pPr>
    </w:p>
    <w:bookmarkStart w:id="74" w:name="page75"/>
    <w:bookmarkEnd w:id="74"/>
    <w:p>
      <w:pPr>
        <w:ind w:left="1080" w:firstLine="523"/>
        <w:spacing w:after="0" w:line="253" w:lineRule="auto"/>
        <w:tabs>
          <w:tab w:leader="none" w:pos="2379"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Required Lenders have accelerated the Multicurrency Loans and terminated the Multicurrency Commitments and demanded repayment of, or otherwise accelerated, the Indebtedness or other obligations thereunder (or such Multicurrency Commitments have otherwise been terminated in full);</w:t>
      </w:r>
    </w:p>
    <w:p>
      <w:pPr>
        <w:spacing w:after="0" w:line="187" w:lineRule="exact"/>
        <w:rPr>
          <w:rFonts w:ascii="Arial" w:cs="Arial" w:eastAsia="Arial" w:hAnsi="Arial"/>
          <w:sz w:val="18"/>
          <w:szCs w:val="18"/>
          <w:color w:val="auto"/>
        </w:rPr>
      </w:pPr>
    </w:p>
    <w:p>
      <w:pPr>
        <w:ind w:left="2380" w:hanging="777"/>
        <w:spacing w:after="0"/>
        <w:tabs>
          <w:tab w:leader="none" w:pos="23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expiration date of such Ancillary Facility has occurred;</w:t>
      </w:r>
    </w:p>
    <w:p>
      <w:pPr>
        <w:spacing w:after="0" w:line="213" w:lineRule="exact"/>
        <w:rPr>
          <w:rFonts w:ascii="Arial" w:cs="Arial" w:eastAsia="Arial" w:hAnsi="Arial"/>
          <w:sz w:val="18"/>
          <w:szCs w:val="18"/>
          <w:color w:val="auto"/>
        </w:rPr>
      </w:pPr>
    </w:p>
    <w:p>
      <w:pPr>
        <w:ind w:left="1080" w:right="740" w:firstLine="523"/>
        <w:spacing w:after="0" w:line="253" w:lineRule="auto"/>
        <w:tabs>
          <w:tab w:leader="none" w:pos="2389" w:val="left"/>
        </w:tabs>
        <w:numPr>
          <w:ilvl w:val="1"/>
          <w:numId w:val="71"/>
        </w:numPr>
        <w:rPr>
          <w:rFonts w:ascii="Arial" w:cs="Arial" w:eastAsia="Arial" w:hAnsi="Arial"/>
          <w:sz w:val="18"/>
          <w:szCs w:val="18"/>
          <w:color w:val="auto"/>
        </w:rPr>
      </w:pPr>
      <w:r>
        <w:rPr>
          <w:rFonts w:ascii="Arial" w:cs="Arial" w:eastAsia="Arial" w:hAnsi="Arial"/>
          <w:sz w:val="18"/>
          <w:szCs w:val="18"/>
          <w:color w:val="auto"/>
        </w:rPr>
        <w:t>it becomes unlawful in any applicable jurisdiction for the Ancillary Lender(s) to perform any of their obligations as contemplated by this Agreement or to fund, issue or maintain their participation in the Ancillary Facility (or it becomes unlawful for the applicable affiliate of the Ancillary Lender(s) to do so); or</w:t>
      </w:r>
    </w:p>
    <w:p>
      <w:pPr>
        <w:spacing w:after="0" w:line="187" w:lineRule="exact"/>
        <w:rPr>
          <w:rFonts w:ascii="Arial" w:cs="Arial" w:eastAsia="Arial" w:hAnsi="Arial"/>
          <w:sz w:val="18"/>
          <w:szCs w:val="18"/>
          <w:color w:val="auto"/>
        </w:rPr>
      </w:pPr>
    </w:p>
    <w:p>
      <w:pPr>
        <w:jc w:val="both"/>
        <w:ind w:left="1080" w:right="80" w:firstLine="523"/>
        <w:spacing w:after="0" w:line="253" w:lineRule="auto"/>
        <w:tabs>
          <w:tab w:leader="none" w:pos="2369"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Ancillary Facility Outstandings, if any, under such Ancillary Facility may be refinanced by a Loan under the Multicurrency Facility and the relevant Ancillary Lender(s) provide sufficient notice to permit the refinancing of such Ancillary Facility Outstandings with such a Loan.</w:t>
      </w:r>
    </w:p>
    <w:p>
      <w:pPr>
        <w:spacing w:after="0" w:line="187" w:lineRule="exact"/>
        <w:rPr>
          <w:rFonts w:ascii="Arial" w:cs="Arial" w:eastAsia="Arial" w:hAnsi="Arial"/>
          <w:sz w:val="18"/>
          <w:szCs w:val="18"/>
          <w:color w:val="auto"/>
        </w:rPr>
      </w:pPr>
    </w:p>
    <w:p>
      <w:pPr>
        <w:ind w:left="1780" w:hanging="708"/>
        <w:spacing w:after="0"/>
        <w:tabs>
          <w:tab w:leader="none" w:pos="1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purposes of repaying any Ancillary Facility Outstandings pursuant to paragraph (e)(iii)(E) of this Section 2.33:</w:t>
      </w:r>
    </w:p>
    <w:p>
      <w:pPr>
        <w:spacing w:after="0" w:line="213" w:lineRule="exact"/>
        <w:rPr>
          <w:rFonts w:ascii="Arial" w:cs="Arial" w:eastAsia="Arial" w:hAnsi="Arial"/>
          <w:sz w:val="18"/>
          <w:szCs w:val="18"/>
          <w:color w:val="auto"/>
        </w:rPr>
      </w:pPr>
    </w:p>
    <w:p>
      <w:pPr>
        <w:ind w:left="2380" w:hanging="777"/>
        <w:spacing w:after="0"/>
        <w:tabs>
          <w:tab w:leader="none" w:pos="238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Multicurrency Commitment of such Ancillary Lender will be increased by the amount of its Ancillary Commitment so</w:t>
      </w:r>
    </w:p>
    <w:p>
      <w:pPr>
        <w:spacing w:after="0" w:line="28"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terminated; and</w:t>
      </w:r>
    </w:p>
    <w:p>
      <w:pPr>
        <w:spacing w:after="0" w:line="200" w:lineRule="exact"/>
        <w:rPr>
          <w:rFonts w:ascii="Arial" w:cs="Arial" w:eastAsia="Arial" w:hAnsi="Arial"/>
          <w:sz w:val="17"/>
          <w:szCs w:val="17"/>
          <w:color w:val="auto"/>
        </w:rPr>
      </w:pPr>
    </w:p>
    <w:p>
      <w:pPr>
        <w:ind w:left="1080" w:right="360" w:firstLine="523"/>
        <w:spacing w:after="0" w:line="293" w:lineRule="auto"/>
        <w:tabs>
          <w:tab w:leader="none" w:pos="2379" w:val="left"/>
        </w:tabs>
        <w:numPr>
          <w:ilvl w:val="1"/>
          <w:numId w:val="72"/>
        </w:numPr>
        <w:rPr>
          <w:rFonts w:ascii="Arial" w:cs="Arial" w:eastAsia="Arial" w:hAnsi="Arial"/>
          <w:sz w:val="17"/>
          <w:szCs w:val="17"/>
          <w:color w:val="auto"/>
        </w:rPr>
      </w:pPr>
      <w:r>
        <w:rPr>
          <w:rFonts w:ascii="Arial" w:cs="Arial" w:eastAsia="Arial" w:hAnsi="Arial"/>
          <w:sz w:val="17"/>
          <w:szCs w:val="17"/>
          <w:color w:val="auto"/>
        </w:rPr>
        <w:t>a Loan may be borrowed irrespective of whether a Default is outstanding or any other applicable condition precedent is not satisfied (but only to the extent that the proceeds are applied to refinance those Ancillary Facility Outstandings)</w:t>
      </w:r>
      <w:r>
        <w:rPr>
          <w:rFonts w:ascii="Arial" w:cs="Arial" w:eastAsia="Arial" w:hAnsi="Arial"/>
          <w:sz w:val="17"/>
          <w:szCs w:val="17"/>
          <w:b w:val="1"/>
          <w:bCs w:val="1"/>
          <w:color w:val="auto"/>
        </w:rPr>
        <w:t>.</w:t>
      </w:r>
    </w:p>
    <w:p>
      <w:pPr>
        <w:spacing w:after="0" w:line="153" w:lineRule="exact"/>
        <w:rPr>
          <w:rFonts w:ascii="Arial" w:cs="Arial" w:eastAsia="Arial" w:hAnsi="Arial"/>
          <w:sz w:val="17"/>
          <w:szCs w:val="17"/>
          <w:color w:val="auto"/>
        </w:rPr>
      </w:pPr>
    </w:p>
    <w:p>
      <w:pPr>
        <w:ind w:left="1800" w:hanging="728"/>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 the making of such a Loan to refinance Ancillary Facility Outstandings:</w:t>
      </w:r>
    </w:p>
    <w:p>
      <w:pPr>
        <w:spacing w:after="0" w:line="213" w:lineRule="exact"/>
        <w:rPr>
          <w:rFonts w:ascii="Arial" w:cs="Arial" w:eastAsia="Arial" w:hAnsi="Arial"/>
          <w:sz w:val="18"/>
          <w:szCs w:val="18"/>
          <w:color w:val="auto"/>
        </w:rPr>
      </w:pPr>
    </w:p>
    <w:p>
      <w:pPr>
        <w:jc w:val="both"/>
        <w:ind w:left="1080" w:right="160" w:firstLine="523"/>
        <w:spacing w:after="0" w:line="250" w:lineRule="auto"/>
        <w:tabs>
          <w:tab w:leader="none" w:pos="2389" w:val="left"/>
        </w:tabs>
        <w:numPr>
          <w:ilvl w:val="1"/>
          <w:numId w:val="72"/>
        </w:numPr>
        <w:rPr>
          <w:rFonts w:ascii="Arial" w:cs="Arial" w:eastAsia="Arial" w:hAnsi="Arial"/>
          <w:sz w:val="18"/>
          <w:szCs w:val="18"/>
          <w:color w:val="auto"/>
        </w:rPr>
      </w:pPr>
      <w:r>
        <w:rPr>
          <w:rFonts w:ascii="Arial" w:cs="Arial" w:eastAsia="Arial" w:hAnsi="Arial"/>
          <w:sz w:val="18"/>
          <w:szCs w:val="18"/>
          <w:color w:val="auto"/>
        </w:rPr>
        <w:t>each Multicurrency Lender will participate in that Loan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 and</w:t>
      </w:r>
    </w:p>
    <w:p>
      <w:pPr>
        <w:spacing w:after="0" w:line="189" w:lineRule="exact"/>
        <w:rPr>
          <w:rFonts w:ascii="Arial" w:cs="Arial" w:eastAsia="Arial" w:hAnsi="Arial"/>
          <w:sz w:val="18"/>
          <w:szCs w:val="18"/>
          <w:color w:val="auto"/>
        </w:rPr>
      </w:pPr>
    </w:p>
    <w:p>
      <w:pPr>
        <w:ind w:left="2380" w:hanging="777"/>
        <w:spacing w:after="0"/>
        <w:tabs>
          <w:tab w:leader="none" w:pos="23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relevant Ancillary Facility shall be cancelled.</w:t>
      </w:r>
    </w:p>
    <w:p>
      <w:pPr>
        <w:spacing w:after="0" w:line="213" w:lineRule="exact"/>
        <w:rPr>
          <w:rFonts w:ascii="Arial" w:cs="Arial" w:eastAsia="Arial" w:hAnsi="Arial"/>
          <w:sz w:val="18"/>
          <w:szCs w:val="18"/>
          <w:color w:val="auto"/>
        </w:rPr>
      </w:pPr>
    </w:p>
    <w:p>
      <w:pPr>
        <w:jc w:val="both"/>
        <w:ind w:right="240" w:firstLine="1072"/>
        <w:spacing w:after="0" w:line="269" w:lineRule="auto"/>
        <w:tabs>
          <w:tab w:leader="none" w:pos="180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and each Ancillary Borrower to which an Ancillary Facility has been made available and each Ancillary Lender shall, upon request by the Administrative Agent, promptly supply the Administrative Agent with any information relating to the operation of such Ancillary Facility (including the Ancillary Facility Outstandings) as the Administrative Agent may reasonably request from time to time. The Company and each Ancillary Borrower consent to all such information being released to the Administrative Agent and the Lenders.</w:t>
      </w:r>
    </w:p>
    <w:p>
      <w:pPr>
        <w:spacing w:after="0" w:line="175" w:lineRule="exact"/>
        <w:rPr>
          <w:rFonts w:ascii="Arial" w:cs="Arial" w:eastAsia="Arial" w:hAnsi="Arial"/>
          <w:sz w:val="17"/>
          <w:szCs w:val="17"/>
          <w:color w:val="auto"/>
        </w:rPr>
      </w:pPr>
    </w:p>
    <w:p>
      <w:pPr>
        <w:ind w:right="240" w:firstLine="1072"/>
        <w:spacing w:after="0" w:line="263" w:lineRule="auto"/>
        <w:tabs>
          <w:tab w:leader="none" w:pos="176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and each Ancillary Borrower acknowledge and consent that Sections 2.21, 2.23, 2.24 and 2.25 of this Agreement shall apply to each Ancillary Facility (unless expressly waived by the relevant Ancillary Lender in its sole discretion).</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60"/>
          </w:cols>
          <w:pgMar w:left="220" w:top="721" w:right="219" w:bottom="1440" w:gutter="0" w:footer="0" w:header="0"/>
        </w:sectPr>
      </w:pPr>
    </w:p>
    <w:bookmarkStart w:id="75" w:name="page76"/>
    <w:bookmarkEnd w:id="75"/>
    <w:p>
      <w:pPr>
        <w:jc w:val="both"/>
        <w:ind w:right="180" w:firstLine="1072"/>
        <w:spacing w:after="0" w:line="253" w:lineRule="auto"/>
        <w:tabs>
          <w:tab w:leader="none" w:pos="17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that this Agreement or any other Loan Document imposes any obligation on any Ancillary Borrower and such Ancillary Borrower is an affiliate of a Borrower and not a party hereto or thereto, the relevant Borrower shall ensure that such obligation is performed by such affiliate in compliance with the terms hereof or such other Loan Document.</w:t>
      </w:r>
    </w:p>
    <w:p>
      <w:pPr>
        <w:spacing w:after="0" w:line="187" w:lineRule="exact"/>
        <w:rPr>
          <w:rFonts w:ascii="Arial" w:cs="Arial" w:eastAsia="Arial" w:hAnsi="Arial"/>
          <w:sz w:val="18"/>
          <w:szCs w:val="18"/>
          <w:color w:val="auto"/>
        </w:rPr>
      </w:pPr>
    </w:p>
    <w:p>
      <w:pPr>
        <w:ind w:right="20" w:firstLine="1072"/>
        <w:spacing w:after="0" w:line="265" w:lineRule="auto"/>
        <w:tabs>
          <w:tab w:leader="none" w:pos="180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event of any conflict between the terms of an Ancillary Facility Document and any Loan Document, the terms of such Loan Document shall govern except for (i) the first sentence of Section 2.20(a) for the purposes of calculating fees, interest or commission relating to the relevant Ancillary Facility, (ii) any Ancillary Facility comprising more than one account where the terms of the Ancillary Facility Documents shall prevail to the extent required to permit the netting of balances in respect of such accounts and (iii) where the relevant term of this Agreement would be contrary to, or inconsistent with, the law governing the relevant Ancillary Facility Document, in which case the relevant term of this Agreement shall be superseded by the terms of the such Ancillary Facility Document solely to the extent necessary to eliminate the subject conflict or inconsistency.</w:t>
      </w:r>
    </w:p>
    <w:p>
      <w:pPr>
        <w:spacing w:after="0" w:line="177" w:lineRule="exact"/>
        <w:rPr>
          <w:rFonts w:ascii="Arial" w:cs="Arial" w:eastAsia="Arial" w:hAnsi="Arial"/>
          <w:sz w:val="17"/>
          <w:szCs w:val="17"/>
          <w:color w:val="auto"/>
        </w:rPr>
      </w:pPr>
    </w:p>
    <w:p>
      <w:pPr>
        <w:ind w:right="180" w:firstLine="1072"/>
        <w:spacing w:after="0" w:line="253" w:lineRule="auto"/>
        <w:tabs>
          <w:tab w:leader="none" w:pos="17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amendment or waiver of a term of any Ancillary Facility Document shall require the consent of any Lender other than the relevant Ancillary Lender unless such amendment or waiver itself relates to or gives rise to a matter which would require an amendment of or under this Agreement (including, for the avoidance of doubt, this Section 2.33), in which case Section 10.1 shall apply.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LETTERS OF CREDIT</w:t>
      </w:r>
    </w:p>
    <w:p>
      <w:pPr>
        <w:spacing w:after="0" w:line="214"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L/C Commitment</w:t>
      </w:r>
      <w:r>
        <w:rPr>
          <w:rFonts w:ascii="Arial" w:cs="Arial" w:eastAsia="Arial" w:hAnsi="Arial"/>
          <w:sz w:val="16"/>
          <w:szCs w:val="16"/>
          <w:color w:val="auto"/>
        </w:rPr>
        <w:t>. (a) Subject to the terms and conditions hereof, each Issuing Lender, in reliance on the agreements of the L/C Tranche Lenders set forth in Section 3.4(a), agrees to issue (or cause its Applicable Lending Office to issue) letters of credit and bank guarantees (each a “</w:t>
      </w:r>
      <w:r>
        <w:rPr>
          <w:rFonts w:ascii="Arial" w:cs="Arial" w:eastAsia="Arial" w:hAnsi="Arial"/>
          <w:sz w:val="16"/>
          <w:szCs w:val="16"/>
          <w:u w:val="single" w:color="auto"/>
          <w:color w:val="auto"/>
        </w:rPr>
        <w:t>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Credit</w:t>
      </w:r>
      <w:r>
        <w:rPr>
          <w:rFonts w:ascii="Arial" w:cs="Arial" w:eastAsia="Arial" w:hAnsi="Arial"/>
          <w:sz w:val="16"/>
          <w:szCs w:val="16"/>
          <w:color w:val="auto"/>
        </w:rPr>
        <w:t>”) under the L/C Tranche Facility for the account of a Loan Party or a Subsidiary of a Loan Party (the “</w:t>
      </w:r>
      <w:r>
        <w:rPr>
          <w:rFonts w:ascii="Arial" w:cs="Arial" w:eastAsia="Arial" w:hAnsi="Arial"/>
          <w:sz w:val="16"/>
          <w:szCs w:val="16"/>
          <w:u w:val="single" w:color="auto"/>
          <w:color w:val="auto"/>
        </w:rPr>
        <w:t>Applicable Account Party</w:t>
      </w:r>
      <w:r>
        <w:rPr>
          <w:rFonts w:ascii="Arial" w:cs="Arial" w:eastAsia="Arial" w:hAnsi="Arial"/>
          <w:sz w:val="16"/>
          <w:szCs w:val="16"/>
          <w:color w:val="auto"/>
        </w:rPr>
        <w:t xml:space="preserve">”) on any Business Day during the Commitment Period of such Issuing Lender in such form as may be reasonable and customary for the purpose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Applicable Account Party shall request, and no Issuing Lender shall be required to issue (or cause its Applicable Lending Office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(or any Applicable Lending Office thereof) would exceed such Issuing Lender’s L/C Issuing Commitment then in effect, (B) the Total L/C Tranche Extensions of Credit would exceed the Total L/C Tranche Commitment then in effect, (C) the Total Consolidated GMF Exposure would exceed $2 billion or (D) the 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L/C Tranche Extensions of Credit other than Letters of Credit denominated in Optional Currencies would exceed the Total L/C Tranche Commitments then in effect and (ii) the Company shall be jointly and severally liable with respect to each Letter of Credit issued for the account of an Applicable Account Party (other than the Company). Each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60"/>
          </w:cols>
          <w:pgMar w:left="220" w:top="721" w:right="219" w:bottom="1440" w:gutter="0" w:footer="0" w:header="0"/>
        </w:sectPr>
      </w:pPr>
    </w:p>
    <w:bookmarkStart w:id="76" w:name="page77"/>
    <w:bookmarkEnd w:id="76"/>
    <w:p>
      <w:pPr>
        <w:spacing w:after="0" w:line="280" w:lineRule="auto"/>
        <w:rPr>
          <w:sz w:val="20"/>
          <w:szCs w:val="20"/>
          <w:color w:val="auto"/>
        </w:rPr>
      </w:pPr>
      <w:r>
        <w:rPr>
          <w:rFonts w:ascii="Arial" w:cs="Arial" w:eastAsia="Arial" w:hAnsi="Arial"/>
          <w:sz w:val="16"/>
          <w:szCs w:val="16"/>
          <w:color w:val="auto"/>
        </w:rPr>
        <w:t xml:space="preserve">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68" w:lineRule="exact"/>
        <w:rPr>
          <w:sz w:val="20"/>
          <w:szCs w:val="20"/>
          <w:color w:val="auto"/>
        </w:rPr>
      </w:pPr>
    </w:p>
    <w:p>
      <w:pPr>
        <w:jc w:val="both"/>
        <w:ind w:right="140" w:firstLine="1072"/>
        <w:spacing w:after="0" w:line="253" w:lineRule="auto"/>
        <w:tabs>
          <w:tab w:leader="none" w:pos="18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87" w:lineRule="exact"/>
        <w:rPr>
          <w:sz w:val="20"/>
          <w:szCs w:val="20"/>
          <w:color w:val="auto"/>
        </w:rPr>
      </w:pPr>
    </w:p>
    <w:p>
      <w:pPr>
        <w:ind w:right="20" w:firstLine="1063"/>
        <w:spacing w:after="0" w:line="27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(a) Any Applicable Account Party, with (in the case of any such Applicable Account Party other than the Company) the written consent of the Company (substantially in the form of Exhibit O hereto or as the Company may otherwise specify from time to time), may from time to time request that any Issuing Lender issue (or cause its Applicable Lending Office to issue) a Letter of Credit by delivering to such Issuing Lender at its address for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(or cause its Applicable Lending Office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(or cause its Applicable Lending Office to issue)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w:t>
      </w:r>
    </w:p>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40"/>
          </w:cols>
          <w:pgMar w:left="220" w:top="510" w:right="239" w:bottom="1440" w:gutter="0" w:footer="0" w:header="0"/>
        </w:sectPr>
      </w:pPr>
    </w:p>
    <w:bookmarkStart w:id="77" w:name="page78"/>
    <w:bookmarkEnd w:id="77"/>
    <w:p>
      <w:pPr>
        <w:ind w:right="320"/>
        <w:spacing w:after="0" w:line="293" w:lineRule="auto"/>
        <w:rPr>
          <w:sz w:val="20"/>
          <w:szCs w:val="20"/>
          <w:color w:val="auto"/>
        </w:rPr>
      </w:pPr>
      <w:r>
        <w:rPr>
          <w:rFonts w:ascii="Arial" w:cs="Arial" w:eastAsia="Arial" w:hAnsi="Arial"/>
          <w:sz w:val="17"/>
          <w:szCs w:val="17"/>
          <w:color w:val="auto"/>
        </w:rPr>
        <w:t>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54" w:lineRule="exact"/>
        <w:rPr>
          <w:sz w:val="20"/>
          <w:szCs w:val="20"/>
          <w:color w:val="auto"/>
        </w:rPr>
      </w:pPr>
    </w:p>
    <w:p>
      <w:pPr>
        <w:ind w:right="20" w:firstLine="1072"/>
        <w:spacing w:after="0" w:line="246" w:lineRule="auto"/>
        <w:tabs>
          <w:tab w:leader="none" w:pos="18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Issuing Lender shall not (and shall not permit any Applicable Lending Office thereof to) (i) amend or cancel any Letter of Credit without the prior written consent of the Company or the Applicable Account Party, (ii) waive presentation of any Letter of Credit or waive any discrepancies in documents presented to effect a draw on a Letter of Credit, in each case, without the prior written consent of the Company or the Applicable Account Party, if and to the extent such waiver materially and adversely affects the Company or such Applicable Account Party, or (iii) replace any lost, mutilated or destroyed Letter of Credit, in each case, without the prior written consent of the Company or the Applicable Account Party. If requested by an Applicable Account Party or the Company, the Issuing Lender shall furnish a draft of such Letter of Credit (or any amendment thereto) to the Applicable Account Party and the Company prior to the issuance thereof to allow the Applicable Account Party and the Company to review such draft for accuracy and to provide any corrections if necessary.</w:t>
      </w:r>
    </w:p>
    <w:p>
      <w:pPr>
        <w:spacing w:after="0" w:line="196" w:lineRule="exact"/>
        <w:rPr>
          <w:sz w:val="20"/>
          <w:szCs w:val="20"/>
          <w:color w:val="auto"/>
        </w:rPr>
      </w:pPr>
    </w:p>
    <w:p>
      <w:pPr>
        <w:ind w:firstLine="1063"/>
        <w:spacing w:after="0" w:line="27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Fees and Other Charges</w:t>
      </w:r>
      <w:r>
        <w:rPr>
          <w:rFonts w:ascii="Arial" w:cs="Arial" w:eastAsia="Arial" w:hAnsi="Arial"/>
          <w:sz w:val="16"/>
          <w:szCs w:val="16"/>
          <w:color w:val="auto"/>
        </w:rPr>
        <w:t>. The Company shall pay (or cause to be paid) the fees payable to the L/C Tranche Lenders and the Issuing Lenders, as applicable, set forth in the L/C Fee Letter. Notwithstanding any inconsistent provision of this Agreement or the L/C Fee Letter, (x) at the option of the Company and upon notice to the Administrative Agent, all fees payable to any Issuing Lender may, with the consent of such Issuing Lender, be paid in Dollars (regardless of the currency of such Letter of Credit) and (y) unless (i) the Company or such Applicable Account Party gives notice to the Administrative Agent that it has paid such fees by 2:00 P.M., New York City time, on the date required pursuant to the L/C Fee Letter or notifies the Administrative Agent that it does not wish to have such obligation paid with the proceeds of an ABR Loan by such time, or (ii) the Administrative Agent has actual knowledge that the conditions precedent to an ABR Loan to be made on such date which are contained in Section 5.2 have not been satisfied or waived, the Company or such Applicable Account Party shall be deemed to have requested that the L/C Tranche Lenders make an ABR Loan on the date such fees are due pursuant to the terms of the L/C Fee Letter in an aggregate principal amount equal to the amount of the related obligation, and such ABR Loan shall be made on such date. If an ABR Loan is deemed to have been requested as aforesaid, such obligation shall be paid with the proceeds of such Loan and no Default or Event of Default shall exist or be continuing in respect thereof. Notwithstanding the last sentence of Section 2.8, the proceeds of such ABR Loan shall be made available to the relevant Issuing Lender or L/C Tranche Lenders, as applicable (and not to the Company or such Applicable Account Party) to the account specified by such Issuing Lender or L/C Tranche Lenders, as applicable, in like funds as received by the Administrative Agent, and, to the extent any such fees are owing to an Issuing Lender or the L/C Tranche Lenders, the Issuing Lender or each of the L/C Tranche Lenders, as applicable, may credit its L/C Tranche Percentage of such ABR Loan to the relevant obligation in lieu of funding such amount to the Administrative Agent.</w:t>
      </w:r>
    </w:p>
    <w:p>
      <w:pPr>
        <w:spacing w:after="0" w:line="170" w:lineRule="exact"/>
        <w:rPr>
          <w:sz w:val="20"/>
          <w:szCs w:val="20"/>
          <w:color w:val="auto"/>
        </w:rPr>
      </w:pPr>
    </w:p>
    <w:p>
      <w:pPr>
        <w:ind w:firstLine="1063"/>
        <w:spacing w:after="0" w:line="28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L/C Participations</w:t>
      </w:r>
      <w:r>
        <w:rPr>
          <w:rFonts w:ascii="Arial" w:cs="Arial" w:eastAsia="Arial" w:hAnsi="Arial"/>
          <w:sz w:val="16"/>
          <w:szCs w:val="16"/>
          <w:color w:val="auto"/>
        </w:rPr>
        <w:t>.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L/C Tranche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40"/>
          </w:cols>
          <w:pgMar w:left="220" w:top="510" w:right="239" w:bottom="1440" w:gutter="0" w:footer="0" w:header="0"/>
        </w:sectPr>
      </w:pPr>
    </w:p>
    <w:bookmarkStart w:id="78" w:name="page79"/>
    <w:bookmarkEnd w:id="78"/>
    <w:p>
      <w:pPr>
        <w:spacing w:after="0" w:line="280" w:lineRule="auto"/>
        <w:rPr>
          <w:sz w:val="20"/>
          <w:szCs w:val="20"/>
          <w:color w:val="auto"/>
        </w:rPr>
      </w:pPr>
      <w:r>
        <w:rPr>
          <w:rFonts w:ascii="Arial" w:cs="Arial" w:eastAsia="Arial" w:hAnsi="Arial"/>
          <w:sz w:val="16"/>
          <w:szCs w:val="16"/>
          <w:color w:val="auto"/>
        </w:rPr>
        <w:t xml:space="preserve">of this Agreement, such L/C Participant shall pay to such Issuing Lender upon demand at such Issuing Lender’s address for notices specified herein an amount equal to such L/C Participant’s L/C Tranche Percentage of the Dollar Equivalent of the amount of such draft or demand, or any part thereof, that is not so reimbursed (calculated, in the case of any Letter of Credit denominated in an Optional Currency, as of the Reimbursement Date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 L/C Participant be obligated to fund an amount that would cause such L/C Participant’s Total L/C Tranche Extensions of Credit to exceed such L/C Participant’s L/C Tranche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68" w:lineRule="exact"/>
        <w:rPr>
          <w:sz w:val="20"/>
          <w:szCs w:val="20"/>
          <w:color w:val="auto"/>
        </w:rPr>
      </w:pPr>
    </w:p>
    <w:p>
      <w:pPr>
        <w:ind w:right="40" w:firstLine="1072"/>
        <w:spacing w:after="0" w:line="280" w:lineRule="auto"/>
        <w:tabs>
          <w:tab w:leader="none" w:pos="1801"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shall be conclusive in the absence of manifest error.</w:t>
      </w:r>
    </w:p>
    <w:p>
      <w:pPr>
        <w:spacing w:after="0" w:line="172" w:lineRule="exact"/>
        <w:rPr>
          <w:rFonts w:ascii="Arial" w:cs="Arial" w:eastAsia="Arial" w:hAnsi="Arial"/>
          <w:sz w:val="16"/>
          <w:szCs w:val="16"/>
          <w:color w:val="auto"/>
        </w:rPr>
      </w:pPr>
    </w:p>
    <w:p>
      <w:pPr>
        <w:ind w:right="40" w:firstLine="1072"/>
        <w:spacing w:after="0" w:line="265" w:lineRule="auto"/>
        <w:tabs>
          <w:tab w:leader="none" w:pos="1791"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Whenever, at any time after any Issuing Lender has made payment under any Letter of Credit and has received from any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78" w:lineRule="exact"/>
        <w:rPr>
          <w:sz w:val="20"/>
          <w:szCs w:val="20"/>
          <w:color w:val="auto"/>
        </w:rPr>
      </w:pPr>
    </w:p>
    <w:p>
      <w:pPr>
        <w:ind w:right="20" w:firstLine="1063"/>
        <w:spacing w:after="0" w:line="24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Reimbursement Obligation of the Company and the Applicable Account Party</w:t>
      </w:r>
      <w:r>
        <w:rPr>
          <w:rFonts w:ascii="Arial" w:cs="Arial" w:eastAsia="Arial" w:hAnsi="Arial"/>
          <w:sz w:val="18"/>
          <w:szCs w:val="18"/>
          <w:color w:val="auto"/>
        </w:rPr>
        <w:t>. If any draft or demand is paid under any Letter of Credit issued for the account of an Applicable Account Party, the Company or such Applicable Account Party, on a joint and several basis, shall reimburse the Issuing Lender for the amount of the draft or demand so paid, not later than 3:00 P.M., New York City time, on the second Business Day immediately following the day that the Company receives notice of payment of such draft or demand (or if notice of such payment is received after 10:00 A.M., New York City time, on a Business Day, on the third Business Day immediately following such date of receipt) (such date, the “</w:t>
      </w:r>
      <w:r>
        <w:rPr>
          <w:rFonts w:ascii="Arial" w:cs="Arial" w:eastAsia="Arial" w:hAnsi="Arial"/>
          <w:sz w:val="18"/>
          <w:szCs w:val="18"/>
          <w:u w:val="single" w:color="auto"/>
          <w:color w:val="auto"/>
        </w:rPr>
        <w:t>Reimbursement Date</w:t>
      </w:r>
      <w:r>
        <w:rPr>
          <w:rFonts w:ascii="Arial" w:cs="Arial" w:eastAsia="Arial" w:hAnsi="Arial"/>
          <w:sz w:val="18"/>
          <w:szCs w:val="18"/>
          <w:color w:val="auto"/>
        </w:rPr>
        <w:t>”). Each such payment shall be made to the relevant Issuing Lender in the</w:t>
      </w:r>
    </w:p>
    <w:p>
      <w:pPr>
        <w:spacing w:after="0" w:line="17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60"/>
          </w:cols>
          <w:pgMar w:left="220" w:top="510" w:right="219" w:bottom="1440" w:gutter="0" w:footer="0" w:header="0"/>
        </w:sectPr>
      </w:pPr>
    </w:p>
    <w:bookmarkStart w:id="79" w:name="page80"/>
    <w:bookmarkEnd w:id="79"/>
    <w:p>
      <w:pPr>
        <w:ind w:right="80"/>
        <w:spacing w:after="0" w:line="277" w:lineRule="auto"/>
        <w:rPr>
          <w:sz w:val="20"/>
          <w:szCs w:val="20"/>
          <w:color w:val="auto"/>
        </w:rPr>
      </w:pPr>
      <w:r>
        <w:rPr>
          <w:rFonts w:ascii="Arial" w:cs="Arial" w:eastAsia="Arial" w:hAnsi="Arial"/>
          <w:sz w:val="16"/>
          <w:szCs w:val="16"/>
          <w:color w:val="auto"/>
        </w:rPr>
        <w:t xml:space="preserve">currency in which such Letter of Credit is denominated and in immediately available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Letter of Credit denominated in an Optional Currency, if such payment, or obligation to make such payment, in an Optional Currency would subject the Administrative Agent, the relevant Issuing Lender or any L/C Tranche Lender to any stamp duty, ad valorem charge or any similar Tax that would not be payable if such payment were paid or required to be paid in Dollars, the Company or such Applicable Account Party shall, at its option, (A) pay the amount of such Tax to the Administrative Agent, the relevant Issuing Lender or the relevant L/C Tranche Lender or (B) pay the Dollar Equivalent of such draft or demand (calculated as of the Reimbursement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payment is not made on the applicable Reimbursement Date the obligation to pay such draft or demand shall be permanently converted into an obligation to pay the Dollar Equivalent amount of such draft or demand (calculated as of such Reimbursement Date). Interest shall be payable on any such amounts from the Reimbursement Date until payment in full at the rate set forth in Section 2.19(c). Notwithstanding any inconsistent provision of this Agreement, unless (x) the Company or such Applicable Account Party gives notice to the Administrative Agent that it has paid its Reimbursement Obligation by 2:00 P.M., New York City time, on the Reimbursement Date or notifies the Administrative Agent that it does not wish to have such Reimbursement Obligation paid with the proceeds of an ABR Loan by such time, or (y) the Administrative Agent has actual knowledge that the conditions precedent to an ABR Loan to be made on such Reimbursement Date which are contained in Section 5.2 have not been satisfied or waived, the Company or such Applicable Account Party shall be deemed to have requested that the L/C Tranche Lenders 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2.8,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L/C Tranche Percentage of such ABR Loan to the relevant Reimbursement Obligation in lieu of funding such amount to the Administrative Agent.</w:t>
      </w:r>
    </w:p>
    <w:p>
      <w:pPr>
        <w:spacing w:after="0" w:line="174" w:lineRule="exact"/>
        <w:rPr>
          <w:sz w:val="20"/>
          <w:szCs w:val="20"/>
          <w:color w:val="auto"/>
        </w:rPr>
      </w:pPr>
    </w:p>
    <w:p>
      <w:pPr>
        <w:ind w:firstLine="1063"/>
        <w:spacing w:after="0" w:line="279"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w:t>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60"/>
          </w:cols>
          <w:pgMar w:left="220" w:top="510" w:right="219" w:bottom="1440" w:gutter="0" w:footer="0" w:header="0"/>
        </w:sectPr>
      </w:pPr>
    </w:p>
    <w:bookmarkStart w:id="80" w:name="page81"/>
    <w:bookmarkEnd w:id="80"/>
    <w:p>
      <w:pPr>
        <w:ind w:right="200"/>
        <w:spacing w:after="0" w:line="263" w:lineRule="auto"/>
        <w:rPr>
          <w:sz w:val="20"/>
          <w:szCs w:val="20"/>
          <w:color w:val="auto"/>
        </w:rPr>
      </w:pPr>
      <w:r>
        <w:rPr>
          <w:rFonts w:ascii="Arial" w:cs="Arial" w:eastAsia="Arial" w:hAnsi="Arial"/>
          <w:sz w:val="18"/>
          <w:szCs w:val="18"/>
          <w:color w:val="auto"/>
        </w:rPr>
        <w:t>binding on the Company and such Applicable Account Party, as the case may be, and shall not result in any liability of such Issuing Lender to the Company or such Applicable Account Party.</w:t>
      </w:r>
    </w:p>
    <w:p>
      <w:pPr>
        <w:spacing w:after="0" w:line="178" w:lineRule="exact"/>
        <w:rPr>
          <w:sz w:val="20"/>
          <w:szCs w:val="20"/>
          <w:color w:val="auto"/>
        </w:rPr>
      </w:pPr>
    </w:p>
    <w:p>
      <w:pPr>
        <w:ind w:right="20" w:firstLine="1063"/>
        <w:spacing w:after="0" w:line="24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Letter of Credit Payments</w:t>
      </w:r>
      <w:r>
        <w:rPr>
          <w:rFonts w:ascii="Arial" w:cs="Arial" w:eastAsia="Arial" w:hAnsi="Arial"/>
          <w:sz w:val="18"/>
          <w:szCs w:val="18"/>
          <w:color w:val="auto"/>
        </w:rPr>
        <w:t>. If any draft or demand shall be presented for payment under any Letter of Credit, the relevant Issuing Lender shall promptly notify the Applicable Account Party and the Company of the date and amount thereof, and, upon the request of the Applicable Account Party or the Company to determine if material fraud is involved in connection with such draw or demand, promptly provide to the Company and the Applicable Account Party copies of all draw or demand documents presented to effect payment.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95" w:lineRule="exact"/>
        <w:rPr>
          <w:sz w:val="20"/>
          <w:szCs w:val="20"/>
          <w:color w:val="auto"/>
        </w:rPr>
      </w:pPr>
    </w:p>
    <w:p>
      <w:pPr>
        <w:ind w:firstLine="1063"/>
        <w:spacing w:after="0" w:line="25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Applications</w:t>
      </w:r>
      <w:r>
        <w:rPr>
          <w:rFonts w:ascii="Arial" w:cs="Arial" w:eastAsia="Arial" w:hAnsi="Arial"/>
          <w:sz w:val="18"/>
          <w:szCs w:val="18"/>
          <w:color w:val="auto"/>
        </w:rPr>
        <w:t>. Subject to the requirements of Section 3.12,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87" w:lineRule="exact"/>
        <w:rPr>
          <w:sz w:val="20"/>
          <w:szCs w:val="20"/>
          <w:color w:val="auto"/>
        </w:rPr>
      </w:pPr>
    </w:p>
    <w:p>
      <w:pPr>
        <w:ind w:right="40" w:firstLine="1063"/>
        <w:spacing w:after="0" w:line="280"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Collateralization</w:t>
      </w:r>
      <w:r>
        <w:rPr>
          <w:rFonts w:ascii="Arial" w:cs="Arial" w:eastAsia="Arial" w:hAnsi="Arial"/>
          <w:sz w:val="16"/>
          <w:szCs w:val="16"/>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72" w:lineRule="exact"/>
        <w:rPr>
          <w:sz w:val="20"/>
          <w:szCs w:val="20"/>
          <w:color w:val="auto"/>
        </w:rPr>
      </w:pPr>
    </w:p>
    <w:p>
      <w:pPr>
        <w:ind w:right="80" w:firstLine="1063"/>
        <w:spacing w:after="0" w:line="281"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New Issuing Lenders; L/C Commitments</w:t>
      </w:r>
      <w:r>
        <w:rPr>
          <w:rFonts w:ascii="Arial" w:cs="Arial" w:eastAsia="Arial" w:hAnsi="Arial"/>
          <w:sz w:val="16"/>
          <w:szCs w:val="16"/>
          <w:color w:val="auto"/>
        </w:rPr>
        <w:t>. (a) The Company may from time to time (i) decrease the L/C Issuing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Issuing Commitment of any existing Issuing Lender. If the Company shall decide to add a new Issuing Lender under this Agreement, then the Company may appoint from among the L/C Tranche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60"/>
          </w:cols>
          <w:pgMar w:left="220" w:top="510" w:right="219" w:bottom="1440" w:gutter="0" w:footer="0" w:header="0"/>
        </w:sectPr>
      </w:pPr>
    </w:p>
    <w:bookmarkStart w:id="81" w:name="page82"/>
    <w:bookmarkEnd w:id="81"/>
    <w:p>
      <w:pPr>
        <w:ind w:right="20"/>
        <w:spacing w:after="0" w:line="262" w:lineRule="auto"/>
        <w:rPr>
          <w:sz w:val="20"/>
          <w:szCs w:val="20"/>
          <w:color w:val="auto"/>
        </w:rPr>
      </w:pPr>
      <w:r>
        <w:rPr>
          <w:rFonts w:ascii="Arial" w:cs="Arial" w:eastAsia="Arial" w:hAnsi="Arial"/>
          <w:sz w:val="17"/>
          <w:szCs w:val="17"/>
          <w:color w:val="auto"/>
        </w:rPr>
        <w:t>Issuing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Issuing Commitment shall become effective. Any decrease of an L/C Issuing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L/C Tranche Lenders of the effectiveness of any replacement or addition of an Issuing Lender, or any changed L/C Issuing Commitment pursuant to this Section 3.10.</w:t>
      </w:r>
    </w:p>
    <w:p>
      <w:pPr>
        <w:spacing w:after="0" w:line="184" w:lineRule="exact"/>
        <w:rPr>
          <w:sz w:val="20"/>
          <w:szCs w:val="20"/>
          <w:color w:val="auto"/>
        </w:rPr>
      </w:pPr>
    </w:p>
    <w:p>
      <w:pPr>
        <w:ind w:right="260" w:firstLine="1072"/>
        <w:spacing w:after="0" w:line="265" w:lineRule="auto"/>
        <w:tabs>
          <w:tab w:leader="none" w:pos="1801"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event that an Issuing Lender no longer has an Applicable Lending Office in a particular jurisdiction or in the event that an Applicable Lending Office is not legally able to issue a Letter of Credit in such jurisdiction, such Issuing Lender shall use commercially reasonable efforts to arrange, subject to the terms and conditions hereof, for one or more letters of credit to be issued by an unaffiliated bank that is reasonably acceptable to such Issuing Lender, the Company and the Applicable Account Party with the same pricing and mechanics as described herein and in the L/C Fee Letter and in the manner consistent with Section 3.12 below (it being understood and agreed that the use of commercially reasonable efforts pursuant to this 3.10(b) shall not require any Issuing Lender to incur any monetary cost).</w:t>
      </w:r>
    </w:p>
    <w:p>
      <w:pPr>
        <w:spacing w:after="0" w:line="178" w:lineRule="exact"/>
        <w:rPr>
          <w:sz w:val="20"/>
          <w:szCs w:val="20"/>
          <w:color w:val="auto"/>
        </w:rPr>
      </w:pPr>
    </w:p>
    <w:p>
      <w:pPr>
        <w:ind w:right="20" w:firstLine="1063"/>
        <w:spacing w:after="0" w:line="284"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Existing Letters of Credit and Designated Letters of Credit</w:t>
      </w:r>
      <w:r>
        <w:rPr>
          <w:rFonts w:ascii="Arial" w:cs="Arial" w:eastAsia="Arial" w:hAnsi="Arial"/>
          <w:sz w:val="16"/>
          <w:szCs w:val="16"/>
          <w:color w:val="auto"/>
        </w:rPr>
        <w:t>. (a) On and as of the Closing Date the letters of credit and letters of guarantee set forth on Exhibit C to the L/C Fee Letter (the “</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will constitute Letters of Credit under this Agreement and for the purposes hereof will be deemed to have been issued for the account of an Applicable Account Party, for which the Company shall be jointly and severally liable, on the Closing Date and each issuer thereof shall be deemed to be an Issuing Lender hereunder solely for the purposes of Sections 3.3, 3.4, 3.5, 3.6, 3.7, 3.8 and 3.9 (whether or not such issuer is otherwise an Issuing Lender hereunder). For the avoidance of doubt, each of the letters of credit outstanding under the Existing Three Year Credit Agreement as of the Closing Date shall be listed on Exhibit C to the L/C Fee Letter and shall be Existing Letters of Credit hereunder.</w:t>
      </w:r>
    </w:p>
    <w:p>
      <w:pPr>
        <w:spacing w:after="0" w:line="167" w:lineRule="exact"/>
        <w:rPr>
          <w:sz w:val="20"/>
          <w:szCs w:val="20"/>
          <w:color w:val="auto"/>
        </w:rPr>
      </w:pPr>
    </w:p>
    <w:p>
      <w:pPr>
        <w:ind w:firstLine="1072"/>
        <w:spacing w:after="0" w:line="262" w:lineRule="auto"/>
        <w:tabs>
          <w:tab w:leader="none" w:pos="18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Subject to any restrictions imposed by any applicable Requirement of Law, upon notice to the Administrative Agent, the Company may designate letters of credit issued by any Issuing Lender or one of its Applicable Lending Offices for the benefit of the Company or an Applicable Account Party as a Letter of Credit under this Agreement and for the purposes hereof such letter of credit will be deemed to have been issued for the account of the Company or such Applicable Account Party on the date of such designation (such date, the “</w:t>
      </w:r>
      <w:r>
        <w:rPr>
          <w:rFonts w:ascii="Arial" w:cs="Arial" w:eastAsia="Arial" w:hAnsi="Arial"/>
          <w:sz w:val="17"/>
          <w:szCs w:val="17"/>
          <w:u w:val="single" w:color="auto"/>
          <w:color w:val="auto"/>
        </w:rPr>
        <w:t>Designation Date</w:t>
      </w:r>
      <w:r>
        <w:rPr>
          <w:rFonts w:ascii="Arial" w:cs="Arial" w:eastAsia="Arial" w:hAnsi="Arial"/>
          <w:sz w:val="17"/>
          <w:szCs w:val="17"/>
          <w:color w:val="auto"/>
        </w:rPr>
        <w:t>”) and each issuer thereof shall be deemed to be an Issuing Lender hereunder solely for the purposes of Sections 3.3, 3.4, 3.5, 3.6, 3.7, 3.8 and 3.9 (whether or not such issuer is otherwise an Issuing Lender hereunder) (the “</w:t>
      </w:r>
      <w:r>
        <w:rPr>
          <w:rFonts w:ascii="Arial" w:cs="Arial" w:eastAsia="Arial" w:hAnsi="Arial"/>
          <w:sz w:val="17"/>
          <w:szCs w:val="17"/>
          <w:u w:val="single" w:color="auto"/>
          <w:color w:val="auto"/>
        </w:rPr>
        <w:t>Designated Letters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 after giving effect to such deemed issuance hereunder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shall not exceed such Issuing Lender’s L/C Issuing Commitment then in effect, (B) the Total L/C Tranche Extensions of Credit shall not exceed the Total L/C Tranche Commitment then in effect, (C) the Total</w:t>
      </w:r>
    </w:p>
    <w:p>
      <w:pPr>
        <w:spacing w:after="0" w:line="16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40"/>
          </w:cols>
          <w:pgMar w:left="220" w:top="510" w:right="239" w:bottom="1440" w:gutter="0" w:footer="0" w:header="0"/>
        </w:sectPr>
      </w:pPr>
    </w:p>
    <w:bookmarkStart w:id="82" w:name="page83"/>
    <w:bookmarkEnd w:id="82"/>
    <w:p>
      <w:pPr>
        <w:spacing w:after="0" w:line="278" w:lineRule="auto"/>
        <w:rPr>
          <w:sz w:val="20"/>
          <w:szCs w:val="20"/>
          <w:color w:val="auto"/>
        </w:rPr>
      </w:pPr>
      <w:r>
        <w:rPr>
          <w:rFonts w:ascii="Arial" w:cs="Arial" w:eastAsia="Arial" w:hAnsi="Arial"/>
          <w:sz w:val="16"/>
          <w:szCs w:val="16"/>
          <w:color w:val="auto"/>
        </w:rPr>
        <w:t xml:space="preserve">Consolidated GMF Exposure shall not exceed $2 billion and (D) the 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L/C Tranche Extensions of Credit other than Letters of Credit denominated in Optional Currencies shall not exceed the Total L/C Tranche Commitments then in effect, (ii) the Company shall be jointly and severally liable with respect to each such Letter of Credit deemed issued hereunder for the account of an Applicable Account Party and (iii) such deemed issuance will be an Extension of Credit for the purposes of Section 5.2. Each such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that any Letter of Credit with a one-year or shorter tenor may (1) provide for the subsequent or successive renewal or automatic renewal thereof for additional one-year or shorter periods (which shall in no event extend beyond the date referred to in the foregoing clause (B), unless and to the extent that such Letter of Credit is Collateralized for the period following such date at 100% of the undrawn and unexpired amount of such Letter of Credit if requested by the relevant Issuing Lender) and (2) continue past such date referred to in the foregoing clause (B) to the extent that such Letter of Credit is Collateralized for the period following such date at 100% of the undrawn and unexpired amount of such Letter of Credit if requested by the relevant Issuing Lender; provided further that, upon request of the Company and with the consent of the relevant Issuing Lender, any such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w:t>
      </w:r>
    </w:p>
    <w:p>
      <w:pPr>
        <w:spacing w:after="0" w:line="173" w:lineRule="exact"/>
        <w:rPr>
          <w:sz w:val="20"/>
          <w:szCs w:val="20"/>
          <w:color w:val="auto"/>
        </w:rPr>
      </w:pPr>
    </w:p>
    <w:p>
      <w:pPr>
        <w:ind w:right="160" w:firstLine="1072"/>
        <w:spacing w:after="0" w:line="250" w:lineRule="auto"/>
        <w:tabs>
          <w:tab w:leader="none" w:pos="179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Replacement of Letters of Credit</w:t>
      </w:r>
      <w:r>
        <w:rPr>
          <w:rFonts w:ascii="Arial" w:cs="Arial" w:eastAsia="Arial" w:hAnsi="Arial"/>
          <w:sz w:val="18"/>
          <w:szCs w:val="18"/>
          <w:color w:val="auto"/>
        </w:rPr>
        <w:t>. On the Closing Date or Designation Date, as applicable, each agreement governing the letters of credit referred to clauses (a) and (b) above that constitute Letters of Credit hereunder (other than, for the avoidance of doubt, the Letter of Credit itself) shall be deemed superseded and replaced in its entirety by the provisions of this Agreement and, if applicable, as such provisions may be modified by any Letter of Credit Acknowledgment with regard to such Letters of Credit.</w:t>
      </w:r>
    </w:p>
    <w:p>
      <w:pPr>
        <w:spacing w:after="0" w:line="189" w:lineRule="exact"/>
        <w:rPr>
          <w:rFonts w:ascii="Arial" w:cs="Arial" w:eastAsia="Arial" w:hAnsi="Arial"/>
          <w:sz w:val="18"/>
          <w:szCs w:val="18"/>
          <w:color w:val="auto"/>
        </w:rPr>
      </w:pPr>
    </w:p>
    <w:p>
      <w:pPr>
        <w:ind w:right="80" w:firstLine="1072"/>
        <w:spacing w:after="0" w:line="263" w:lineRule="auto"/>
        <w:tabs>
          <w:tab w:leader="none" w:pos="180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Termination of Existing Guarantees</w:t>
      </w:r>
      <w:r>
        <w:rPr>
          <w:rFonts w:ascii="Arial" w:cs="Arial" w:eastAsia="Arial" w:hAnsi="Arial"/>
          <w:sz w:val="17"/>
          <w:szCs w:val="17"/>
          <w:color w:val="auto"/>
        </w:rPr>
        <w:t>. To the extent any letter of credit issued outside this Agreement by any Issuing Lender or any Affiliate thereof becomes a Letter of Credit hereunder pursuant to paragraph (a) or (b) above, any guarantees provided by the Company, any Loan Party or any Applicable Account Party to such Issuing Lender or such Affiliate in respect of such Existing Letters of Credit or Designated Letters of Credit, as applicable (other than any such existing guarantee provided by the Company under the Existing Three Year Credit Agreement), shall automatically terminate with respect to such Existing Letters of Credit or Designated Letters of Credit, as applicable, on the Closing Date or the applicable Designation Date, as the case may be, and be of no further force or effect. Additionally, any collateral provided by the Company, any Loan Party or any Applicable Account Party with regard to such Existing Letters of Credit or Designated Letters of Credit shall be released and returned to the Company or such Applicable Account Party on the Closing Date or the applicable Designation Date, as the case may be.</w:t>
      </w:r>
    </w:p>
    <w:p>
      <w:pPr>
        <w:spacing w:after="0" w:line="180" w:lineRule="exact"/>
        <w:rPr>
          <w:sz w:val="20"/>
          <w:szCs w:val="20"/>
          <w:color w:val="auto"/>
        </w:rPr>
      </w:pPr>
    </w:p>
    <w:p>
      <w:pPr>
        <w:ind w:right="20" w:firstLine="1063"/>
        <w:spacing w:after="0" w:line="267"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Conflicts</w:t>
      </w:r>
      <w:r>
        <w:rPr>
          <w:rFonts w:ascii="Arial" w:cs="Arial" w:eastAsia="Arial" w:hAnsi="Arial"/>
          <w:sz w:val="17"/>
          <w:szCs w:val="17"/>
          <w:color w:val="auto"/>
        </w:rPr>
        <w:t>. (a) In the event of any inconsistency between the terms and conditions of this Agreement and the terms and conditions of any Application or any other application, reimbursement agreement, instrument, certificate or other document submitted by an Applicable Account Party to, or entered into by an Applicable Account Party with the Issuing Lender relating to any Letter of Credit (including any Existing Letters of Credit), (i) with respect to any Letter of Credit issued in the United States, the terms and conditions of this Agreement shall control and (ii) with respect to any Letter of Credit issued in a jurisdiction other than the United States, the terms and conditions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60"/>
          </w:cols>
          <w:pgMar w:left="220" w:top="510" w:right="219" w:bottom="1440" w:gutter="0" w:footer="0" w:header="0"/>
        </w:sectPr>
      </w:pPr>
    </w:p>
    <w:bookmarkStart w:id="83" w:name="page84"/>
    <w:bookmarkEnd w:id="83"/>
    <w:p>
      <w:pPr>
        <w:ind w:right="120"/>
        <w:spacing w:after="0" w:line="250" w:lineRule="auto"/>
        <w:rPr>
          <w:sz w:val="20"/>
          <w:szCs w:val="20"/>
          <w:color w:val="auto"/>
        </w:rPr>
      </w:pPr>
      <w:r>
        <w:rPr>
          <w:rFonts w:ascii="Arial" w:cs="Arial" w:eastAsia="Arial" w:hAnsi="Arial"/>
          <w:sz w:val="18"/>
          <w:szCs w:val="18"/>
          <w:color w:val="auto"/>
        </w:rPr>
        <w:t>shall control, except for (A) operational terms required by such Applicable Lending Office or unaffiliated bank for similarly situated applicants that do not have a material impact on the ability of such Applicable Lending Office or unaffiliated bank to issue such Letters of Credit and are not materially inconsistent with this Agreement and the L/C Fee Letter or (B) if required pursuant to a Requirement of Law. Additionally, each Applicable Lending Office shall sign a Letter of Credit Acknowledgment.</w:t>
      </w:r>
    </w:p>
    <w:p>
      <w:pPr>
        <w:spacing w:after="0" w:line="190" w:lineRule="exact"/>
        <w:rPr>
          <w:sz w:val="20"/>
          <w:szCs w:val="20"/>
          <w:color w:val="auto"/>
        </w:rPr>
      </w:pPr>
    </w:p>
    <w:p>
      <w:pPr>
        <w:ind w:right="60" w:firstLine="1072"/>
        <w:spacing w:after="0" w:line="280" w:lineRule="auto"/>
        <w:tabs>
          <w:tab w:leader="none" w:pos="1801"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 Letter of Credit that is issued in a jurisdiction outside of the United States, such Letter of Credit shall be governed by, and shall be construed in accordance with, the laws of a jurisdiction as specified in the applicable Letter of Credit Acknowledgment or such other jurisdiction requested by the beneficiary and acceptable to the Issuing Lender and the Company, except with respect to terms and conditions of this Agreement that control as provided in Section 3.12(a) above or in any Letter of Credit Acknowledgment, which shall be governed by, and construed in accordance with, the laws of the State of New York, and (ii) to the extent not prohibited by such laws,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 REPRESENTATIONS AND WARRANTIES</w:t>
      </w:r>
    </w:p>
    <w:p>
      <w:pPr>
        <w:spacing w:after="0" w:line="214" w:lineRule="exact"/>
        <w:rPr>
          <w:sz w:val="20"/>
          <w:szCs w:val="20"/>
          <w:color w:val="auto"/>
        </w:rPr>
      </w:pPr>
    </w:p>
    <w:p>
      <w:pPr>
        <w:ind w:right="260" w:firstLine="1063"/>
        <w:spacing w:after="0" w:line="263" w:lineRule="auto"/>
        <w:rPr>
          <w:sz w:val="20"/>
          <w:szCs w:val="20"/>
          <w:color w:val="auto"/>
        </w:rPr>
      </w:pPr>
      <w:r>
        <w:rPr>
          <w:rFonts w:ascii="Arial" w:cs="Arial" w:eastAsia="Arial" w:hAnsi="Arial"/>
          <w:sz w:val="18"/>
          <w:szCs w:val="18"/>
          <w:color w:val="auto"/>
        </w:rPr>
        <w:t>To induce the Lenders to enter into this Agreement and to make the Loans and issue or participate in the Letters of Credit the Company hereby represents and warrants to each Lender that:</w:t>
      </w:r>
    </w:p>
    <w:p>
      <w:pPr>
        <w:spacing w:after="0" w:line="144" w:lineRule="exact"/>
        <w:rPr>
          <w:sz w:val="20"/>
          <w:szCs w:val="20"/>
          <w:color w:val="auto"/>
        </w:rPr>
      </w:pPr>
    </w:p>
    <w:p>
      <w:pPr>
        <w:ind w:firstLine="1063"/>
        <w:spacing w:after="0" w:line="26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Financial Condition</w:t>
      </w:r>
      <w:r>
        <w:rPr>
          <w:rFonts w:ascii="Arial" w:cs="Arial" w:eastAsia="Arial" w:hAnsi="Arial"/>
          <w:sz w:val="17"/>
          <w:szCs w:val="17"/>
          <w:color w:val="auto"/>
        </w:rPr>
        <w:t>. The consolidated financial statements of the Company included in its Annual Report on Form 10-K, for the twelve-month period ended December 31, 2013 (the “</w:t>
      </w:r>
      <w:r>
        <w:rPr>
          <w:rFonts w:ascii="Arial" w:cs="Arial" w:eastAsia="Arial" w:hAnsi="Arial"/>
          <w:sz w:val="17"/>
          <w:szCs w:val="17"/>
          <w:u w:val="single" w:color="auto"/>
          <w:color w:val="auto"/>
        </w:rPr>
        <w:t>2013 10-K</w:t>
      </w:r>
      <w:r>
        <w:rPr>
          <w:rFonts w:ascii="Arial" w:cs="Arial" w:eastAsia="Arial" w:hAnsi="Arial"/>
          <w:sz w:val="17"/>
          <w:szCs w:val="17"/>
          <w:color w:val="auto"/>
        </w:rPr>
        <w:t>”), in its Quarterly Report on Form 10-Q for the three-month period ended March 31, 2014 (the “</w:t>
      </w:r>
      <w:r>
        <w:rPr>
          <w:rFonts w:ascii="Arial" w:cs="Arial" w:eastAsia="Arial" w:hAnsi="Arial"/>
          <w:sz w:val="17"/>
          <w:szCs w:val="17"/>
          <w:u w:val="single" w:color="auto"/>
          <w:color w:val="auto"/>
        </w:rPr>
        <w:t>First Quarter 2014 10-Q</w:t>
      </w:r>
      <w:r>
        <w:rPr>
          <w:rFonts w:ascii="Arial" w:cs="Arial" w:eastAsia="Arial" w:hAnsi="Arial"/>
          <w:sz w:val="17"/>
          <w:szCs w:val="17"/>
          <w:color w:val="auto"/>
        </w:rPr>
        <w:t>”) and in its Quarterly Report on Form 10-Q for the three-month period ended June 30, 2014 (the “</w:t>
      </w:r>
      <w:r>
        <w:rPr>
          <w:rFonts w:ascii="Arial" w:cs="Arial" w:eastAsia="Arial" w:hAnsi="Arial"/>
          <w:sz w:val="17"/>
          <w:szCs w:val="17"/>
          <w:u w:val="single" w:color="auto"/>
          <w:color w:val="auto"/>
        </w:rPr>
        <w:t>Second Quarter 2014 10-Q</w:t>
      </w:r>
      <w:r>
        <w:rPr>
          <w:rFonts w:ascii="Arial" w:cs="Arial" w:eastAsia="Arial" w:hAnsi="Arial"/>
          <w:sz w:val="17"/>
          <w:szCs w:val="17"/>
          <w:color w:val="auto"/>
        </w:rPr>
        <w:t xml:space="preserve">”), each as most recently updated or amended on or before the Closing Date and filed with the SEC, present fairly, in all material respects, in accordance with GAAP, the financial condition and results of operations of the Company and its Subsidiaries as of, and for, (a) the twelve-month period ended on December 31, 2013, (b) the three-month period ended March 31, 2014 and (c) the three-month period ended June 30, 2014,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could reasonably be expected to have a Material Adverse Effect.</w:t>
      </w:r>
    </w:p>
    <w:p>
      <w:pPr>
        <w:spacing w:after="0" w:line="184" w:lineRule="exact"/>
        <w:rPr>
          <w:sz w:val="20"/>
          <w:szCs w:val="20"/>
          <w:color w:val="auto"/>
        </w:rPr>
      </w:pPr>
    </w:p>
    <w:p>
      <w:pPr>
        <w:ind w:right="300" w:firstLine="1063"/>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Second Quarter 2014 10-Q and the Closing Date, there has been no development or event which has had a Material Adverse Effect.</w:t>
      </w:r>
    </w:p>
    <w:p>
      <w:pPr>
        <w:spacing w:after="0" w:line="178" w:lineRule="exact"/>
        <w:rPr>
          <w:sz w:val="20"/>
          <w:szCs w:val="20"/>
          <w:color w:val="auto"/>
        </w:rPr>
      </w:pPr>
    </w:p>
    <w:p>
      <w:pPr>
        <w:ind w:right="480" w:firstLine="1063"/>
        <w:spacing w:after="0" w:line="25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w:t>
      </w:r>
      <w:r>
        <w:rPr>
          <w:rFonts w:ascii="Arial" w:cs="Arial" w:eastAsia="Arial" w:hAnsi="Arial"/>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60"/>
          </w:cols>
          <w:pgMar w:left="220" w:top="510" w:right="21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foregoing clauses (a), (b) and (c) could not, in the aggregate, reasonably be expected to have a Material Adverse Effect.</w:t>
      </w:r>
    </w:p>
    <w:p>
      <w:pPr>
        <w:spacing w:after="0" w:line="214" w:lineRule="exact"/>
        <w:rPr>
          <w:sz w:val="20"/>
          <w:szCs w:val="20"/>
          <w:color w:val="auto"/>
        </w:rPr>
      </w:pPr>
    </w:p>
    <w:p>
      <w:pPr>
        <w:ind w:right="160" w:firstLine="1063"/>
        <w:spacing w:after="0" w:line="28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7" w:lineRule="exact"/>
        <w:rPr>
          <w:sz w:val="20"/>
          <w:szCs w:val="20"/>
          <w:color w:val="auto"/>
        </w:rPr>
      </w:pPr>
    </w:p>
    <w:p>
      <w:pPr>
        <w:ind w:right="140" w:firstLine="1063"/>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could not, in the aggregate, reasonably be expected to have a Material Adverse Effect.</w:t>
      </w:r>
    </w:p>
    <w:p>
      <w:pPr>
        <w:spacing w:after="0" w:line="160" w:lineRule="exact"/>
        <w:rPr>
          <w:sz w:val="20"/>
          <w:szCs w:val="20"/>
          <w:color w:val="auto"/>
        </w:rPr>
      </w:pPr>
    </w:p>
    <w:p>
      <w:pPr>
        <w:ind w:right="40" w:firstLine="1063"/>
        <w:spacing w:after="0" w:line="250"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4.6 and except as set forth in the 2013 10-K, the First Quarter 2014 10-Q, the Second Quarter 2014 10-Q or on any Current Report on Form 8-K of the Company filed with the SEC prior to the Closing Date, no litigation, investigation, proceeding or arbitration is pending, or to the best of the Company’s knowledge, is threatened against the Company or any Loan Party as of the Closing Date that could reasonably be expected to have a Material Adverse Effect.</w:t>
      </w:r>
    </w:p>
    <w:p>
      <w:pPr>
        <w:spacing w:after="0" w:line="190"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As of the Closing Date no Default or Event of Default has occurred and is continuing.</w:t>
      </w:r>
    </w:p>
    <w:p>
      <w:pPr>
        <w:spacing w:after="0" w:line="214" w:lineRule="exact"/>
        <w:rPr>
          <w:sz w:val="20"/>
          <w:szCs w:val="20"/>
          <w:color w:val="auto"/>
        </w:rPr>
      </w:pPr>
    </w:p>
    <w:p>
      <w:pPr>
        <w:ind w:firstLine="1063"/>
        <w:spacing w:after="0" w:line="263"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Ownership of Property</w:t>
      </w:r>
      <w:r>
        <w:rPr>
          <w:rFonts w:ascii="Arial" w:cs="Arial" w:eastAsia="Arial" w:hAnsi="Arial"/>
          <w:sz w:val="17"/>
          <w:szCs w:val="17"/>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could not reasonably be expected to detract from the current use or operation of the affected real or personal property in any material respect.</w:t>
      </w:r>
    </w:p>
    <w:p>
      <w:pPr>
        <w:spacing w:after="0" w:line="180" w:lineRule="exact"/>
        <w:rPr>
          <w:sz w:val="20"/>
          <w:szCs w:val="20"/>
          <w:color w:val="auto"/>
        </w:rPr>
      </w:pPr>
    </w:p>
    <w:p>
      <w:pPr>
        <w:jc w:val="both"/>
        <w:ind w:right="280" w:firstLine="1063"/>
        <w:spacing w:after="0" w:line="275"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could not reasonably be expected to have a Material Adverse Effect.</w:t>
      </w:r>
    </w:p>
    <w:p>
      <w:pPr>
        <w:spacing w:after="0" w:line="363"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80"/>
          </w:cols>
          <w:pgMar w:left="220" w:top="510" w:right="299" w:bottom="1440" w:gutter="0" w:footer="0" w:header="0"/>
        </w:sectPr>
      </w:pPr>
    </w:p>
    <w:bookmarkStart w:id="85" w:name="page86"/>
    <w:bookmarkEnd w:id="85"/>
    <w:p>
      <w:pPr>
        <w:ind w:right="80" w:firstLine="1063"/>
        <w:spacing w:after="0" w:line="263"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for any purpose that violates the provisions of Regulation T, U or X of the Board.</w:t>
      </w:r>
    </w:p>
    <w:p>
      <w:pPr>
        <w:spacing w:after="0" w:line="178" w:lineRule="exact"/>
        <w:rPr>
          <w:sz w:val="20"/>
          <w:szCs w:val="20"/>
          <w:color w:val="auto"/>
        </w:rPr>
      </w:pPr>
    </w:p>
    <w:p>
      <w:pPr>
        <w:ind w:left="1080"/>
        <w:spacing w:after="0"/>
        <w:tabs>
          <w:tab w:leader="none" w:pos="18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No ERISA Default has occurred and is continuing.</w:t>
      </w:r>
    </w:p>
    <w:p>
      <w:pPr>
        <w:spacing w:after="0" w:line="214" w:lineRule="exact"/>
        <w:rPr>
          <w:sz w:val="20"/>
          <w:szCs w:val="20"/>
          <w:color w:val="auto"/>
        </w:rPr>
      </w:pPr>
    </w:p>
    <w:p>
      <w:pPr>
        <w:ind w:right="340" w:firstLine="1063"/>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8" w:lineRule="exact"/>
        <w:rPr>
          <w:sz w:val="20"/>
          <w:szCs w:val="20"/>
          <w:color w:val="auto"/>
        </w:rPr>
      </w:pPr>
    </w:p>
    <w:p>
      <w:pPr>
        <w:ind w:right="420" w:firstLine="1063"/>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Subsidiary Borrowers</w:t>
      </w:r>
      <w:r>
        <w:rPr>
          <w:rFonts w:ascii="Arial" w:cs="Arial" w:eastAsia="Arial" w:hAnsi="Arial"/>
          <w:sz w:val="18"/>
          <w:szCs w:val="18"/>
          <w:color w:val="auto"/>
        </w:rPr>
        <w:t>. As of the Closing Date, each Subsidiary Borrower is a direct or indirect wholly-owned Subsidiary of the Company.</w:t>
      </w:r>
    </w:p>
    <w:p>
      <w:pPr>
        <w:spacing w:after="0" w:line="178" w:lineRule="exact"/>
        <w:rPr>
          <w:sz w:val="20"/>
          <w:szCs w:val="20"/>
          <w:color w:val="auto"/>
        </w:rPr>
      </w:pPr>
    </w:p>
    <w:p>
      <w:pPr>
        <w:ind w:left="1080"/>
        <w:spacing w:after="0"/>
        <w:tabs>
          <w:tab w:leader="none" w:pos="19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left="1080"/>
        <w:spacing w:after="0"/>
        <w:tabs>
          <w:tab w:leader="none" w:pos="19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right="180" w:firstLine="1063"/>
        <w:spacing w:after="0" w:line="253"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87" w:lineRule="exact"/>
        <w:rPr>
          <w:sz w:val="20"/>
          <w:szCs w:val="20"/>
          <w:color w:val="auto"/>
        </w:rPr>
      </w:pPr>
    </w:p>
    <w:p>
      <w:pPr>
        <w:ind w:firstLine="1063"/>
        <w:spacing w:after="0" w:line="278"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or the U.S. Department of State or the European Union (collectively, the “</w:t>
      </w:r>
      <w:r>
        <w:rPr>
          <w:rFonts w:ascii="Arial" w:cs="Arial" w:eastAsia="Arial" w:hAnsi="Arial"/>
          <w:sz w:val="16"/>
          <w:szCs w:val="16"/>
          <w:u w:val="single" w:color="auto"/>
          <w:color w:val="auto"/>
        </w:rPr>
        <w:t>Sanctions Lists</w:t>
      </w:r>
      <w:r>
        <w:rPr>
          <w:rFonts w:ascii="Arial" w:cs="Arial" w:eastAsia="Arial" w:hAnsi="Arial"/>
          <w:sz w:val="16"/>
          <w:szCs w:val="16"/>
          <w:color w:val="auto"/>
        </w:rPr>
        <w:t>”). Neither the Company nor any of its Subsidiaries has a physical place of business, or is organized or resident, in (a) Cuba, Iran, North Korea, Sudan, or Syria or (b) in any other Sanctioned Country in violation of U.S. law. The Company and its 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that is the subject or target of comprehensive territorial sanctions administered by OFAC, the U.S. Department of Treasury or the U.S. Department of State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except in the case of (x) or (y), to the extent licensed or otherwise authorized under U.S. law or (in the case of clause (x)) such other applicable law, as the case may be. Notwithstanding the foregoing, if any country, including Cuba, Iran, North Korea, Sudan, or Syria, shall no longer be the subject of comprehensive territorial sanctions administered by OFAC, then it shall not be considered a Sanctioned Country for purposes hereof and the provisions of this Section 4.17 shall no longer apply with respect to that country.</w:t>
      </w:r>
    </w:p>
    <w:p>
      <w:pPr>
        <w:spacing w:after="0" w:line="17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SECTION 5. CONDITIONS PRECEDENT</w:t>
      </w:r>
    </w:p>
    <w:p>
      <w:pPr>
        <w:spacing w:after="0" w:line="214" w:lineRule="exact"/>
        <w:rPr>
          <w:sz w:val="20"/>
          <w:szCs w:val="20"/>
          <w:color w:val="auto"/>
        </w:rPr>
      </w:pPr>
    </w:p>
    <w:p>
      <w:pPr>
        <w:jc w:val="both"/>
        <w:ind w:firstLine="1063"/>
        <w:spacing w:after="0" w:line="25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Closing Date</w:t>
      </w:r>
      <w:r>
        <w:rPr>
          <w:rFonts w:ascii="Arial" w:cs="Arial" w:eastAsia="Arial" w:hAnsi="Arial"/>
          <w:sz w:val="18"/>
          <w:szCs w:val="18"/>
          <w:color w:val="auto"/>
        </w:rPr>
        <w:t>. This Agreement and the obligation of each Lender to make extensions of credit requested to be made by it hereunder shall be effective upon (1) the execution and delivery of this Agreement by each of the Administrative Agent, the Brazilian Administrative Agent, the Syndication Agent, the Co-Syndication Agent, the Company, each other Borrower, GM Holdings, the</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380"/>
          </w:cols>
          <w:pgMar w:left="220" w:top="510" w:right="29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Existing Required Lenders, each Person listed on Schedule 1.1A and each other party hereto and (2) written confirmation by the Administrative Agent to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 Lenders confirming that the following conditions have been satisfied (or waived in accordance with the provisions hereof):</w:t>
      </w:r>
    </w:p>
    <w:p>
      <w:pPr>
        <w:spacing w:after="0" w:line="200" w:lineRule="exact"/>
        <w:rPr>
          <w:sz w:val="20"/>
          <w:szCs w:val="20"/>
          <w:color w:val="auto"/>
        </w:rPr>
      </w:pPr>
    </w:p>
    <w:p>
      <w:pPr>
        <w:ind w:right="180" w:firstLine="1072"/>
        <w:spacing w:after="0" w:line="250" w:lineRule="auto"/>
        <w:tabs>
          <w:tab w:leader="none" w:pos="1791"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Other Loan Documents</w:t>
      </w:r>
      <w:r>
        <w:rPr>
          <w:rFonts w:ascii="Arial" w:cs="Arial" w:eastAsia="Arial" w:hAnsi="Arial"/>
          <w:sz w:val="18"/>
          <w:szCs w:val="18"/>
          <w:color w:val="auto"/>
        </w:rPr>
        <w:t>. (w) The Company shall have executed and delivered the Guarantee, (x) the L/C Fee Letter shall have been executed and delivered by the Company, each L/C Tranche Lender and each Issuing Lender, (y) each Brazilian Bank Certificate shall have been executed and delivered by GMB and/or the relevant Brazilian Subsidiary, as applicable and (z) the Brazilian Intercreditor Agreement shall have been executed and delivered by the Brazilian Administrative Agent and each Brazilian Lender.</w:t>
      </w:r>
    </w:p>
    <w:p>
      <w:pPr>
        <w:spacing w:after="0" w:line="189" w:lineRule="exact"/>
        <w:rPr>
          <w:rFonts w:ascii="Arial" w:cs="Arial" w:eastAsia="Arial" w:hAnsi="Arial"/>
          <w:sz w:val="18"/>
          <w:szCs w:val="18"/>
          <w:color w:val="auto"/>
        </w:rPr>
      </w:pPr>
    </w:p>
    <w:p>
      <w:pPr>
        <w:ind w:left="1800" w:hanging="728"/>
        <w:spacing w:after="0"/>
        <w:tabs>
          <w:tab w:leader="none" w:pos="18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jc w:val="both"/>
        <w:ind w:right="320" w:firstLine="1072"/>
        <w:spacing w:after="0" w:line="407" w:lineRule="auto"/>
        <w:tabs>
          <w:tab w:leader="none" w:pos="1791" w:val="left"/>
        </w:tabs>
        <w:numPr>
          <w:ilvl w:val="1"/>
          <w:numId w:val="81"/>
        </w:numPr>
        <w:rPr>
          <w:rFonts w:ascii="Arial" w:cs="Arial" w:eastAsia="Arial" w:hAnsi="Arial"/>
          <w:sz w:val="14"/>
          <w:szCs w:val="14"/>
          <w:color w:val="auto"/>
        </w:rPr>
      </w:pPr>
      <w:r>
        <w:rPr>
          <w:rFonts w:ascii="Arial" w:cs="Arial" w:eastAsia="Arial" w:hAnsi="Arial"/>
          <w:sz w:val="14"/>
          <w:szCs w:val="14"/>
          <w:u w:val="single" w:color="auto"/>
          <w:color w:val="auto"/>
        </w:rPr>
        <w:t>Fees</w:t>
      </w:r>
      <w:r>
        <w:rPr>
          <w:rFonts w:ascii="Arial" w:cs="Arial" w:eastAsia="Arial" w:hAnsi="Arial"/>
          <w:sz w:val="14"/>
          <w:szCs w:val="14"/>
          <w:color w:val="auto"/>
        </w:rPr>
        <w:t>. The Lenders, the Administrative Agent, the Brazilian Administrative Agent and the Arrangers shall have received all fees and out-of-pocket expenses required to be paid hereunder and (with respect to such expenses) invoiced at least three (3) Business Days prior to the Closing Date.</w:t>
      </w:r>
    </w:p>
    <w:p>
      <w:pPr>
        <w:spacing w:after="0" w:line="85" w:lineRule="exact"/>
        <w:rPr>
          <w:rFonts w:ascii="Arial" w:cs="Arial" w:eastAsia="Arial" w:hAnsi="Arial"/>
          <w:sz w:val="14"/>
          <w:szCs w:val="14"/>
          <w:color w:val="auto"/>
        </w:rPr>
      </w:pPr>
    </w:p>
    <w:p>
      <w:pPr>
        <w:ind w:firstLine="1072"/>
        <w:spacing w:after="0" w:line="265" w:lineRule="auto"/>
        <w:tabs>
          <w:tab w:leader="none" w:pos="1801"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Closing Certificate; Certified Certificate of Incorporation; Good Standing Certificates</w:t>
      </w:r>
      <w:r>
        <w:rPr>
          <w:rFonts w:ascii="Arial" w:cs="Arial" w:eastAsia="Arial" w:hAnsi="Arial"/>
          <w:sz w:val="17"/>
          <w:szCs w:val="17"/>
          <w:color w:val="auto"/>
        </w:rPr>
        <w:t>. The Administrative Agent shall have received (i) a certificate of each Loan Party (or a certificate of the Loan Parties), dated the Closing Date, substantially in the form of Exhibit H,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77" w:lineRule="exact"/>
        <w:rPr>
          <w:rFonts w:ascii="Arial" w:cs="Arial" w:eastAsia="Arial" w:hAnsi="Arial"/>
          <w:sz w:val="17"/>
          <w:szCs w:val="17"/>
          <w:color w:val="auto"/>
        </w:rPr>
      </w:pPr>
    </w:p>
    <w:p>
      <w:pPr>
        <w:ind w:left="1800" w:hanging="728"/>
        <w:spacing w:after="0"/>
        <w:tabs>
          <w:tab w:leader="none" w:pos="1800"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shall have received the executed legal opinion of (i) in house counsel to the Loan Parties,</w:t>
      </w:r>
    </w:p>
    <w:p>
      <w:pPr>
        <w:spacing w:after="0" w:line="39" w:lineRule="exact"/>
        <w:rPr>
          <w:rFonts w:ascii="Arial" w:cs="Arial" w:eastAsia="Arial" w:hAnsi="Arial"/>
          <w:sz w:val="16"/>
          <w:szCs w:val="16"/>
          <w:color w:val="auto"/>
        </w:rPr>
      </w:pPr>
    </w:p>
    <w:p>
      <w:pPr>
        <w:ind w:right="40" w:firstLine="9"/>
        <w:spacing w:after="0" w:line="245" w:lineRule="auto"/>
        <w:tabs>
          <w:tab w:leader="none" w:pos="261"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Mannheimer Swartling Advokatbyra AB, special Swedish counsel to GMETC, (iii) Demarest Advogados, special Brazil counsel to the Brazilian Administrative Agent and (iv) Weil Gotshal &amp; Manges LLP, counsel to the Loan Parties, each in form and substance reasonably acceptable to the Administrative Agent.</w:t>
      </w:r>
    </w:p>
    <w:p>
      <w:pPr>
        <w:spacing w:after="0" w:line="194" w:lineRule="exact"/>
        <w:rPr>
          <w:rFonts w:ascii="Arial" w:cs="Arial" w:eastAsia="Arial" w:hAnsi="Arial"/>
          <w:sz w:val="18"/>
          <w:szCs w:val="18"/>
          <w:color w:val="auto"/>
        </w:rPr>
      </w:pPr>
    </w:p>
    <w:p>
      <w:pPr>
        <w:ind w:right="80" w:firstLine="1072"/>
        <w:spacing w:after="0" w:line="291" w:lineRule="auto"/>
        <w:tabs>
          <w:tab w:leader="none" w:pos="1772"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Existing Three Year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Three Year Credit Agreement that are not Lenders hereunder shall have been terminated (and the Commitments of all continuing Lenders shall be as set forth on Schedule 1.1(A)) and all accrued interest and fees under the Existing Three Year Credit Agreement shall have been paid, or arrangements satisfactory to the Administrative Agent in respect thereof shall have been made.</w:t>
      </w:r>
    </w:p>
    <w:p>
      <w:pPr>
        <w:spacing w:after="0" w:line="159" w:lineRule="exact"/>
        <w:rPr>
          <w:rFonts w:ascii="Arial" w:cs="Arial" w:eastAsia="Arial" w:hAnsi="Arial"/>
          <w:sz w:val="16"/>
          <w:szCs w:val="16"/>
          <w:color w:val="auto"/>
        </w:rPr>
      </w:pPr>
    </w:p>
    <w:p>
      <w:pPr>
        <w:ind w:right="300" w:firstLine="1072"/>
        <w:spacing w:after="0" w:line="263" w:lineRule="auto"/>
        <w:tabs>
          <w:tab w:leader="none" w:pos="1801"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Termination of Liens</w:t>
      </w:r>
      <w:r>
        <w:rPr>
          <w:rFonts w:ascii="Arial" w:cs="Arial" w:eastAsia="Arial" w:hAnsi="Arial"/>
          <w:sz w:val="18"/>
          <w:szCs w:val="18"/>
          <w:color w:val="auto"/>
        </w:rPr>
        <w:t>. The Administrative Agent shall have received reasonably satisfactory evidence of the termination of all Liens securing any Existing Secured Obligations.</w:t>
      </w:r>
    </w:p>
    <w:p>
      <w:pPr>
        <w:spacing w:after="0" w:line="177" w:lineRule="exact"/>
        <w:rPr>
          <w:rFonts w:ascii="Arial" w:cs="Arial" w:eastAsia="Arial" w:hAnsi="Arial"/>
          <w:sz w:val="18"/>
          <w:szCs w:val="18"/>
          <w:color w:val="auto"/>
        </w:rPr>
      </w:pPr>
    </w:p>
    <w:p>
      <w:pPr>
        <w:ind w:right="200" w:firstLine="1072"/>
        <w:spacing w:after="0" w:line="253" w:lineRule="auto"/>
        <w:tabs>
          <w:tab w:leader="none" w:pos="1801"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The Administrative Agent shall have received all documentation and other information reasonably requested by the Administrative Agent or any Lender who is not a lender under the Existing Three Year Credit Agreement under applicable “know your customer” and anti-money-laundering rules and regulations, including the USA Patriot Act.</w:t>
      </w:r>
    </w:p>
    <w:p>
      <w:pPr>
        <w:spacing w:after="0" w:line="38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60"/>
          </w:cols>
          <w:pgMar w:left="220" w:top="510" w:right="219" w:bottom="1440" w:gutter="0" w:footer="0" w:header="0"/>
        </w:sectPr>
      </w:pPr>
    </w:p>
    <w:bookmarkStart w:id="87" w:name="page88"/>
    <w:bookmarkEnd w:id="87"/>
    <w:p>
      <w:pPr>
        <w:ind w:right="20" w:firstLine="1063"/>
        <w:spacing w:after="0" w:line="24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95" w:lineRule="exact"/>
        <w:rPr>
          <w:sz w:val="20"/>
          <w:szCs w:val="20"/>
          <w:color w:val="auto"/>
        </w:rPr>
      </w:pPr>
    </w:p>
    <w:p>
      <w:pPr>
        <w:ind w:right="280" w:firstLine="1072"/>
        <w:spacing w:after="0" w:line="269" w:lineRule="auto"/>
        <w:tabs>
          <w:tab w:leader="none" w:pos="179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75" w:lineRule="exact"/>
        <w:rPr>
          <w:rFonts w:ascii="Arial" w:cs="Arial" w:eastAsia="Arial" w:hAnsi="Arial"/>
          <w:sz w:val="17"/>
          <w:szCs w:val="17"/>
          <w:color w:val="auto"/>
        </w:rPr>
      </w:pPr>
    </w:p>
    <w:p>
      <w:pPr>
        <w:ind w:right="120" w:firstLine="1072"/>
        <w:spacing w:after="0" w:line="263" w:lineRule="auto"/>
        <w:tabs>
          <w:tab w:leader="none" w:pos="180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77" w:lineRule="exact"/>
        <w:rPr>
          <w:rFonts w:ascii="Arial" w:cs="Arial" w:eastAsia="Arial" w:hAnsi="Arial"/>
          <w:sz w:val="18"/>
          <w:szCs w:val="18"/>
          <w:color w:val="auto"/>
        </w:rPr>
      </w:pPr>
    </w:p>
    <w:p>
      <w:pPr>
        <w:ind w:left="1800" w:hanging="728"/>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firstLine="1072"/>
        <w:spacing w:after="0" w:line="263" w:lineRule="auto"/>
        <w:tabs>
          <w:tab w:leader="none" w:pos="180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No Subsidiary Borrower Bankruptcy Events</w:t>
      </w:r>
      <w:r>
        <w:rPr>
          <w:rFonts w:ascii="Arial" w:cs="Arial" w:eastAsia="Arial" w:hAnsi="Arial"/>
          <w:sz w:val="17"/>
          <w:szCs w:val="17"/>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80"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Each borrowing, or issuance of a Letter of Credit (or amendment thereof which increases the face amount thereof) hereunder (including, for the avoidance of doubt, any borrowing of Brazilian Loans pursuant to any Brazilian Bank Certificate)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5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SECTION 6. AFFIRMATIVE COVENANTS</w:t>
      </w:r>
    </w:p>
    <w:p>
      <w:pPr>
        <w:spacing w:after="0" w:line="214" w:lineRule="exact"/>
        <w:rPr>
          <w:sz w:val="20"/>
          <w:szCs w:val="20"/>
          <w:color w:val="auto"/>
        </w:rPr>
      </w:pPr>
    </w:p>
    <w:p>
      <w:pPr>
        <w:ind w:right="720" w:firstLine="1063"/>
        <w:spacing w:after="0" w:line="293" w:lineRule="auto"/>
        <w:rPr>
          <w:sz w:val="20"/>
          <w:szCs w:val="20"/>
          <w:color w:val="auto"/>
        </w:rPr>
      </w:pPr>
      <w:r>
        <w:rPr>
          <w:rFonts w:ascii="Arial" w:cs="Arial" w:eastAsia="Arial" w:hAnsi="Arial"/>
          <w:sz w:val="17"/>
          <w:szCs w:val="17"/>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21" w:lineRule="exact"/>
        <w:rPr>
          <w:sz w:val="20"/>
          <w:szCs w:val="20"/>
          <w:color w:val="auto"/>
        </w:rPr>
      </w:pPr>
    </w:p>
    <w:p>
      <w:pPr>
        <w:ind w:right="480" w:firstLine="1063"/>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Company shall deliver to the Administrative Agent, audited annual financial statements and unaudited quarterly financial statements of the Company within</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60"/>
          </w:cols>
          <w:pgMar w:left="220" w:top="510" w:right="219" w:bottom="1440" w:gutter="0" w:footer="0" w:header="0"/>
        </w:sectPr>
      </w:pPr>
    </w:p>
    <w:bookmarkStart w:id="88" w:name="page89"/>
    <w:bookmarkEnd w:id="88"/>
    <w:p>
      <w:pPr>
        <w:spacing w:after="0" w:line="283" w:lineRule="auto"/>
        <w:rPr>
          <w:sz w:val="20"/>
          <w:szCs w:val="20"/>
          <w:color w:val="auto"/>
        </w:rPr>
      </w:pPr>
      <w:r>
        <w:rPr>
          <w:rFonts w:ascii="Arial" w:cs="Arial" w:eastAsia="Arial" w:hAnsi="Arial"/>
          <w:sz w:val="16"/>
          <w:szCs w:val="16"/>
          <w:color w:val="auto"/>
        </w:rPr>
        <w:t xml:space="preserve">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financial statements shall be deemed to be delivered upon the filing with the SEC of its Form 10-K or Form 10-Q for the relevant fiscal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restatement of previously delivered (or deemed delivered) financial statements shall not constitute a breach or violation of this Section 6.1.</w:t>
      </w:r>
    </w:p>
    <w:p>
      <w:pPr>
        <w:spacing w:after="0" w:line="165" w:lineRule="exact"/>
        <w:rPr>
          <w:sz w:val="20"/>
          <w:szCs w:val="20"/>
          <w:color w:val="auto"/>
        </w:rPr>
      </w:pPr>
    </w:p>
    <w:p>
      <w:pPr>
        <w:ind w:right="60" w:firstLine="1063"/>
        <w:spacing w:after="0" w:line="28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Compliance Certificates</w:t>
      </w:r>
      <w:r>
        <w:rPr>
          <w:rFonts w:ascii="Arial" w:cs="Arial" w:eastAsia="Arial" w:hAnsi="Arial"/>
          <w:sz w:val="16"/>
          <w:szCs w:val="16"/>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w:t>
      </w:r>
    </w:p>
    <w:p>
      <w:pPr>
        <w:spacing w:after="0" w:line="1" w:lineRule="exact"/>
        <w:rPr>
          <w:sz w:val="20"/>
          <w:szCs w:val="20"/>
          <w:color w:val="auto"/>
        </w:rPr>
      </w:pPr>
    </w:p>
    <w:p>
      <w:pPr>
        <w:ind w:right="580" w:firstLine="9"/>
        <w:spacing w:after="0" w:line="247" w:lineRule="auto"/>
        <w:tabs>
          <w:tab w:leader="none" w:pos="2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containing a calculation of Consolidated Domestic Liquidity and Consolidated Global Liquidity as of the last day of the fiscal period covered by such financial statements.</w:t>
      </w:r>
    </w:p>
    <w:p>
      <w:pPr>
        <w:spacing w:after="0" w:line="192"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90" w:lineRule="exact"/>
        <w:rPr>
          <w:sz w:val="20"/>
          <w:szCs w:val="20"/>
          <w:color w:val="auto"/>
        </w:rPr>
      </w:pPr>
    </w:p>
    <w:p>
      <w:pPr>
        <w:ind w:right="80" w:firstLine="1063"/>
        <w:spacing w:after="0" w:line="24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95" w:lineRule="exact"/>
        <w:rPr>
          <w:sz w:val="20"/>
          <w:szCs w:val="20"/>
          <w:color w:val="auto"/>
        </w:rPr>
      </w:pPr>
    </w:p>
    <w:p>
      <w:pPr>
        <w:jc w:val="both"/>
        <w:ind w:right="80" w:firstLine="1063"/>
        <w:spacing w:after="0" w:line="250"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and the Brazilian Administrative Agent of the occurrence of any Default or Event of Default. Each notice pursuant to this Section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90"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right="200" w:firstLine="1063"/>
        <w:spacing w:after="0" w:line="275"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Reinstated Guarantors, etc</w:t>
      </w:r>
      <w:r>
        <w:rPr>
          <w:rFonts w:ascii="Arial" w:cs="Arial" w:eastAsia="Arial" w:hAnsi="Arial"/>
          <w:sz w:val="17"/>
          <w:szCs w:val="17"/>
          <w:color w:val="auto"/>
        </w:rPr>
        <w:t>. (a) 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60"/>
          </w:cols>
          <w:pgMar w:left="220" w:top="510" w:right="2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certificates, resolutions and legal opinions, provided that the foregoing requirements shall not apply to GM Holdings.</w:t>
      </w:r>
    </w:p>
    <w:p>
      <w:pPr>
        <w:spacing w:after="0" w:line="214" w:lineRule="exact"/>
        <w:rPr>
          <w:sz w:val="20"/>
          <w:szCs w:val="20"/>
          <w:color w:val="auto"/>
        </w:rPr>
      </w:pPr>
    </w:p>
    <w:p>
      <w:pPr>
        <w:ind w:left="1800" w:hanging="728"/>
        <w:spacing w:after="0"/>
        <w:tabs>
          <w:tab w:leader="none" w:pos="18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within 90 days after the end of any fiscal quarter of the Company, during which</w:t>
      </w:r>
    </w:p>
    <w:p>
      <w:pPr>
        <w:spacing w:after="0" w:line="39" w:lineRule="exact"/>
        <w:rPr>
          <w:rFonts w:ascii="Arial" w:cs="Arial" w:eastAsia="Arial" w:hAnsi="Arial"/>
          <w:sz w:val="16"/>
          <w:szCs w:val="16"/>
          <w:color w:val="auto"/>
        </w:rPr>
      </w:pPr>
    </w:p>
    <w:p>
      <w:pPr>
        <w:ind w:firstLine="9"/>
        <w:spacing w:after="0" w:line="278" w:lineRule="auto"/>
        <w:tabs>
          <w:tab w:leader="none" w:pos="29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172" w:lineRule="exact"/>
        <w:rPr>
          <w:rFonts w:ascii="Arial" w:cs="Arial" w:eastAsia="Arial" w:hAnsi="Arial"/>
          <w:sz w:val="16"/>
          <w:szCs w:val="16"/>
          <w:color w:val="auto"/>
        </w:rPr>
      </w:pPr>
    </w:p>
    <w:p>
      <w:pPr>
        <w:ind w:right="680" w:firstLine="1072"/>
        <w:spacing w:after="0" w:line="263" w:lineRule="auto"/>
        <w:tabs>
          <w:tab w:leader="none" w:pos="1791"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8"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jc w:val="both"/>
        <w:ind w:right="180" w:firstLine="1063"/>
        <w:spacing w:after="0" w:line="25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87" w:lineRule="exact"/>
        <w:rPr>
          <w:sz w:val="20"/>
          <w:szCs w:val="20"/>
          <w:color w:val="auto"/>
        </w:rPr>
      </w:pPr>
    </w:p>
    <w:p>
      <w:pPr>
        <w:ind w:right="20" w:firstLine="1063"/>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Ratings</w:t>
      </w:r>
      <w:r>
        <w:rPr>
          <w:rFonts w:ascii="Arial" w:cs="Arial" w:eastAsia="Arial" w:hAnsi="Arial"/>
          <w:sz w:val="17"/>
          <w:szCs w:val="17"/>
          <w:color w:val="auto"/>
        </w:rPr>
        <w:t xml:space="preserve">. The Company shall use commercially reasonable efforts to (i) obtain, no later than 90 days after the Closing Date, a Facility Rating from each of S&amp;P, Moody’s and Fitch and (ii) maintain a Corporate Rating, to the extent available, from each of S&amp;P, Moody’s and Fitch (it being understood that Moody’s does not provide Corporate Ratings for investment grade companies);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case of clauses (i) and (ii) above, the Company shall not be required to obtain or maintain, as applicable, a specific Facility Rating or Corporate Rating, as applicable.</w:t>
      </w:r>
    </w:p>
    <w:p>
      <w:pPr>
        <w:spacing w:after="0" w:line="17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SECTION 7. NEGATIVE COVENANTS</w:t>
      </w:r>
    </w:p>
    <w:p>
      <w:pPr>
        <w:spacing w:after="0" w:line="214" w:lineRule="exact"/>
        <w:rPr>
          <w:sz w:val="20"/>
          <w:szCs w:val="20"/>
          <w:color w:val="auto"/>
        </w:rPr>
      </w:pPr>
    </w:p>
    <w:p>
      <w:pPr>
        <w:ind w:right="820" w:firstLine="1063"/>
        <w:spacing w:after="0" w:line="293" w:lineRule="auto"/>
        <w:rPr>
          <w:sz w:val="20"/>
          <w:szCs w:val="20"/>
          <w:color w:val="auto"/>
        </w:rPr>
      </w:pPr>
      <w:r>
        <w:rPr>
          <w:rFonts w:ascii="Arial" w:cs="Arial" w:eastAsia="Arial" w:hAnsi="Arial"/>
          <w:sz w:val="17"/>
          <w:szCs w:val="17"/>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21"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right="400" w:firstLine="1063"/>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20" w:top="510" w:right="259" w:bottom="1440" w:gutter="0" w:footer="0" w:header="0"/>
        </w:sectPr>
      </w:pPr>
    </w:p>
    <w:bookmarkStart w:id="90" w:name="page91"/>
    <w:bookmarkEnd w:id="90"/>
    <w:p>
      <w:pPr>
        <w:ind w:left="1080"/>
        <w:spacing w:after="0"/>
        <w:tabs>
          <w:tab w:leader="none" w:pos="18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right="40" w:firstLine="1063"/>
        <w:spacing w:after="0" w:line="250"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Indebtedness</w:t>
      </w:r>
      <w:r>
        <w:rPr>
          <w:rFonts w:ascii="Arial" w:cs="Arial" w:eastAsia="Arial" w:hAnsi="Arial"/>
          <w:sz w:val="18"/>
          <w:szCs w:val="18"/>
          <w:color w:val="auto"/>
        </w:rPr>
        <w:t>. The Company shall not, and shall not permit any Principal Domestic Subsidiary to, incur Indebtedness that is secured by a Lien on any 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190"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4"/>
          <w:szCs w:val="14"/>
          <w:u w:val="single" w:color="auto"/>
          <w:color w:val="auto"/>
        </w:rPr>
        <w:t>Asset Sale Restrictions</w:t>
      </w:r>
      <w:r>
        <w:rPr>
          <w:rFonts w:ascii="Arial" w:cs="Arial" w:eastAsia="Arial" w:hAnsi="Arial"/>
          <w:sz w:val="14"/>
          <w:szCs w:val="14"/>
          <w:color w:val="auto"/>
        </w:rPr>
        <w:t>.</w:t>
      </w:r>
    </w:p>
    <w:p>
      <w:pPr>
        <w:spacing w:after="0" w:line="214" w:lineRule="exact"/>
        <w:rPr>
          <w:sz w:val="20"/>
          <w:szCs w:val="20"/>
          <w:color w:val="auto"/>
        </w:rPr>
      </w:pPr>
    </w:p>
    <w:p>
      <w:pPr>
        <w:ind w:right="80" w:firstLine="1072"/>
        <w:spacing w:after="0" w:line="253" w:lineRule="auto"/>
        <w:tabs>
          <w:tab w:leader="none" w:pos="179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All or Substantially All</w:t>
      </w:r>
      <w:r>
        <w:rPr>
          <w:rFonts w:ascii="Arial" w:cs="Arial" w:eastAsia="Arial" w:hAnsi="Arial"/>
          <w:sz w:val="18"/>
          <w:szCs w:val="18"/>
          <w:color w:val="auto"/>
        </w:rPr>
        <w:t>. The Company shall not, nor shall it permit any Principal Domestic Subsidiary to, in one transaction or a series of related transactions, Dispose of all or substantially all of their respective assets (on a consolidated basis), except in a transaction that complies with Section 7.7(a).</w:t>
      </w:r>
    </w:p>
    <w:p>
      <w:pPr>
        <w:spacing w:after="0" w:line="187" w:lineRule="exact"/>
        <w:rPr>
          <w:rFonts w:ascii="Arial" w:cs="Arial" w:eastAsia="Arial" w:hAnsi="Arial"/>
          <w:sz w:val="18"/>
          <w:szCs w:val="18"/>
          <w:color w:val="auto"/>
        </w:rPr>
      </w:pPr>
    </w:p>
    <w:p>
      <w:pPr>
        <w:ind w:left="1800" w:hanging="728"/>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right="240" w:firstLine="1072"/>
        <w:spacing w:after="0" w:line="248" w:lineRule="auto"/>
        <w:tabs>
          <w:tab w:leader="none" w:pos="179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The Company shall not, nor shall it permit any Principal Domestic Subsidiary or Qualified IP Holding Company to, Dispose of any Principal Trade Name, except (x) in a transaction that complies with Section 7.7 (other than Section 7.7(b)(iii)),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w:t>
      </w:r>
    </w:p>
    <w:p>
      <w:pPr>
        <w:spacing w:after="0" w:line="193"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4"/>
          <w:szCs w:val="14"/>
          <w:u w:val="single" w:color="auto"/>
          <w:color w:val="auto"/>
        </w:rPr>
        <w:t>Fundamental Changes</w:t>
      </w:r>
      <w:r>
        <w:rPr>
          <w:rFonts w:ascii="Arial" w:cs="Arial" w:eastAsia="Arial" w:hAnsi="Arial"/>
          <w:sz w:val="14"/>
          <w:szCs w:val="14"/>
          <w:color w:val="auto"/>
        </w:rPr>
        <w:t>.</w:t>
      </w:r>
    </w:p>
    <w:p>
      <w:pPr>
        <w:spacing w:after="0" w:line="214" w:lineRule="exact"/>
        <w:rPr>
          <w:sz w:val="20"/>
          <w:szCs w:val="20"/>
          <w:color w:val="auto"/>
        </w:rPr>
      </w:pPr>
    </w:p>
    <w:p>
      <w:pPr>
        <w:ind w:firstLine="1072"/>
        <w:spacing w:after="0" w:line="261" w:lineRule="auto"/>
        <w:tabs>
          <w:tab w:leader="none" w:pos="1791"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40"/>
          </w:cols>
          <w:pgMar w:left="220" w:top="721" w:right="239" w:bottom="1440" w:gutter="0" w:footer="0" w:header="0"/>
        </w:sectPr>
      </w:pPr>
    </w:p>
    <w:bookmarkStart w:id="91" w:name="page92"/>
    <w:bookmarkEnd w:id="91"/>
    <w:p>
      <w:pPr>
        <w:ind w:firstLine="1072"/>
        <w:spacing w:after="0" w:line="262" w:lineRule="auto"/>
        <w:tabs>
          <w:tab w:leader="none" w:pos="1801" w:val="left"/>
        </w:tabs>
        <w:numPr>
          <w:ilvl w:val="0"/>
          <w:numId w:val="89"/>
        </w:numPr>
        <w:rPr>
          <w:rFonts w:ascii="Arial" w:cs="Arial" w:eastAsia="Arial" w:hAnsi="Arial"/>
          <w:sz w:val="17"/>
          <w:szCs w:val="17"/>
          <w:color w:val="auto"/>
        </w:rPr>
      </w:pPr>
      <w:r>
        <w:rPr>
          <w:rFonts w:ascii="Arial" w:cs="Arial" w:eastAsia="Arial" w:hAnsi="Arial"/>
          <w:sz w:val="17"/>
          <w:szCs w:val="17"/>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7.5.</w:t>
      </w:r>
    </w:p>
    <w:p>
      <w:pPr>
        <w:spacing w:after="0" w:line="184" w:lineRule="exact"/>
        <w:rPr>
          <w:sz w:val="20"/>
          <w:szCs w:val="20"/>
          <w:color w:val="auto"/>
        </w:rPr>
      </w:pPr>
    </w:p>
    <w:p>
      <w:pPr>
        <w:ind w:right="40" w:firstLine="1063"/>
        <w:spacing w:after="0" w:line="264"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Company and its Subsidiary Borrowers shall not, and shall not permit any of its Subsidiaries to, knowingly use the proceeds of the Loans or Letters of Credit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including Cuba, Iran, North Korea, Sudan, or Syria, shall no longer be the subject of comprehensive territorial sanctions administered by OFAC, the U.S. Department of Treasury or the U.S. Department of State, then it shall not be considered a Sanctioned Country for purposes hereof and the provisions of this Section 7.8 shall no longer apply with respect to that country.</w:t>
      </w:r>
    </w:p>
    <w:p>
      <w:pPr>
        <w:spacing w:after="0" w:line="35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SECTION 8. EVENTS OF DEFAULT</w:t>
      </w:r>
    </w:p>
    <w:p>
      <w:pPr>
        <w:spacing w:after="0" w:line="214"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If any of the following events shall occur and be continuing:</w:t>
      </w:r>
    </w:p>
    <w:p>
      <w:pPr>
        <w:spacing w:after="0" w:line="214" w:lineRule="exact"/>
        <w:rPr>
          <w:sz w:val="20"/>
          <w:szCs w:val="20"/>
          <w:color w:val="auto"/>
        </w:rPr>
      </w:pPr>
    </w:p>
    <w:p>
      <w:pPr>
        <w:ind w:right="20" w:firstLine="1072"/>
        <w:spacing w:after="0" w:line="265" w:lineRule="auto"/>
        <w:tabs>
          <w:tab w:leader="none" w:pos="1791"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Borrower shall fail to pay (i) any principal of any Loan at maturity, (ii) any interest, Facility Fee or any Reimbursement Obligation hereunder or any fee owing pursuant to the L/C Fee Letter or any Brazilian Bank Certificate for a period of five Business Days after receipt of notice of such failure by such Borrower and the Company from the Administrative Agent and, in connection with payments in respect of the Brazilian Facility, the Brazilian Administrative Agent or (iii) any other amount due and payable under any Loan Document for 30 days after receipt of notice of such failure by such Borrower and the Company from the Administrative Agent and, in connection with payments in respect of the Brazilian Facility, the Brazilian Administrative Agent (other than, in the case of amounts in this clause (iii), any such amount being disputed by the Company in good faith); or</w:t>
      </w:r>
    </w:p>
    <w:p>
      <w:pPr>
        <w:spacing w:after="0" w:line="177" w:lineRule="exact"/>
        <w:rPr>
          <w:rFonts w:ascii="Arial" w:cs="Arial" w:eastAsia="Arial" w:hAnsi="Arial"/>
          <w:sz w:val="17"/>
          <w:szCs w:val="17"/>
          <w:color w:val="auto"/>
        </w:rPr>
      </w:pPr>
    </w:p>
    <w:p>
      <w:pPr>
        <w:ind w:right="180" w:firstLine="1072"/>
        <w:spacing w:after="0" w:line="326" w:lineRule="auto"/>
        <w:tabs>
          <w:tab w:leader="none" w:pos="1801"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31" w:lineRule="exact"/>
        <w:rPr>
          <w:rFonts w:ascii="Arial" w:cs="Arial" w:eastAsia="Arial" w:hAnsi="Arial"/>
          <w:sz w:val="16"/>
          <w:szCs w:val="16"/>
          <w:color w:val="auto"/>
        </w:rPr>
      </w:pPr>
    </w:p>
    <w:p>
      <w:pPr>
        <w:ind w:right="40" w:firstLine="1072"/>
        <w:spacing w:after="0" w:line="326" w:lineRule="auto"/>
        <w:tabs>
          <w:tab w:leader="none" w:pos="1791"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Loan Party or any Principal Domestic Subsidiary shall default in the observance or performance of (i) its agreements in Section 7.2 for a period of 20 consecutive days, or (ii) any other agreement contained in this Agreement (limited with respect to any Subsidiary Borrower, to</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40"/>
          </w:cols>
          <w:pgMar w:left="220" w:top="721" w:right="239" w:bottom="1440" w:gutter="0" w:footer="0" w:header="0"/>
        </w:sectPr>
      </w:pPr>
    </w:p>
    <w:bookmarkStart w:id="92" w:name="page93"/>
    <w:bookmarkEnd w:id="92"/>
    <w:p>
      <w:pPr>
        <w:ind w:right="280"/>
        <w:spacing w:after="0" w:line="263" w:lineRule="auto"/>
        <w:rPr>
          <w:sz w:val="20"/>
          <w:szCs w:val="20"/>
          <w:color w:val="auto"/>
        </w:rPr>
      </w:pPr>
      <w:r>
        <w:rPr>
          <w:rFonts w:ascii="Arial" w:cs="Arial" w:eastAsia="Arial" w:hAnsi="Arial"/>
          <w:sz w:val="18"/>
          <w:szCs w:val="18"/>
          <w:color w:val="auto"/>
        </w:rPr>
        <w:t xml:space="preserve">Section 7.7 and 7.8) or in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78" w:lineRule="exact"/>
        <w:rPr>
          <w:sz w:val="20"/>
          <w:szCs w:val="20"/>
          <w:color w:val="auto"/>
        </w:rPr>
      </w:pPr>
    </w:p>
    <w:p>
      <w:pPr>
        <w:ind w:firstLine="1072"/>
        <w:spacing w:after="0" w:line="247" w:lineRule="auto"/>
        <w:tabs>
          <w:tab w:leader="none" w:pos="18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92" w:lineRule="exact"/>
        <w:rPr>
          <w:rFonts w:ascii="Arial" w:cs="Arial" w:eastAsia="Arial" w:hAnsi="Arial"/>
          <w:sz w:val="18"/>
          <w:szCs w:val="18"/>
          <w:color w:val="auto"/>
        </w:rPr>
      </w:pPr>
    </w:p>
    <w:p>
      <w:pPr>
        <w:ind w:left="1800" w:hanging="728"/>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13" w:lineRule="exact"/>
        <w:rPr>
          <w:rFonts w:ascii="Arial" w:cs="Arial" w:eastAsia="Arial" w:hAnsi="Arial"/>
          <w:sz w:val="18"/>
          <w:szCs w:val="18"/>
          <w:color w:val="auto"/>
        </w:rPr>
      </w:pPr>
    </w:p>
    <w:p>
      <w:pPr>
        <w:ind w:right="20" w:firstLine="1072"/>
        <w:spacing w:after="0" w:line="264" w:lineRule="auto"/>
        <w:tabs>
          <w:tab w:leader="none" w:pos="1772" w:val="left"/>
        </w:tabs>
        <w:numPr>
          <w:ilvl w:val="0"/>
          <w:numId w:val="91"/>
        </w:numPr>
        <w:rPr>
          <w:rFonts w:ascii="Arial" w:cs="Arial" w:eastAsia="Arial" w:hAnsi="Arial"/>
          <w:sz w:val="17"/>
          <w:szCs w:val="17"/>
          <w:color w:val="auto"/>
        </w:rPr>
      </w:pPr>
      <w:r>
        <w:rPr>
          <w:rFonts w:ascii="Arial" w:cs="Arial" w:eastAsia="Arial" w:hAnsi="Arial"/>
          <w:sz w:val="17"/>
          <w:szCs w:val="17"/>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78" w:lineRule="exact"/>
        <w:rPr>
          <w:rFonts w:ascii="Arial" w:cs="Arial" w:eastAsia="Arial" w:hAnsi="Arial"/>
          <w:sz w:val="17"/>
          <w:szCs w:val="17"/>
          <w:color w:val="auto"/>
        </w:rPr>
      </w:pPr>
    </w:p>
    <w:p>
      <w:pPr>
        <w:ind w:left="1800" w:hanging="728"/>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213" w:lineRule="exact"/>
        <w:rPr>
          <w:rFonts w:ascii="Arial" w:cs="Arial" w:eastAsia="Arial" w:hAnsi="Arial"/>
          <w:sz w:val="18"/>
          <w:szCs w:val="18"/>
          <w:color w:val="auto"/>
        </w:rPr>
      </w:pPr>
    </w:p>
    <w:p>
      <w:pPr>
        <w:ind w:right="360" w:firstLine="1072"/>
        <w:spacing w:after="0" w:line="250" w:lineRule="auto"/>
        <w:tabs>
          <w:tab w:leader="none" w:pos="18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9" w:lineRule="exact"/>
        <w:rPr>
          <w:rFonts w:ascii="Arial" w:cs="Arial" w:eastAsia="Arial" w:hAnsi="Arial"/>
          <w:sz w:val="18"/>
          <w:szCs w:val="18"/>
          <w:color w:val="auto"/>
        </w:rPr>
      </w:pPr>
    </w:p>
    <w:p>
      <w:pPr>
        <w:ind w:left="1780" w:hanging="708"/>
        <w:spacing w:after="0"/>
        <w:tabs>
          <w:tab w:leader="none" w:pos="1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13" w:lineRule="exact"/>
        <w:rPr>
          <w:rFonts w:ascii="Arial" w:cs="Arial" w:eastAsia="Arial" w:hAnsi="Arial"/>
          <w:sz w:val="18"/>
          <w:szCs w:val="18"/>
          <w:color w:val="auto"/>
        </w:rPr>
      </w:pPr>
    </w:p>
    <w:p>
      <w:pPr>
        <w:ind w:right="100" w:firstLine="1072"/>
        <w:spacing w:after="0" w:line="263" w:lineRule="auto"/>
        <w:tabs>
          <w:tab w:leader="none" w:pos="17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77" w:lineRule="exact"/>
        <w:rPr>
          <w:rFonts w:ascii="Arial" w:cs="Arial" w:eastAsia="Arial" w:hAnsi="Arial"/>
          <w:sz w:val="18"/>
          <w:szCs w:val="18"/>
          <w:color w:val="auto"/>
        </w:rPr>
      </w:pPr>
    </w:p>
    <w:p>
      <w:pPr>
        <w:ind w:left="1800" w:hanging="728"/>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1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then, and in any such event, (A) if such event is an Event of Default specified in paragraph (f) above with respect to the Company, automatically the Commitments and Ancillary Commitments shall immediately terminate and the Loans (with accrued interest thereon) and all other amounts owing by any Loan Party to</w:t>
      </w:r>
    </w:p>
    <w:p>
      <w:pPr>
        <w:spacing w:after="0" w:line="347"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40"/>
          </w:cols>
          <w:pgMar w:left="220" w:top="510" w:right="2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6"/>
          <w:szCs w:val="16"/>
          <w:color w:val="auto"/>
        </w:rPr>
        <w:t>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and Ancillary Commitments to be terminated forthwith, whereupon the Commitments and Ancillary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8.1, presentment, demand, protest and all other notices of any kind are hereby expressly waived by the Borrowers.</w:t>
      </w:r>
    </w:p>
    <w:p>
      <w:pPr>
        <w:spacing w:after="0" w:line="200" w:lineRule="exact"/>
        <w:rPr>
          <w:sz w:val="20"/>
          <w:szCs w:val="20"/>
          <w:color w:val="auto"/>
        </w:rPr>
      </w:pPr>
    </w:p>
    <w:p>
      <w:pPr>
        <w:spacing w:after="0" w:line="32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SECTION 9. THE AGENTS</w:t>
      </w:r>
    </w:p>
    <w:p>
      <w:pPr>
        <w:spacing w:after="0" w:line="214" w:lineRule="exact"/>
        <w:rPr>
          <w:sz w:val="20"/>
          <w:szCs w:val="20"/>
          <w:color w:val="auto"/>
        </w:rPr>
      </w:pPr>
    </w:p>
    <w:p>
      <w:pPr>
        <w:ind w:right="20" w:firstLine="1063"/>
        <w:spacing w:after="0" w:line="26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the Administrative Agent and the Brazilian Administrative Agent, as applicable, as the agents of such Lender under this Agreement, the other Loan Documents and (in the case of the Brazilian Administrative Agent) the Brazilian Intercreditor Agreement, and each such Lender irrevocably authorizes the Administrative Agent and the Brazilian Administrative Agent, in such capacities, to take such action on its behalf under the provisions of this Agreement, the other Loan Documents and the Brazilian Intercreditor Agreement and to exercise such powers and perform such duties as are expressly delegated to the Administrative Agent or the Brazilian Administrative Agent, as applicable, by the terms of this Agreement, the other Loan Documents and the Brazilian Intercreditor Agreement, together with such other powers as are reasonably incidental thereto. Notwithstanding any provision to the contrary elsewhere in this Agreement, neither the Administrative Agent nor the Brazilian Administrative Agent shall have any duties or responsibilities, except those expressly set forth herein or in any other Loan Document or the Brazilian Intercreditor Agreement, or any fiduciary relationship with any Lender, and no implied covenants, functions, responsibilities, duties, obligations or liabilities shall be read into this Agreement, any other Loan</w:t>
      </w:r>
    </w:p>
    <w:p>
      <w:pPr>
        <w:spacing w:after="0" w:line="16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60"/>
          </w:cols>
          <w:pgMar w:left="220" w:top="510" w:right="21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Document or the Brazilian Intercreditor Agreement or otherwise exist against the Administrative Agent or the Brazilian Administrative Agent.</w:t>
      </w:r>
    </w:p>
    <w:p>
      <w:pPr>
        <w:spacing w:after="0" w:line="214" w:lineRule="exact"/>
        <w:rPr>
          <w:sz w:val="20"/>
          <w:szCs w:val="20"/>
          <w:color w:val="auto"/>
        </w:rPr>
      </w:pPr>
    </w:p>
    <w:p>
      <w:pPr>
        <w:ind w:right="160" w:firstLine="1063"/>
        <w:spacing w:after="0" w:line="275"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Each Agent may execute any of its duties under this Agreement, the other Loan Documents and the Brazilian Intercreditor Agreement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70" w:lineRule="exact"/>
        <w:rPr>
          <w:sz w:val="20"/>
          <w:szCs w:val="20"/>
          <w:color w:val="auto"/>
        </w:rPr>
      </w:pPr>
    </w:p>
    <w:p>
      <w:pPr>
        <w:ind w:right="20" w:firstLine="1063"/>
        <w:spacing w:after="0" w:line="262"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any other Loan Document or the Brazilian Intercreditor Agreement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any other Loan Document or the Brazilian Intercreditor Agreement or for any failure of any Loan Party a party hereto or thereto to perform its obligations hereunder or thereunder. The Agents shall not be under any obligation to any Lender to ascertain or to inquire as to the observance or performance of any of the agreements contained in, or conditions of, this Agreement, any other Loan Document or the Brazilian Intercreditor Agreement, or to inspect the properties, books or records of any Loan Party.</w:t>
      </w:r>
    </w:p>
    <w:p>
      <w:pPr>
        <w:spacing w:after="0" w:line="181" w:lineRule="exact"/>
        <w:rPr>
          <w:sz w:val="20"/>
          <w:szCs w:val="20"/>
          <w:color w:val="auto"/>
        </w:rPr>
      </w:pPr>
    </w:p>
    <w:p>
      <w:pPr>
        <w:ind w:firstLine="1063"/>
        <w:spacing w:after="0" w:line="260"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Reliance by Administrative Agent and the Brazilian Administrative Agent</w:t>
      </w:r>
      <w:r>
        <w:rPr>
          <w:rFonts w:ascii="Arial" w:cs="Arial" w:eastAsia="Arial" w:hAnsi="Arial"/>
          <w:sz w:val="17"/>
          <w:szCs w:val="17"/>
          <w:color w:val="auto"/>
        </w:rPr>
        <w:t>. Each of the Administrative Agent and the Brazilian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or the Brazilian Administrative Agent, as applicable. The Administrative Agent and the Brazilian Administrative Agent may deem and treat the payee of any Note as the owner thereof for all purposes unless a written notice of assignment, negotiation or transfer thereof shall have been filed with the Administrative Agent. The Administrative Agent and the Brazilian Administrative Agent shall be fully justified in failing or refusing to take any action under this Agreement, any other Loan Document or the Brazilian Intercreditor Agreement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and the Brazilian Administrative Agent shall in all cases be fully protected in acting, or in refraining from acting, under this Agreement, the other Loan Documents and the Brazilian Intercreditor Agreement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38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40"/>
          </w:cols>
          <w:pgMar w:left="220" w:top="510" w:right="239" w:bottom="1440" w:gutter="0" w:footer="0" w:header="0"/>
        </w:sectPr>
      </w:pPr>
    </w:p>
    <w:bookmarkStart w:id="95" w:name="page96"/>
    <w:bookmarkEnd w:id="95"/>
    <w:p>
      <w:pPr>
        <w:ind w:right="140" w:firstLine="1063"/>
        <w:spacing w:after="0" w:line="262"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Neither the Administrative Agent nor the Brazilian Administrative Agent shall be deemed to have knowledge or notice of the occurrence of any Default or Event of Default unless the Administrative Agent or the Brazilian Administrative Agent, as applicable, has received notice from a Lender or the Company referring to this Agreement, describing such Default or Event of Default and stating that such notice is a “notice of default.” In the event that the Administrative Agent or the Brazilian Administrative Agent receives such a notice, the Administrative Agent or the Brazilian Administrative Agent, as applicable, shall give notice thereof to the Lenders as soon as practicable thereafter. The Administrative Agent and the Brazilian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and until the Administrative Agent or the Brazilian Administrative Agent, as applicable, shall have received such directions, each of the Administrative Agent and the Brazilian Administrative Agent may (but shall not be obligated to) take such action, or refrain from taking such action, with respect to such Default or Event of Default as it shall deem advisable in the best interests of the Lenders.</w:t>
      </w:r>
    </w:p>
    <w:p>
      <w:pPr>
        <w:spacing w:after="0" w:line="181" w:lineRule="exact"/>
        <w:rPr>
          <w:sz w:val="20"/>
          <w:szCs w:val="20"/>
          <w:color w:val="auto"/>
        </w:rPr>
      </w:pPr>
    </w:p>
    <w:p>
      <w:pPr>
        <w:ind w:firstLine="1063"/>
        <w:spacing w:after="0" w:line="27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none of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the other Loan Documents and the Brazilian Intercreditor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Brazilian Administrative Agent, as applicable, hereunder, neither the Administrative Agent nor the Brazilian Administrative Agent shall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the Brazilian Administrative Agent or any of their respective officers, directors, employees, agents, attorneys-in-fact or affiliates.</w:t>
      </w:r>
    </w:p>
    <w:p>
      <w:pPr>
        <w:spacing w:after="0" w:line="170" w:lineRule="exact"/>
        <w:rPr>
          <w:sz w:val="20"/>
          <w:szCs w:val="20"/>
          <w:color w:val="auto"/>
        </w:rPr>
      </w:pPr>
    </w:p>
    <w:p>
      <w:pPr>
        <w:ind w:right="20" w:firstLine="1063"/>
        <w:spacing w:after="0" w:line="284"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Lenders agree to indemnify each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40"/>
          </w:cols>
          <w:pgMar w:left="220" w:top="510" w:right="239" w:bottom="1440" w:gutter="0" w:footer="0" w:header="0"/>
        </w:sectPr>
      </w:pPr>
    </w:p>
    <w:bookmarkStart w:id="96" w:name="page97"/>
    <w:bookmarkEnd w:id="96"/>
    <w:p>
      <w:pPr>
        <w:ind w:right="80"/>
        <w:spacing w:after="0" w:line="247" w:lineRule="auto"/>
        <w:rPr>
          <w:sz w:val="20"/>
          <w:szCs w:val="20"/>
          <w:color w:val="auto"/>
        </w:rPr>
      </w:pPr>
      <w:r>
        <w:rPr>
          <w:rFonts w:ascii="Arial" w:cs="Arial" w:eastAsia="Arial" w:hAnsi="Arial"/>
          <w:sz w:val="18"/>
          <w:szCs w:val="18"/>
          <w:color w:val="auto"/>
        </w:rPr>
        <w:t xml:space="preserve">relating to or arising out of, the Commitments, this Agreement, any of the other Loan Documents, the Brazilian Intercreditor Agreement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95" w:lineRule="exact"/>
        <w:rPr>
          <w:sz w:val="20"/>
          <w:szCs w:val="20"/>
          <w:color w:val="auto"/>
        </w:rPr>
      </w:pPr>
    </w:p>
    <w:p>
      <w:pPr>
        <w:jc w:val="both"/>
        <w:ind w:right="220" w:firstLine="1063"/>
        <w:spacing w:after="0" w:line="248"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Loans made or renewed by it, any Letter of Credit issued or participated in by it and any other extension of credit made by it hereunder, each Agent shall have the same rights and powers under this Agreement, the other Loan Documents and the Brazilian Intercreditor Agreement as any Lender and may exercise the same as though it were not an Agent, and the terms “Lender” and “Lenders” shall include each Agent in its individual capacity.</w:t>
      </w:r>
    </w:p>
    <w:p>
      <w:pPr>
        <w:spacing w:after="0" w:line="193"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8.1(a) or Section 8.1(f)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8.1(a) or Section 8.1(f)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390" w:lineRule="exact"/>
        <w:rPr>
          <w:sz w:val="20"/>
          <w:szCs w:val="20"/>
          <w:color w:val="auto"/>
        </w:rPr>
      </w:pPr>
    </w:p>
    <w:p>
      <w:pPr>
        <w:ind w:right="140" w:firstLine="1063"/>
        <w:spacing w:after="0" w:line="283"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Replacement of Brazilian Administrative Agent</w:t>
      </w:r>
      <w:r>
        <w:rPr>
          <w:rFonts w:ascii="Arial" w:cs="Arial" w:eastAsia="Arial" w:hAnsi="Arial"/>
          <w:sz w:val="16"/>
          <w:szCs w:val="16"/>
          <w:color w:val="auto"/>
        </w:rPr>
        <w:t xml:space="preserve">. The Company may replace the Brazilian Administrative Agent, upon 30 days’ written notice to the Brazilian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any proposed successor agent shall require the consent of (x) the Administrative Agent and</w:t>
      </w:r>
    </w:p>
    <w:p>
      <w:pPr>
        <w:ind w:right="180" w:firstLine="9"/>
        <w:spacing w:after="0" w:line="308" w:lineRule="auto"/>
        <w:tabs>
          <w:tab w:leader="none" w:pos="251"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Brazilian Lenders (or, if there are more than two Brazilian Lenders at such time, the Majority Facility Lenders under the Brazilian Facility), whereupon such successor agent shall succeed to the rights, powers and duties of the Brazilian Administrative Agent, and the term “Brazilian Administrative Agent”</w:t>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40"/>
          </w:cols>
          <w:pgMar w:left="220" w:top="510" w:right="239" w:bottom="1440" w:gutter="0" w:footer="0" w:header="0"/>
        </w:sectPr>
      </w:pPr>
    </w:p>
    <w:bookmarkStart w:id="97" w:name="page98"/>
    <w:bookmarkEnd w:id="97"/>
    <w:p>
      <w:pPr>
        <w:ind w:right="20"/>
        <w:spacing w:after="0" w:line="264" w:lineRule="auto"/>
        <w:rPr>
          <w:sz w:val="20"/>
          <w:szCs w:val="20"/>
          <w:color w:val="auto"/>
        </w:rPr>
      </w:pPr>
      <w:r>
        <w:rPr>
          <w:rFonts w:ascii="Arial" w:cs="Arial" w:eastAsia="Arial" w:hAnsi="Arial"/>
          <w:sz w:val="17"/>
          <w:szCs w:val="17"/>
          <w:color w:val="auto"/>
        </w:rPr>
        <w:t>shall mean such successor agent effective upon such appointment and approval, and the former Brazilian Administrative Agent’s rights, powers and duties as Brazilian Administrative Agent shall be terminated, without any other or further act or deed on the part of such former Brazilian Administrative Agent or any of the parties to this Agreement or any holders of the Loans. Upon such replacement, such successor Brazilian Administrative Agent shall thereupon succeed to and become vested with all the rights, powers, privileges and duties of the retiring Brazilian Administrative Agent, and the replaced Brazilian Administrative Agent shall be discharged from its duties and obligations under this Agreement. After any retiring Brazilian Administrative Agent’s resignation as Brazilian Administrative Agent, the provisions of this Section 9 shall inure to its benefit as to any actions taken or omitted to be taken by it while it was Brazilian Administrative Agent under this Agreement and the other Loan Documents.</w:t>
      </w:r>
    </w:p>
    <w:p>
      <w:pPr>
        <w:spacing w:after="0" w:line="178" w:lineRule="exact"/>
        <w:rPr>
          <w:sz w:val="20"/>
          <w:szCs w:val="20"/>
          <w:color w:val="auto"/>
        </w:rPr>
      </w:pPr>
    </w:p>
    <w:p>
      <w:pPr>
        <w:ind w:right="60" w:firstLine="1063"/>
        <w:spacing w:after="0" w:line="24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Bookrunners, Lead Arrangers, Global and Regional Coordinators, Documentation Agents,Syndication Agent and Co-Syndication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8"/>
          <w:szCs w:val="18"/>
          <w:u w:val="single" w:color="auto"/>
          <w:color w:val="auto"/>
        </w:rPr>
        <w:t>Arrangers</w:t>
      </w:r>
      <w:r>
        <w:rPr>
          <w:rFonts w:ascii="Arial" w:cs="Arial" w:eastAsia="Arial" w:hAnsi="Arial"/>
          <w:sz w:val="18"/>
          <w:szCs w:val="18"/>
          <w:color w:val="auto"/>
        </w:rPr>
        <w:t>”) shall have any duties or responsibilities under this Agreement, the other Loan Documents or the Brazilian Intercreditor Agreement in their respective capacities as such, nor shall the consent of any such Person, in its capacity as such, be required for any amendment, modification or supplement to this Agreement, any other Loan Document or the Brazilian Intercreditor Agreement.</w:t>
      </w:r>
    </w:p>
    <w:p>
      <w:pPr>
        <w:spacing w:after="0" w:line="19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SECTION 10. MISCELLANEOUS</w:t>
      </w:r>
    </w:p>
    <w:p>
      <w:pPr>
        <w:spacing w:after="0" w:line="214" w:lineRule="exact"/>
        <w:rPr>
          <w:sz w:val="20"/>
          <w:szCs w:val="20"/>
          <w:color w:val="auto"/>
        </w:rPr>
      </w:pPr>
    </w:p>
    <w:p>
      <w:pPr>
        <w:ind w:firstLine="1063"/>
        <w:spacing w:after="0" w:line="27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L/C Fee Letter, the Brazilian Intercreditor Agreement and the Brazilian Bank Certificates shall be amended, modified, or supplemented in accordance with their individual terms and shall not be subject to the provisions of this Section 10.1 and (ii) any update or revision to any annex or schedule to any Loan Document (other than any amendment or modification to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Agents,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w:t>
      </w:r>
    </w:p>
    <w:p>
      <w:pPr>
        <w:spacing w:after="0" w:line="173" w:lineRule="exact"/>
        <w:rPr>
          <w:sz w:val="20"/>
          <w:szCs w:val="20"/>
          <w:color w:val="auto"/>
        </w:rPr>
      </w:pPr>
    </w:p>
    <w:p>
      <w:pPr>
        <w:ind w:left="1080" w:right="220" w:firstLine="523"/>
        <w:spacing w:after="0" w:line="253" w:lineRule="auto"/>
        <w:tabs>
          <w:tab w:leader="none" w:pos="2389"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60"/>
          </w:cols>
          <w:pgMar w:left="220" w:top="510" w:right="219" w:bottom="1440" w:gutter="0" w:footer="0" w:header="0"/>
        </w:sectPr>
      </w:pPr>
    </w:p>
    <w:bookmarkStart w:id="98" w:name="page99"/>
    <w:bookmarkEnd w:id="98"/>
    <w:p>
      <w:pPr>
        <w:ind w:left="1080" w:right="120"/>
        <w:spacing w:after="0" w:line="253" w:lineRule="auto"/>
        <w:rPr>
          <w:sz w:val="20"/>
          <w:szCs w:val="20"/>
          <w:color w:val="auto"/>
        </w:rPr>
      </w:pPr>
      <w:r>
        <w:rPr>
          <w:rFonts w:ascii="Arial" w:cs="Arial" w:eastAsia="Arial" w:hAnsi="Arial"/>
          <w:sz w:val="18"/>
          <w:szCs w:val="18"/>
          <w:color w:val="auto"/>
        </w:rPr>
        <w:t>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187" w:lineRule="exact"/>
        <w:rPr>
          <w:sz w:val="20"/>
          <w:szCs w:val="20"/>
          <w:color w:val="auto"/>
        </w:rPr>
      </w:pPr>
    </w:p>
    <w:p>
      <w:pPr>
        <w:ind w:left="2380" w:hanging="777"/>
        <w:spacing w:after="0"/>
        <w:tabs>
          <w:tab w:leader="none" w:pos="2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eliminate or reduce the voting rights of any Lender under this Section 10.1 without the written consent of such Lender;</w:t>
      </w:r>
    </w:p>
    <w:p>
      <w:pPr>
        <w:spacing w:after="0" w:line="225" w:lineRule="exact"/>
        <w:rPr>
          <w:rFonts w:ascii="Arial" w:cs="Arial" w:eastAsia="Arial" w:hAnsi="Arial"/>
          <w:sz w:val="17"/>
          <w:szCs w:val="17"/>
          <w:color w:val="auto"/>
        </w:rPr>
      </w:pPr>
    </w:p>
    <w:p>
      <w:pPr>
        <w:ind w:left="1080" w:right="60" w:firstLine="523"/>
        <w:spacing w:after="0" w:line="344" w:lineRule="auto"/>
        <w:tabs>
          <w:tab w:leader="none" w:pos="2379"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129" w:lineRule="exact"/>
        <w:rPr>
          <w:rFonts w:ascii="Arial" w:cs="Arial" w:eastAsia="Arial" w:hAnsi="Arial"/>
          <w:sz w:val="14"/>
          <w:szCs w:val="14"/>
          <w:color w:val="auto"/>
        </w:rPr>
      </w:pPr>
    </w:p>
    <w:p>
      <w:pPr>
        <w:ind w:left="2380" w:hanging="777"/>
        <w:spacing w:after="0"/>
        <w:tabs>
          <w:tab w:leader="none" w:pos="2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213" w:lineRule="exact"/>
        <w:rPr>
          <w:rFonts w:ascii="Arial" w:cs="Arial" w:eastAsia="Arial" w:hAnsi="Arial"/>
          <w:sz w:val="18"/>
          <w:szCs w:val="18"/>
          <w:color w:val="auto"/>
        </w:rPr>
      </w:pPr>
    </w:p>
    <w:p>
      <w:pPr>
        <w:ind w:left="1080" w:right="260" w:firstLine="523"/>
        <w:spacing w:after="0" w:line="263" w:lineRule="auto"/>
        <w:tabs>
          <w:tab w:leader="none" w:pos="2369"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Majority Facility Lenders with respect to any Facility without the written consent of all Lenders under such Facility;</w:t>
      </w:r>
    </w:p>
    <w:p>
      <w:pPr>
        <w:spacing w:after="0" w:line="177" w:lineRule="exact"/>
        <w:rPr>
          <w:rFonts w:ascii="Arial" w:cs="Arial" w:eastAsia="Arial" w:hAnsi="Arial"/>
          <w:sz w:val="18"/>
          <w:szCs w:val="18"/>
          <w:color w:val="auto"/>
        </w:rPr>
      </w:pPr>
    </w:p>
    <w:p>
      <w:pPr>
        <w:ind w:left="1080" w:right="40" w:firstLine="523"/>
        <w:spacing w:after="0" w:line="326" w:lineRule="auto"/>
        <w:tabs>
          <w:tab w:leader="none" w:pos="23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amend, modify or waive any provision of Section 9 in a manner adverse to (i) the Administrative Agent without the written consent of the Administrative Agent or (ii) the Brazilian Administrative Agent without the written consent of the Brazilian Administrative Agent;</w:t>
      </w:r>
    </w:p>
    <w:p>
      <w:pPr>
        <w:spacing w:after="0" w:line="131" w:lineRule="exact"/>
        <w:rPr>
          <w:rFonts w:ascii="Arial" w:cs="Arial" w:eastAsia="Arial" w:hAnsi="Arial"/>
          <w:sz w:val="16"/>
          <w:szCs w:val="16"/>
          <w:color w:val="auto"/>
        </w:rPr>
      </w:pPr>
    </w:p>
    <w:p>
      <w:pPr>
        <w:ind w:left="2380" w:hanging="777"/>
        <w:spacing w:after="0"/>
        <w:tabs>
          <w:tab w:leader="none" w:pos="2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1080" w:right="280" w:firstLine="523"/>
        <w:spacing w:after="0" w:line="263" w:lineRule="auto"/>
        <w:tabs>
          <w:tab w:leader="none" w:pos="2389"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amend, modify or waive any provision of Section 3 in a manner adverse to an Issuing Lender without the written consent of such Issuing Lender;</w:t>
      </w:r>
    </w:p>
    <w:p>
      <w:pPr>
        <w:spacing w:after="0" w:line="177" w:lineRule="exact"/>
        <w:rPr>
          <w:rFonts w:ascii="Arial" w:cs="Arial" w:eastAsia="Arial" w:hAnsi="Arial"/>
          <w:sz w:val="18"/>
          <w:szCs w:val="18"/>
          <w:color w:val="auto"/>
        </w:rPr>
      </w:pPr>
    </w:p>
    <w:p>
      <w:pPr>
        <w:ind w:left="2320" w:hanging="717"/>
        <w:spacing w:after="0"/>
        <w:tabs>
          <w:tab w:leader="none" w:pos="2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2320" w:hanging="717"/>
        <w:spacing w:after="0"/>
        <w:tabs>
          <w:tab w:leader="none" w:pos="23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amend, modify or waive any provision of Section 2.22(a) or (b) without the written consent of each Lender adversely affected</w:t>
      </w:r>
    </w:p>
    <w:p>
      <w:pPr>
        <w:spacing w:after="0" w:line="3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thereby;</w:t>
      </w:r>
    </w:p>
    <w:p>
      <w:pPr>
        <w:spacing w:after="0" w:line="200" w:lineRule="exact"/>
        <w:rPr>
          <w:rFonts w:ascii="Arial" w:cs="Arial" w:eastAsia="Arial" w:hAnsi="Arial"/>
          <w:sz w:val="16"/>
          <w:szCs w:val="16"/>
          <w:color w:val="auto"/>
        </w:rPr>
      </w:pPr>
    </w:p>
    <w:p>
      <w:pPr>
        <w:ind w:left="1080" w:right="100" w:firstLine="523"/>
        <w:spacing w:after="0" w:line="263" w:lineRule="auto"/>
        <w:tabs>
          <w:tab w:leader="none" w:pos="2389" w:val="left"/>
        </w:tabs>
        <w:numPr>
          <w:ilvl w:val="0"/>
          <w:numId w:val="94"/>
        </w:numPr>
        <w:rPr>
          <w:rFonts w:ascii="Arial" w:cs="Arial" w:eastAsia="Arial" w:hAnsi="Arial"/>
          <w:sz w:val="18"/>
          <w:szCs w:val="18"/>
          <w:color w:val="auto"/>
        </w:rPr>
      </w:pPr>
      <w:r>
        <w:rPr>
          <w:rFonts w:ascii="Arial" w:cs="Arial" w:eastAsia="Arial" w:hAnsi="Arial"/>
          <w:sz w:val="18"/>
          <w:szCs w:val="18"/>
          <w:color w:val="auto"/>
        </w:rPr>
        <w:t>affect the rights or duties of any Ancillary Lender, in a manner adverse to such Ancillary Lender, in its capacity as such, under this Agreement or any other Loan Document without the written consent of such Ancillary Lender; or</w:t>
      </w:r>
    </w:p>
    <w:p>
      <w:pPr>
        <w:spacing w:after="0" w:line="177" w:lineRule="exact"/>
        <w:rPr>
          <w:rFonts w:ascii="Arial" w:cs="Arial" w:eastAsia="Arial" w:hAnsi="Arial"/>
          <w:sz w:val="18"/>
          <w:szCs w:val="18"/>
          <w:color w:val="auto"/>
        </w:rPr>
      </w:pPr>
    </w:p>
    <w:p>
      <w:pPr>
        <w:ind w:left="2360" w:hanging="757"/>
        <w:spacing w:after="0"/>
        <w:tabs>
          <w:tab w:leader="none" w:pos="23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add additional available currencies to any Facility without the written consent of each Lender directly affected thereby.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Issuing Lenders, the Administrative Agent, the Brazilian Administrative Agent and all future holders of the Loans. In the case of any waiver, the Loan Parties, the Lenders, the Issuing Lenders, the Administrative Agent and the Brazilian</w:t>
      </w:r>
    </w:p>
    <w:p>
      <w:pPr>
        <w:spacing w:after="0" w:line="347"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40"/>
          </w:cols>
          <w:pgMar w:left="220" w:top="510" w:right="239" w:bottom="1440" w:gutter="0" w:footer="0" w:header="0"/>
        </w:sectPr>
      </w:pPr>
    </w:p>
    <w:bookmarkStart w:id="99" w:name="page100"/>
    <w:bookmarkEnd w:id="99"/>
    <w:p>
      <w:pPr>
        <w:ind w:right="240"/>
        <w:spacing w:after="0" w:line="253" w:lineRule="auto"/>
        <w:rPr>
          <w:sz w:val="20"/>
          <w:szCs w:val="20"/>
          <w:color w:val="auto"/>
        </w:rPr>
      </w:pPr>
      <w:r>
        <w:rPr>
          <w:rFonts w:ascii="Arial" w:cs="Arial" w:eastAsia="Arial" w:hAnsi="Arial"/>
          <w:sz w:val="18"/>
          <w:szCs w:val="18"/>
          <w:color w:val="auto"/>
        </w:rPr>
        <w:t>Administrative Agent shall be restored to their former positions and rights hereunder and under the other Loan Documents and the Brazilian Intercreditor Agreement, and any Default or Event of Default waived shall be deemed to be cured and not continuing; but no such waiver shall extend to any subsequent or other Default or Event of Default, or impair any right consequent thereon.</w:t>
      </w:r>
    </w:p>
    <w:p>
      <w:pPr>
        <w:spacing w:after="0" w:line="154" w:lineRule="exact"/>
        <w:rPr>
          <w:sz w:val="20"/>
          <w:szCs w:val="20"/>
          <w:color w:val="auto"/>
        </w:rPr>
      </w:pPr>
    </w:p>
    <w:p>
      <w:pPr>
        <w:ind w:firstLine="1072"/>
        <w:spacing w:after="0" w:line="280" w:lineRule="auto"/>
        <w:tabs>
          <w:tab w:leader="none" w:pos="1801"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Notwithstanding the foregoing paragraph (a), without the consent of the Required Lenders or any Issuing Lender, but subject to any consent required by paragraphs (A) through (J) above, (i) the terms of any Facility may be amended, modified or waived in any manner that does not adversely affect the rights or obligations of Lenders under any other Facility with the written consent of the Majority Facility Lenders in respect of such Facility and (ii)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 (A) cure any ambiguity, omission, defect or inconsistency, (B) permit additional affiliates of the Company or other Persons to guarantee the Obligations or (C) release any Subsidiary Guarantor or other guarantor that is required or permitted to be released by the terms of any Loan Document and to release any such Subsidiary Guarantor that was or becomes an Excluded Subsidiary.</w:t>
      </w:r>
    </w:p>
    <w:p>
      <w:pPr>
        <w:spacing w:after="0" w:line="172" w:lineRule="exact"/>
        <w:rPr>
          <w:rFonts w:ascii="Arial" w:cs="Arial" w:eastAsia="Arial" w:hAnsi="Arial"/>
          <w:sz w:val="16"/>
          <w:szCs w:val="16"/>
          <w:color w:val="auto"/>
        </w:rPr>
      </w:pPr>
    </w:p>
    <w:p>
      <w:pPr>
        <w:ind w:right="80" w:firstLine="1072"/>
        <w:spacing w:after="0" w:line="247" w:lineRule="auto"/>
        <w:tabs>
          <w:tab w:leader="none" w:pos="1791"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the avoidance of doubt it is understood that (i) any transaction permitted by Sections 2.14, 2.30, 2.31, 2.32 and 2.33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94" w:lineRule="exact"/>
        <w:rPr>
          <w:rFonts w:ascii="Arial" w:cs="Arial" w:eastAsia="Arial" w:hAnsi="Arial"/>
          <w:sz w:val="18"/>
          <w:szCs w:val="18"/>
          <w:color w:val="auto"/>
        </w:rPr>
      </w:pPr>
    </w:p>
    <w:p>
      <w:pPr>
        <w:ind w:right="140" w:firstLine="1072"/>
        <w:spacing w:after="0" w:line="263" w:lineRule="auto"/>
        <w:tabs>
          <w:tab w:leader="none" w:pos="18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78" w:lineRule="exact"/>
        <w:rPr>
          <w:sz w:val="20"/>
          <w:szCs w:val="20"/>
          <w:color w:val="auto"/>
        </w:rPr>
      </w:pPr>
    </w:p>
    <w:p>
      <w:pPr>
        <w:ind w:right="40" w:firstLine="1072"/>
        <w:spacing w:after="0" w:line="279" w:lineRule="auto"/>
        <w:tabs>
          <w:tab w:leader="none" w:pos="1762"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designate (w) any Domestic Subsidiary of the Company as a Domestic Subsidiary Borrower, (x) any Foreign Subsidiary organized or domiciled under the laws of the United Kingdom, Sweden, Canada, Germany or any other foreign jurisdiction, in each case with the consent of each Lender under either the Multicurrency Facility or the L/C Tranche Facility, as applicable (provided that no such Lender may withhold such consent unless it is unable to make extensions of credit or provide Commitments to such Foreign Subsidiary pursuant to any Requirement of Law) and the Administrative Agent (not to be unreasonably withheld), as a Foreign Subsidiary Borrower under the Multicurrency Facility and/or the L/C Tranche Facility, (y) with the consent of the Brazilian Lenders, any Brazilian Subsidiary as a Brazilian Subsidiary Borrower under the Brazilian Facility and (z) any other Foreign Subsidiary of the Company as a Foreign Subsidiary Borrower under a New Local Facility or any Incremental Facility upon (A) ten Business Days’ prior notice to the Administrative Agent (and, in the case of any additional Brazilian Subsidiary Borrower, the Brazilian Administrative Agent) (such notice to contain the name, primary business address and taxpayer identification number of such Subsidiary), (B) the execution and delivery by the Company, such Subsidiary and the Administrative Agent (and, in the case of any additional Brazilian Subsidiary Borrower, the Brazilian Administrative Agent) of a Borrower Joinder Agreement, providing for such Subsidiary to become a Subsidiary Borrower, (C)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60"/>
          </w:cols>
          <w:pgMar w:left="220" w:top="510" w:right="219" w:bottom="1440" w:gutter="0" w:footer="0" w:header="0"/>
        </w:sectPr>
      </w:pPr>
    </w:p>
    <w:bookmarkStart w:id="100" w:name="page101"/>
    <w:bookmarkEnd w:id="100"/>
    <w:p>
      <w:pPr>
        <w:spacing w:after="0" w:line="264" w:lineRule="auto"/>
        <w:rPr>
          <w:sz w:val="20"/>
          <w:szCs w:val="20"/>
          <w:color w:val="auto"/>
        </w:rPr>
      </w:pPr>
      <w:r>
        <w:rPr>
          <w:rFonts w:ascii="Arial" w:cs="Arial" w:eastAsia="Arial" w:hAnsi="Arial"/>
          <w:sz w:val="17"/>
          <w:szCs w:val="17"/>
          <w:color w:val="auto"/>
        </w:rPr>
        <w:t>and acknowledgment by the Company and, during any Reinstated Guarantee Period, each Subsidiary Guarantor, that the Guarantee covers the Obligations of such Subsidiary, (D) the delivery to the Administrative Agent (and, in the case of any new Brazilian Subsidiary Borrower, the Brazilian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(and, in the case of any new Brazilian Subsidiary Borrower, the Brazilian Administrative Agent) of any documentation or other information reasonably requested by the Administrative Agent (or the Brazilian Administrative Agent, as applicable) and necessary to satisfy obligations of the Lenders described in Section 10.18 or any applicable “know your customer” or other anti-money laundering Requirement of Law; and</w:t>
      </w:r>
    </w:p>
    <w:p>
      <w:pPr>
        <w:spacing w:after="0" w:line="178" w:lineRule="exact"/>
        <w:rPr>
          <w:sz w:val="20"/>
          <w:szCs w:val="20"/>
          <w:color w:val="auto"/>
        </w:rPr>
      </w:pPr>
    </w:p>
    <w:p>
      <w:pPr>
        <w:ind w:right="20" w:firstLine="1072"/>
        <w:spacing w:after="0" w:line="264" w:lineRule="auto"/>
        <w:tabs>
          <w:tab w:leader="none" w:pos="1811"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78" w:lineRule="exact"/>
        <w:rPr>
          <w:sz w:val="20"/>
          <w:szCs w:val="20"/>
          <w:color w:val="auto"/>
        </w:rPr>
      </w:pPr>
    </w:p>
    <w:p>
      <w:pPr>
        <w:ind w:firstLine="1063"/>
        <w:spacing w:after="0" w:line="265"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Notices</w:t>
      </w:r>
      <w:r>
        <w:rPr>
          <w:rFonts w:ascii="Arial" w:cs="Arial" w:eastAsia="Arial" w:hAnsi="Arial"/>
          <w:sz w:val="17"/>
          <w:szCs w:val="17"/>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the Brazilian Administrative Agent and the Administrative Agent, and as set forth in an administrative questionnaire delivered to the Administrative Agent and the Company in the case of the Lenders and Ancillary Lenders, or to such other address as may be hereafter notified by the respective parties hereto:</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ind w:left="420"/>
              <w:spacing w:after="0"/>
              <w:rPr>
                <w:sz w:val="20"/>
                <w:szCs w:val="20"/>
                <w:color w:val="auto"/>
              </w:rPr>
            </w:pPr>
            <w:r>
              <w:rPr>
                <w:rFonts w:ascii="Arial" w:cs="Arial" w:eastAsia="Arial" w:hAnsi="Arial"/>
                <w:sz w:val="18"/>
                <w:szCs w:val="18"/>
                <w:color w:val="auto"/>
              </w:rPr>
              <w:t>Any Borrower:</w:t>
            </w:r>
          </w:p>
        </w:tc>
        <w:tc>
          <w:tcPr>
            <w:tcW w:w="3340" w:type="dxa"/>
            <w:vAlign w:val="bottom"/>
          </w:tcPr>
          <w:p>
            <w:pPr>
              <w:ind w:left="1380"/>
              <w:spacing w:after="0"/>
              <w:rPr>
                <w:sz w:val="20"/>
                <w:szCs w:val="20"/>
                <w:color w:val="auto"/>
              </w:rPr>
            </w:pPr>
            <w:r>
              <w:rPr>
                <w:rFonts w:ascii="Arial" w:cs="Arial" w:eastAsia="Arial" w:hAnsi="Arial"/>
                <w:sz w:val="18"/>
                <w:szCs w:val="18"/>
                <w:color w:val="auto"/>
                <w:w w:val="94"/>
              </w:rPr>
              <w:t>General Motors Company</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3340" w:type="dxa"/>
            <w:vAlign w:val="bottom"/>
          </w:tcPr>
          <w:p>
            <w:pPr>
              <w:ind w:left="1380"/>
              <w:spacing w:after="0" w:line="200" w:lineRule="exact"/>
              <w:rPr>
                <w:sz w:val="20"/>
                <w:szCs w:val="20"/>
                <w:color w:val="auto"/>
              </w:rPr>
            </w:pPr>
            <w:r>
              <w:rPr>
                <w:rFonts w:ascii="Arial" w:cs="Arial" w:eastAsia="Arial" w:hAnsi="Arial"/>
                <w:sz w:val="18"/>
                <w:szCs w:val="18"/>
                <w:color w:val="auto"/>
              </w:rPr>
              <w:t>Detroit Treasury Office</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3340" w:type="dxa"/>
            <w:vAlign w:val="bottom"/>
          </w:tcPr>
          <w:p>
            <w:pPr>
              <w:ind w:left="1380"/>
              <w:spacing w:after="0" w:line="200" w:lineRule="exact"/>
              <w:rPr>
                <w:sz w:val="20"/>
                <w:szCs w:val="20"/>
                <w:color w:val="auto"/>
              </w:rPr>
            </w:pPr>
            <w:r>
              <w:rPr>
                <w:rFonts w:ascii="Arial" w:cs="Arial" w:eastAsia="Arial" w:hAnsi="Arial"/>
                <w:sz w:val="18"/>
                <w:szCs w:val="18"/>
                <w:color w:val="auto"/>
                <w:w w:val="97"/>
              </w:rPr>
              <w:t>300 Renaissance Center</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3340" w:type="dxa"/>
            <w:vAlign w:val="bottom"/>
          </w:tcPr>
          <w:p>
            <w:pPr>
              <w:ind w:left="1380"/>
              <w:spacing w:after="0" w:line="200" w:lineRule="exact"/>
              <w:rPr>
                <w:sz w:val="20"/>
                <w:szCs w:val="20"/>
                <w:color w:val="auto"/>
              </w:rPr>
            </w:pPr>
            <w:r>
              <w:rPr>
                <w:rFonts w:ascii="Arial" w:cs="Arial" w:eastAsia="Arial" w:hAnsi="Arial"/>
                <w:sz w:val="18"/>
                <w:szCs w:val="18"/>
                <w:color w:val="auto"/>
                <w:w w:val="99"/>
              </w:rPr>
              <w:t>Mail code: 482-C27-B94</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3340" w:type="dxa"/>
            <w:vAlign w:val="bottom"/>
          </w:tcPr>
          <w:p>
            <w:pPr>
              <w:ind w:left="1380"/>
              <w:spacing w:after="0" w:line="200" w:lineRule="exact"/>
              <w:rPr>
                <w:sz w:val="20"/>
                <w:szCs w:val="20"/>
                <w:color w:val="auto"/>
              </w:rPr>
            </w:pPr>
            <w:r>
              <w:rPr>
                <w:rFonts w:ascii="Arial" w:cs="Arial" w:eastAsia="Arial" w:hAnsi="Arial"/>
                <w:sz w:val="18"/>
                <w:szCs w:val="18"/>
                <w:color w:val="auto"/>
              </w:rPr>
              <w:t>Detroit, MI 48265</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3340" w:type="dxa"/>
            <w:vAlign w:val="bottom"/>
          </w:tcPr>
          <w:p>
            <w:pPr>
              <w:ind w:left="1380"/>
              <w:spacing w:after="0" w:line="200" w:lineRule="exact"/>
              <w:rPr>
                <w:sz w:val="20"/>
                <w:szCs w:val="20"/>
                <w:color w:val="auto"/>
              </w:rPr>
            </w:pPr>
            <w:r>
              <w:rPr>
                <w:rFonts w:ascii="Arial" w:cs="Arial" w:eastAsia="Arial" w:hAnsi="Arial"/>
                <w:sz w:val="18"/>
                <w:szCs w:val="18"/>
                <w:color w:val="auto"/>
              </w:rPr>
              <w:t>Attention: Treasurer</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3340" w:type="dxa"/>
            <w:vAlign w:val="bottom"/>
          </w:tcPr>
          <w:p>
            <w:pPr>
              <w:ind w:left="1380"/>
              <w:spacing w:after="0"/>
              <w:rPr>
                <w:sz w:val="20"/>
                <w:szCs w:val="20"/>
                <w:color w:val="auto"/>
              </w:rPr>
            </w:pPr>
            <w:r>
              <w:rPr>
                <w:rFonts w:ascii="Arial" w:cs="Arial" w:eastAsia="Arial" w:hAnsi="Arial"/>
                <w:sz w:val="18"/>
                <w:szCs w:val="18"/>
                <w:color w:val="auto"/>
                <w:w w:val="97"/>
              </w:rPr>
              <w:t>Facsimile: 313-665-9324</w:t>
            </w:r>
          </w:p>
        </w:tc>
        <w:tc>
          <w:tcPr>
            <w:tcW w:w="0" w:type="dxa"/>
            <w:vAlign w:val="bottom"/>
          </w:tcPr>
          <w:p>
            <w:pPr>
              <w:spacing w:after="0"/>
              <w:rPr>
                <w:sz w:val="1"/>
                <w:szCs w:val="1"/>
                <w:color w:val="auto"/>
              </w:rPr>
            </w:pPr>
          </w:p>
        </w:tc>
      </w:tr>
      <w:tr>
        <w:trPr>
          <w:trHeight w:val="319"/>
        </w:trPr>
        <w:tc>
          <w:tcPr>
            <w:tcW w:w="2980" w:type="dxa"/>
            <w:vAlign w:val="bottom"/>
          </w:tcPr>
          <w:p>
            <w:pPr>
              <w:ind w:left="420"/>
              <w:spacing w:after="0"/>
              <w:rPr>
                <w:sz w:val="20"/>
                <w:szCs w:val="20"/>
                <w:color w:val="auto"/>
              </w:rPr>
            </w:pPr>
            <w:r>
              <w:rPr>
                <w:rFonts w:ascii="Arial" w:cs="Arial" w:eastAsia="Arial" w:hAnsi="Arial"/>
                <w:sz w:val="18"/>
                <w:szCs w:val="18"/>
                <w:color w:val="auto"/>
              </w:rPr>
              <w:t>with a copy to:</w:t>
            </w:r>
          </w:p>
        </w:tc>
        <w:tc>
          <w:tcPr>
            <w:tcW w:w="3340" w:type="dxa"/>
            <w:vAlign w:val="bottom"/>
          </w:tcPr>
          <w:p>
            <w:pPr>
              <w:ind w:left="1380"/>
              <w:spacing w:after="0"/>
              <w:rPr>
                <w:sz w:val="20"/>
                <w:szCs w:val="20"/>
                <w:color w:val="auto"/>
              </w:rPr>
            </w:pPr>
            <w:r>
              <w:rPr>
                <w:rFonts w:ascii="Arial" w:cs="Arial" w:eastAsia="Arial" w:hAnsi="Arial"/>
                <w:sz w:val="18"/>
                <w:szCs w:val="18"/>
                <w:color w:val="auto"/>
                <w:w w:val="94"/>
              </w:rPr>
              <w:t>General Motors Company</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3340" w:type="dxa"/>
            <w:vAlign w:val="bottom"/>
          </w:tcPr>
          <w:p>
            <w:pPr>
              <w:ind w:left="1380"/>
              <w:spacing w:after="0" w:line="200" w:lineRule="exact"/>
              <w:rPr>
                <w:sz w:val="20"/>
                <w:szCs w:val="20"/>
                <w:color w:val="auto"/>
              </w:rPr>
            </w:pPr>
            <w:r>
              <w:rPr>
                <w:rFonts w:ascii="Arial" w:cs="Arial" w:eastAsia="Arial" w:hAnsi="Arial"/>
                <w:sz w:val="18"/>
                <w:szCs w:val="18"/>
                <w:color w:val="auto"/>
              </w:rPr>
              <w:t>Detroit Treasury Office</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3340" w:type="dxa"/>
            <w:vAlign w:val="bottom"/>
          </w:tcPr>
          <w:p>
            <w:pPr>
              <w:ind w:left="1380"/>
              <w:spacing w:after="0" w:line="200" w:lineRule="exact"/>
              <w:rPr>
                <w:sz w:val="20"/>
                <w:szCs w:val="20"/>
                <w:color w:val="auto"/>
              </w:rPr>
            </w:pPr>
            <w:r>
              <w:rPr>
                <w:rFonts w:ascii="Arial" w:cs="Arial" w:eastAsia="Arial" w:hAnsi="Arial"/>
                <w:sz w:val="18"/>
                <w:szCs w:val="18"/>
                <w:color w:val="auto"/>
                <w:w w:val="97"/>
              </w:rPr>
              <w:t>300 Renaissance Center</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3340" w:type="dxa"/>
            <w:vAlign w:val="bottom"/>
          </w:tcPr>
          <w:p>
            <w:pPr>
              <w:ind w:left="1380"/>
              <w:spacing w:after="0" w:line="200" w:lineRule="exact"/>
              <w:rPr>
                <w:sz w:val="20"/>
                <w:szCs w:val="20"/>
                <w:color w:val="auto"/>
              </w:rPr>
            </w:pPr>
            <w:r>
              <w:rPr>
                <w:rFonts w:ascii="Arial" w:cs="Arial" w:eastAsia="Arial" w:hAnsi="Arial"/>
                <w:sz w:val="18"/>
                <w:szCs w:val="18"/>
                <w:color w:val="auto"/>
                <w:w w:val="99"/>
              </w:rPr>
              <w:t>Mail code: 482-C26-A81</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3340" w:type="dxa"/>
            <w:vAlign w:val="bottom"/>
          </w:tcPr>
          <w:p>
            <w:pPr>
              <w:ind w:left="1380"/>
              <w:spacing w:after="0" w:line="200" w:lineRule="exact"/>
              <w:rPr>
                <w:sz w:val="20"/>
                <w:szCs w:val="20"/>
                <w:color w:val="auto"/>
              </w:rPr>
            </w:pPr>
            <w:r>
              <w:rPr>
                <w:rFonts w:ascii="Arial" w:cs="Arial" w:eastAsia="Arial" w:hAnsi="Arial"/>
                <w:sz w:val="18"/>
                <w:szCs w:val="18"/>
                <w:color w:val="auto"/>
              </w:rPr>
              <w:t>Detroit, MI 48265</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3340" w:type="dxa"/>
            <w:vAlign w:val="bottom"/>
          </w:tcPr>
          <w:p>
            <w:pPr>
              <w:ind w:left="1380"/>
              <w:spacing w:after="0" w:line="200" w:lineRule="exact"/>
              <w:rPr>
                <w:sz w:val="20"/>
                <w:szCs w:val="20"/>
                <w:color w:val="auto"/>
              </w:rPr>
            </w:pPr>
            <w:r>
              <w:rPr>
                <w:rFonts w:ascii="Arial" w:cs="Arial" w:eastAsia="Arial" w:hAnsi="Arial"/>
                <w:sz w:val="18"/>
                <w:szCs w:val="18"/>
                <w:color w:val="auto"/>
                <w:w w:val="91"/>
              </w:rPr>
              <w:t>Attention: General Director</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3340" w:type="dxa"/>
            <w:vAlign w:val="bottom"/>
          </w:tcPr>
          <w:p>
            <w:pPr>
              <w:ind w:left="1380"/>
              <w:spacing w:after="0"/>
              <w:rPr>
                <w:sz w:val="20"/>
                <w:szCs w:val="20"/>
                <w:color w:val="auto"/>
              </w:rPr>
            </w:pPr>
            <w:r>
              <w:rPr>
                <w:rFonts w:ascii="Arial" w:cs="Arial" w:eastAsia="Arial" w:hAnsi="Arial"/>
                <w:sz w:val="18"/>
                <w:szCs w:val="18"/>
                <w:color w:val="auto"/>
                <w:w w:val="97"/>
              </w:rPr>
              <w:t>Facsimile: 313-665-0735</w:t>
            </w:r>
          </w:p>
        </w:tc>
        <w:tc>
          <w:tcPr>
            <w:tcW w:w="0" w:type="dxa"/>
            <w:vAlign w:val="bottom"/>
          </w:tcPr>
          <w:p>
            <w:pPr>
              <w:spacing w:after="0"/>
              <w:rPr>
                <w:sz w:val="1"/>
                <w:szCs w:val="1"/>
                <w:color w:val="auto"/>
              </w:rPr>
            </w:pPr>
          </w:p>
        </w:tc>
      </w:tr>
      <w:tr>
        <w:trPr>
          <w:trHeight w:val="332"/>
        </w:trPr>
        <w:tc>
          <w:tcPr>
            <w:tcW w:w="2980" w:type="dxa"/>
            <w:vAlign w:val="bottom"/>
          </w:tcPr>
          <w:p>
            <w:pPr>
              <w:spacing w:after="0"/>
              <w:rPr>
                <w:sz w:val="20"/>
                <w:szCs w:val="20"/>
                <w:color w:val="auto"/>
              </w:rPr>
            </w:pPr>
            <w:r>
              <w:rPr>
                <w:rFonts w:ascii="Arial" w:cs="Arial" w:eastAsia="Arial" w:hAnsi="Arial"/>
                <w:sz w:val="10"/>
                <w:szCs w:val="10"/>
                <w:color w:val="auto"/>
              </w:rPr>
              <w:t>509265-1725-14038-Active.16338633</w:t>
            </w:r>
          </w:p>
        </w:tc>
        <w:tc>
          <w:tcPr>
            <w:tcW w:w="3340" w:type="dxa"/>
            <w:vAlign w:val="bottom"/>
            <w:vMerge w:val="restart"/>
          </w:tcPr>
          <w:p>
            <w:pPr>
              <w:ind w:left="26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20" w:top="510" w:right="2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420"/>
              <w:spacing w:after="0"/>
              <w:rPr>
                <w:sz w:val="20"/>
                <w:szCs w:val="20"/>
                <w:color w:val="auto"/>
              </w:rPr>
            </w:pPr>
            <w:r>
              <w:rPr>
                <w:rFonts w:ascii="Arial" w:cs="Arial" w:eastAsia="Arial" w:hAnsi="Arial"/>
                <w:sz w:val="18"/>
                <w:szCs w:val="18"/>
                <w:color w:val="auto"/>
              </w:rPr>
              <w:t>with a further copy to:</w:t>
            </w:r>
          </w:p>
        </w:tc>
        <w:tc>
          <w:tcPr>
            <w:tcW w:w="4560" w:type="dxa"/>
            <w:vAlign w:val="bottom"/>
          </w:tcPr>
          <w:p>
            <w:pPr>
              <w:ind w:left="68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Detroit Treasury Office</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300 Renaissance Center</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Mail code: 482-C26-A81</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Detroit, MI 48265</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Attention: Director, Capital Markets</w:t>
            </w: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Facsimile: 313-665-0735</w:t>
            </w:r>
          </w:p>
        </w:tc>
        <w:tc>
          <w:tcPr>
            <w:tcW w:w="0" w:type="dxa"/>
            <w:vAlign w:val="bottom"/>
          </w:tcPr>
          <w:p>
            <w:pPr>
              <w:spacing w:after="0"/>
              <w:rPr>
                <w:sz w:val="1"/>
                <w:szCs w:val="1"/>
                <w:color w:val="auto"/>
              </w:rPr>
            </w:pPr>
          </w:p>
        </w:tc>
      </w:tr>
      <w:tr>
        <w:trPr>
          <w:trHeight w:val="319"/>
        </w:trPr>
        <w:tc>
          <w:tcPr>
            <w:tcW w:w="3680" w:type="dxa"/>
            <w:vAlign w:val="bottom"/>
          </w:tcPr>
          <w:p>
            <w:pPr>
              <w:ind w:left="420"/>
              <w:spacing w:after="0"/>
              <w:rPr>
                <w:sz w:val="20"/>
                <w:szCs w:val="20"/>
                <w:color w:val="auto"/>
              </w:rPr>
            </w:pPr>
            <w:r>
              <w:rPr>
                <w:rFonts w:ascii="Arial" w:cs="Arial" w:eastAsia="Arial" w:hAnsi="Arial"/>
                <w:sz w:val="18"/>
                <w:szCs w:val="18"/>
                <w:color w:val="auto"/>
              </w:rPr>
              <w:t>with a further copy to:</w:t>
            </w:r>
          </w:p>
        </w:tc>
        <w:tc>
          <w:tcPr>
            <w:tcW w:w="4560" w:type="dxa"/>
            <w:vAlign w:val="bottom"/>
          </w:tcPr>
          <w:p>
            <w:pPr>
              <w:ind w:left="68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Detroit Treasury Office</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300 Renaissance Center</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Mail code: 482-C26-A81</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Detroit, MI 48265</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Attention: Director, Treasury Operations</w:t>
            </w: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Facsimile: 313-665-0735</w:t>
            </w:r>
          </w:p>
        </w:tc>
        <w:tc>
          <w:tcPr>
            <w:tcW w:w="0" w:type="dxa"/>
            <w:vAlign w:val="bottom"/>
          </w:tcPr>
          <w:p>
            <w:pPr>
              <w:spacing w:after="0"/>
              <w:rPr>
                <w:sz w:val="1"/>
                <w:szCs w:val="1"/>
                <w:color w:val="auto"/>
              </w:rPr>
            </w:pPr>
          </w:p>
        </w:tc>
      </w:tr>
      <w:tr>
        <w:trPr>
          <w:trHeight w:val="319"/>
        </w:trPr>
        <w:tc>
          <w:tcPr>
            <w:tcW w:w="3680" w:type="dxa"/>
            <w:vAlign w:val="bottom"/>
          </w:tcPr>
          <w:p>
            <w:pPr>
              <w:ind w:left="420"/>
              <w:spacing w:after="0"/>
              <w:rPr>
                <w:sz w:val="20"/>
                <w:szCs w:val="20"/>
                <w:color w:val="auto"/>
              </w:rPr>
            </w:pPr>
            <w:r>
              <w:rPr>
                <w:rFonts w:ascii="Arial" w:cs="Arial" w:eastAsia="Arial" w:hAnsi="Arial"/>
                <w:sz w:val="18"/>
                <w:szCs w:val="18"/>
                <w:color w:val="auto"/>
              </w:rPr>
              <w:t>with a further copy to:</w:t>
            </w:r>
          </w:p>
        </w:tc>
        <w:tc>
          <w:tcPr>
            <w:tcW w:w="4560" w:type="dxa"/>
            <w:vAlign w:val="bottom"/>
          </w:tcPr>
          <w:p>
            <w:pPr>
              <w:ind w:left="68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Legal Staff</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Mail Code 482-C23-D24</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300 Renaissance Center</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P.O. Box 300</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Detroit, MI 48265-3000</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Attention: Kimberly K. Hudolin, Esq.</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Facsimile: 313-665-4976</w:t>
            </w: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Email: kimberly.k.hudolin@gm.com</w:t>
            </w:r>
          </w:p>
        </w:tc>
        <w:tc>
          <w:tcPr>
            <w:tcW w:w="0" w:type="dxa"/>
            <w:vAlign w:val="bottom"/>
          </w:tcPr>
          <w:p>
            <w:pPr>
              <w:spacing w:after="0"/>
              <w:rPr>
                <w:sz w:val="1"/>
                <w:szCs w:val="1"/>
                <w:color w:val="auto"/>
              </w:rPr>
            </w:pPr>
          </w:p>
        </w:tc>
      </w:tr>
      <w:tr>
        <w:trPr>
          <w:trHeight w:val="319"/>
        </w:trPr>
        <w:tc>
          <w:tcPr>
            <w:tcW w:w="3680" w:type="dxa"/>
            <w:vAlign w:val="bottom"/>
          </w:tcPr>
          <w:p>
            <w:pPr>
              <w:ind w:left="420"/>
              <w:spacing w:after="0"/>
              <w:rPr>
                <w:sz w:val="20"/>
                <w:szCs w:val="20"/>
                <w:color w:val="auto"/>
              </w:rPr>
            </w:pPr>
            <w:r>
              <w:rPr>
                <w:rFonts w:ascii="Arial" w:cs="Arial" w:eastAsia="Arial" w:hAnsi="Arial"/>
                <w:sz w:val="18"/>
                <w:szCs w:val="18"/>
                <w:color w:val="auto"/>
              </w:rPr>
              <w:t>with a further copy to:</w:t>
            </w:r>
          </w:p>
        </w:tc>
        <w:tc>
          <w:tcPr>
            <w:tcW w:w="4560" w:type="dxa"/>
            <w:vAlign w:val="bottom"/>
          </w:tcPr>
          <w:p>
            <w:pPr>
              <w:ind w:left="680"/>
              <w:spacing w:after="0"/>
              <w:rPr>
                <w:sz w:val="20"/>
                <w:szCs w:val="20"/>
                <w:color w:val="auto"/>
              </w:rPr>
            </w:pPr>
            <w:r>
              <w:rPr>
                <w:rFonts w:ascii="Arial" w:cs="Arial" w:eastAsia="Arial" w:hAnsi="Arial"/>
                <w:sz w:val="18"/>
                <w:szCs w:val="18"/>
                <w:color w:val="auto"/>
              </w:rPr>
              <w:t>Weil Gotshal &amp; Manges LLP</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767 Fifth Avenue</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New York, NY 10153</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Attention: Daniel S. Dokos, Esq.</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Facsimile: 212-310-8007</w:t>
            </w: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Email: daniel.dokos@weil.com</w:t>
            </w:r>
          </w:p>
        </w:tc>
        <w:tc>
          <w:tcPr>
            <w:tcW w:w="0" w:type="dxa"/>
            <w:vAlign w:val="bottom"/>
          </w:tcPr>
          <w:p>
            <w:pPr>
              <w:spacing w:after="0"/>
              <w:rPr>
                <w:sz w:val="1"/>
                <w:szCs w:val="1"/>
                <w:color w:val="auto"/>
              </w:rPr>
            </w:pPr>
          </w:p>
        </w:tc>
      </w:tr>
      <w:tr>
        <w:trPr>
          <w:trHeight w:val="319"/>
        </w:trPr>
        <w:tc>
          <w:tcPr>
            <w:tcW w:w="3680" w:type="dxa"/>
            <w:vAlign w:val="bottom"/>
          </w:tcPr>
          <w:p>
            <w:pPr>
              <w:ind w:left="420"/>
              <w:spacing w:after="0"/>
              <w:rPr>
                <w:sz w:val="20"/>
                <w:szCs w:val="20"/>
                <w:color w:val="auto"/>
              </w:rPr>
            </w:pPr>
            <w:r>
              <w:rPr>
                <w:rFonts w:ascii="Arial" w:cs="Arial" w:eastAsia="Arial" w:hAnsi="Arial"/>
                <w:sz w:val="18"/>
                <w:szCs w:val="18"/>
                <w:color w:val="auto"/>
              </w:rPr>
              <w:t>Administrative Agent for all notices:</w:t>
            </w:r>
          </w:p>
        </w:tc>
        <w:tc>
          <w:tcPr>
            <w:tcW w:w="4560" w:type="dxa"/>
            <w:vAlign w:val="bottom"/>
          </w:tcPr>
          <w:p>
            <w:pPr>
              <w:ind w:left="680"/>
              <w:spacing w:after="0"/>
              <w:rPr>
                <w:sz w:val="20"/>
                <w:szCs w:val="20"/>
                <w:color w:val="auto"/>
              </w:rPr>
            </w:pPr>
            <w:r>
              <w:rPr>
                <w:rFonts w:ascii="Arial" w:cs="Arial" w:eastAsia="Arial" w:hAnsi="Arial"/>
                <w:sz w:val="18"/>
                <w:szCs w:val="18"/>
                <w:color w:val="auto"/>
                <w:w w:val="89"/>
              </w:rPr>
              <w:t>JPMorgan Chase Bank, N.A., as Administrative Agent</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w w:val="98"/>
              </w:rPr>
              <w:t>Investment Bank Loan Operations North America</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500 Stanton Christiana Road, Ops 2, Floor 03</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Newark, DE, 19713-2107, United States</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Email: emily.cousineau@jpmorgan.com</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(201) 639-5215 (facsimile)</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302-634-8612 (Tel)</w:t>
            </w: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Attn: Emily Cousineau</w:t>
            </w:r>
          </w:p>
        </w:tc>
        <w:tc>
          <w:tcPr>
            <w:tcW w:w="0" w:type="dxa"/>
            <w:vAlign w:val="bottom"/>
          </w:tcPr>
          <w:p>
            <w:pPr>
              <w:spacing w:after="0"/>
              <w:rPr>
                <w:sz w:val="1"/>
                <w:szCs w:val="1"/>
                <w:color w:val="auto"/>
              </w:rPr>
            </w:pPr>
          </w:p>
        </w:tc>
      </w:tr>
      <w:tr>
        <w:trPr>
          <w:trHeight w:val="319"/>
        </w:trPr>
        <w:tc>
          <w:tcPr>
            <w:tcW w:w="3680" w:type="dxa"/>
            <w:vAlign w:val="bottom"/>
          </w:tcPr>
          <w:p>
            <w:pPr>
              <w:ind w:left="420"/>
              <w:spacing w:after="0"/>
              <w:rPr>
                <w:sz w:val="20"/>
                <w:szCs w:val="20"/>
                <w:color w:val="auto"/>
              </w:rPr>
            </w:pPr>
            <w:r>
              <w:rPr>
                <w:rFonts w:ascii="Arial" w:cs="Arial" w:eastAsia="Arial" w:hAnsi="Arial"/>
                <w:sz w:val="18"/>
                <w:szCs w:val="18"/>
                <w:color w:val="auto"/>
              </w:rPr>
              <w:t>with a copy to:</w:t>
            </w:r>
          </w:p>
        </w:tc>
        <w:tc>
          <w:tcPr>
            <w:tcW w:w="4560" w:type="dxa"/>
            <w:vAlign w:val="bottom"/>
          </w:tcPr>
          <w:p>
            <w:pPr>
              <w:ind w:left="680"/>
              <w:spacing w:after="0"/>
              <w:rPr>
                <w:sz w:val="20"/>
                <w:szCs w:val="20"/>
                <w:color w:val="auto"/>
              </w:rPr>
            </w:pPr>
            <w:r>
              <w:rPr>
                <w:rFonts w:ascii="Arial" w:cs="Arial" w:eastAsia="Arial" w:hAnsi="Arial"/>
                <w:sz w:val="18"/>
                <w:szCs w:val="18"/>
                <w:color w:val="auto"/>
              </w:rPr>
              <w:t>JPMorgan Chase Bank, N.A.</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383 Madison Avenue, Floor 24</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New York, NY, 10179, United States</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Email: RICHARD.DUKER@jpmorgan.com</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Facsimile: 212-270-5100</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560" w:type="dxa"/>
            <w:vAlign w:val="bottom"/>
          </w:tcPr>
          <w:p>
            <w:pPr>
              <w:ind w:left="680"/>
              <w:spacing w:after="0" w:line="200" w:lineRule="exact"/>
              <w:rPr>
                <w:sz w:val="20"/>
                <w:szCs w:val="20"/>
                <w:color w:val="auto"/>
              </w:rPr>
            </w:pPr>
            <w:r>
              <w:rPr>
                <w:rFonts w:ascii="Arial" w:cs="Arial" w:eastAsia="Arial" w:hAnsi="Arial"/>
                <w:sz w:val="18"/>
                <w:szCs w:val="18"/>
                <w:color w:val="auto"/>
              </w:rPr>
              <w:t>Telephone: 212-270-3057</w:t>
            </w: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Attention: Richard W. Duker</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0"/>
                <w:szCs w:val="10"/>
                <w:color w:val="auto"/>
              </w:rPr>
              <w:t>509265-1725-14038-Active.16338633</w:t>
            </w:r>
          </w:p>
        </w:tc>
        <w:tc>
          <w:tcPr>
            <w:tcW w:w="4560" w:type="dxa"/>
            <w:vAlign w:val="bottom"/>
            <w:vMerge w:val="restart"/>
          </w:tcPr>
          <w:p>
            <w:pPr>
              <w:ind w:left="19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24" w:right="1440" w:bottom="1440" w:gutter="0" w:footer="0" w:header="0"/>
        </w:sectPr>
      </w:pPr>
    </w:p>
    <w:bookmarkStart w:id="102" w:name="page103"/>
    <w:bookmarkEnd w:id="102"/>
    <w:p>
      <w:pPr>
        <w:ind w:left="420"/>
        <w:spacing w:after="0"/>
        <w:rPr>
          <w:sz w:val="20"/>
          <w:szCs w:val="20"/>
          <w:color w:val="auto"/>
        </w:rPr>
      </w:pPr>
      <w:r>
        <w:rPr>
          <w:rFonts w:ascii="Arial" w:cs="Arial" w:eastAsia="Arial" w:hAnsi="Arial"/>
          <w:sz w:val="18"/>
          <w:szCs w:val="18"/>
          <w:color w:val="auto"/>
        </w:rPr>
        <w:t>with a further copy (with respect to any notices in connection with the Multicurrency Facility or the LC Tranche Facility)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J.P. Morgan Europe Limited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Loans Agency 6</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6"/>
          <w:szCs w:val="16"/>
          <w:color w:val="auto"/>
        </w:rPr>
        <w:t>25 Bank Street, Canary Wharf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London E14 5JP</w:t>
      </w:r>
    </w:p>
    <w:p>
      <w:pPr>
        <w:spacing w:after="0" w:line="231" w:lineRule="auto"/>
        <w:rPr>
          <w:sz w:val="20"/>
          <w:szCs w:val="20"/>
          <w:color w:val="auto"/>
        </w:rPr>
      </w:pPr>
      <w:r>
        <w:rPr>
          <w:rFonts w:ascii="Arial" w:cs="Arial" w:eastAsia="Arial" w:hAnsi="Arial"/>
          <w:sz w:val="18"/>
          <w:szCs w:val="18"/>
          <w:color w:val="auto"/>
        </w:rPr>
        <w:t>United Kingdom</w:t>
      </w:r>
    </w:p>
    <w:p>
      <w:pPr>
        <w:spacing w:after="0" w:line="231" w:lineRule="auto"/>
        <w:rPr>
          <w:sz w:val="20"/>
          <w:szCs w:val="20"/>
          <w:color w:val="auto"/>
        </w:rPr>
      </w:pPr>
      <w:r>
        <w:rPr>
          <w:rFonts w:ascii="Arial" w:cs="Arial" w:eastAsia="Arial" w:hAnsi="Arial"/>
          <w:sz w:val="18"/>
          <w:szCs w:val="18"/>
          <w:color w:val="auto"/>
        </w:rPr>
        <w:t>Attention: Loans Agency</w:t>
      </w:r>
    </w:p>
    <w:p>
      <w:pPr>
        <w:spacing w:after="0"/>
        <w:rPr>
          <w:sz w:val="20"/>
          <w:szCs w:val="20"/>
          <w:color w:val="auto"/>
        </w:rPr>
      </w:pPr>
      <w:r>
        <w:rPr>
          <w:rFonts w:ascii="Arial" w:cs="Arial" w:eastAsia="Arial" w:hAnsi="Arial"/>
          <w:sz w:val="16"/>
          <w:szCs w:val="16"/>
          <w:color w:val="auto"/>
        </w:rPr>
        <w:t>Facsimile: +44 20 7777 2360</w:t>
      </w:r>
    </w:p>
    <w:p>
      <w:pPr>
        <w:spacing w:after="0" w:line="145" w:lineRule="exact"/>
        <w:rPr>
          <w:sz w:val="20"/>
          <w:szCs w:val="20"/>
          <w:color w:val="auto"/>
        </w:rPr>
      </w:pPr>
    </w:p>
    <w:p>
      <w:pPr>
        <w:sectPr>
          <w:pgSz w:w="11900" w:h="16838" w:orient="portrait"/>
          <w:cols w:equalWidth="0" w:num="2">
            <w:col w:w="4180" w:space="180"/>
            <w:col w:w="7060"/>
          </w:cols>
          <w:pgMar w:left="220" w:top="632" w:right="259" w:bottom="1440" w:gutter="0" w:footer="0" w:header="0"/>
        </w:sectPr>
      </w:pPr>
    </w:p>
    <w:p>
      <w:pPr>
        <w:ind w:left="420"/>
        <w:spacing w:after="0"/>
        <w:rPr>
          <w:sz w:val="20"/>
          <w:szCs w:val="20"/>
          <w:color w:val="auto"/>
        </w:rPr>
      </w:pPr>
      <w:r>
        <w:rPr>
          <w:rFonts w:ascii="Arial" w:cs="Arial" w:eastAsia="Arial" w:hAnsi="Arial"/>
          <w:sz w:val="16"/>
          <w:szCs w:val="16"/>
          <w:color w:val="auto"/>
        </w:rPr>
        <w:t>Brazilian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Banco do Brasil S.A.</w:t>
      </w:r>
    </w:p>
    <w:p>
      <w:pPr>
        <w:spacing w:after="0" w:line="238" w:lineRule="auto"/>
        <w:rPr>
          <w:sz w:val="20"/>
          <w:szCs w:val="20"/>
          <w:color w:val="auto"/>
        </w:rPr>
      </w:pPr>
      <w:r>
        <w:rPr>
          <w:rFonts w:ascii="Arial" w:cs="Arial" w:eastAsia="Arial" w:hAnsi="Arial"/>
          <w:sz w:val="18"/>
          <w:szCs w:val="18"/>
          <w:color w:val="auto"/>
        </w:rPr>
        <w:t>Avenida Paulista, 2300, Conjunto 21</w:t>
      </w:r>
    </w:p>
    <w:p>
      <w:pPr>
        <w:spacing w:after="0" w:line="231" w:lineRule="auto"/>
        <w:rPr>
          <w:sz w:val="20"/>
          <w:szCs w:val="20"/>
          <w:color w:val="auto"/>
        </w:rPr>
      </w:pPr>
      <w:r>
        <w:rPr>
          <w:rFonts w:ascii="Arial" w:cs="Arial" w:eastAsia="Arial" w:hAnsi="Arial"/>
          <w:sz w:val="18"/>
          <w:szCs w:val="18"/>
          <w:color w:val="auto"/>
        </w:rPr>
        <w:t>Bela Vista</w:t>
      </w:r>
    </w:p>
    <w:p>
      <w:pPr>
        <w:spacing w:after="0" w:line="231" w:lineRule="auto"/>
        <w:rPr>
          <w:sz w:val="20"/>
          <w:szCs w:val="20"/>
          <w:color w:val="auto"/>
        </w:rPr>
      </w:pPr>
      <w:r>
        <w:rPr>
          <w:rFonts w:ascii="Arial" w:cs="Arial" w:eastAsia="Arial" w:hAnsi="Arial"/>
          <w:sz w:val="18"/>
          <w:szCs w:val="18"/>
          <w:color w:val="auto"/>
        </w:rPr>
        <w:t>CEP 01310-300</w:t>
      </w:r>
    </w:p>
    <w:p>
      <w:pPr>
        <w:spacing w:after="0" w:line="231" w:lineRule="auto"/>
        <w:rPr>
          <w:sz w:val="20"/>
          <w:szCs w:val="20"/>
          <w:color w:val="auto"/>
        </w:rPr>
      </w:pPr>
      <w:r>
        <w:rPr>
          <w:rFonts w:ascii="Arial" w:cs="Arial" w:eastAsia="Arial" w:hAnsi="Arial"/>
          <w:sz w:val="18"/>
          <w:szCs w:val="18"/>
          <w:color w:val="auto"/>
        </w:rPr>
        <w:t>Sao Paulo - SP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Attention: José Mauricio Affonso Bragança - Global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Facsimile: +55 11 2138-4855</w:t>
      </w:r>
    </w:p>
    <w:p>
      <w:pPr>
        <w:spacing w:after="0" w:line="200" w:lineRule="exact"/>
        <w:rPr>
          <w:sz w:val="20"/>
          <w:szCs w:val="20"/>
          <w:color w:val="auto"/>
        </w:rPr>
      </w:pPr>
    </w:p>
    <w:p>
      <w:pPr>
        <w:sectPr>
          <w:pgSz w:w="11900" w:h="16838" w:orient="portrait"/>
          <w:cols w:equalWidth="0" w:num="2">
            <w:col w:w="3640" w:space="720"/>
            <w:col w:w="7060"/>
          </w:cols>
          <w:pgMar w:left="220" w:top="632" w:right="259" w:bottom="1440" w:gutter="0" w:footer="0" w:header="0"/>
          <w:type w:val="continuous"/>
        </w:sectPr>
      </w:pPr>
    </w:p>
    <w:p>
      <w:pPr>
        <w:spacing w:after="0" w:line="19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Brazilian Administrative Agent or the Lenders pursuant to Section 2.2, 2.4, 2.5, 2.6, 2.12, 2.14, 2.15, 2.17 or 2.33 shall not be effective until received.</w:t>
      </w:r>
    </w:p>
    <w:p>
      <w:pPr>
        <w:spacing w:after="0" w:line="144" w:lineRule="exact"/>
        <w:rPr>
          <w:sz w:val="20"/>
          <w:szCs w:val="20"/>
          <w:color w:val="auto"/>
        </w:rPr>
      </w:pPr>
    </w:p>
    <w:p>
      <w:pPr>
        <w:ind w:right="100" w:firstLine="1072"/>
        <w:spacing w:after="0" w:line="231" w:lineRule="auto"/>
        <w:tabs>
          <w:tab w:leader="none" w:pos="1801"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shall not be obligated to, make any notices or other Communications available to the Lenders and the Issuing Lenders by posting such Communications on IntraLinks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a substantially similar electronic platform chosen by the Administrative Agent or the Brazilian Administrative Agent, as applicable,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firstLine="1072"/>
        <w:spacing w:after="0" w:line="263" w:lineRule="auto"/>
        <w:tabs>
          <w:tab w:leader="none" w:pos="1791" w:val="left"/>
        </w:tabs>
        <w:numPr>
          <w:ilvl w:val="0"/>
          <w:numId w:val="98"/>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or the Brazilian Administrative Agent, as applicable,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80" w:lineRule="exact"/>
        <w:rPr>
          <w:rFonts w:ascii="Arial" w:cs="Arial" w:eastAsia="Arial" w:hAnsi="Arial"/>
          <w:sz w:val="17"/>
          <w:szCs w:val="17"/>
          <w:color w:val="auto"/>
        </w:rPr>
      </w:pPr>
    </w:p>
    <w:p>
      <w:pPr>
        <w:ind w:right="20" w:firstLine="1072"/>
        <w:spacing w:after="0" w:line="247" w:lineRule="auto"/>
        <w:tabs>
          <w:tab w:leader="none" w:pos="180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NONE OF THE ADMINISTRATIVE AGENT, THE BRAZILIAN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w:t>
      </w:r>
    </w:p>
    <w:p>
      <w:pPr>
        <w:spacing w:after="0" w:line="175"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20" w:top="632" w:right="259" w:bottom="1440" w:gutter="0" w:footer="0" w:header="0"/>
          <w:type w:val="continuous"/>
        </w:sectPr>
      </w:pPr>
    </w:p>
    <w:bookmarkStart w:id="103" w:name="page104"/>
    <w:bookmarkEnd w:id="103"/>
    <w:p>
      <w:pPr>
        <w:ind w:right="120"/>
        <w:spacing w:after="0" w:line="263" w:lineRule="auto"/>
        <w:rPr>
          <w:sz w:val="20"/>
          <w:szCs w:val="20"/>
          <w:color w:val="auto"/>
        </w:rPr>
      </w:pPr>
      <w:r>
        <w:rPr>
          <w:rFonts w:ascii="Arial" w:cs="Arial" w:eastAsia="Arial" w:hAnsi="Arial"/>
          <w:sz w:val="18"/>
          <w:szCs w:val="18"/>
          <w:color w:val="auto"/>
        </w:rPr>
        <w:t>FROM VIRUSES OR OTHER CODE DEFECTS, IS MADE BY THE ADMINISTRATIVE AGENT OR THE BRAZILIAN ADMINISTRATIVE AGENT IN CONNECTION WITH THE COMMUNICATIONS OR THE APPROVED ELECTRONIC PLATFORM.</w:t>
      </w:r>
    </w:p>
    <w:p>
      <w:pPr>
        <w:spacing w:after="0" w:line="178" w:lineRule="exact"/>
        <w:rPr>
          <w:sz w:val="20"/>
          <w:szCs w:val="20"/>
          <w:color w:val="auto"/>
        </w:rPr>
      </w:pPr>
    </w:p>
    <w:p>
      <w:pPr>
        <w:jc w:val="both"/>
        <w:ind w:right="360" w:firstLine="1072"/>
        <w:spacing w:after="0" w:line="275" w:lineRule="auto"/>
        <w:tabs>
          <w:tab w:leader="none" w:pos="1791" w:val="left"/>
        </w:tabs>
        <w:numPr>
          <w:ilvl w:val="0"/>
          <w:numId w:val="99"/>
        </w:numPr>
        <w:rPr>
          <w:rFonts w:ascii="Arial" w:cs="Arial" w:eastAsia="Arial" w:hAnsi="Arial"/>
          <w:sz w:val="17"/>
          <w:szCs w:val="17"/>
          <w:color w:val="auto"/>
        </w:rPr>
      </w:pPr>
      <w:r>
        <w:rPr>
          <w:rFonts w:ascii="Arial" w:cs="Arial" w:eastAsia="Arial" w:hAnsi="Arial"/>
          <w:sz w:val="17"/>
          <w:szCs w:val="17"/>
          <w:color w:val="auto"/>
        </w:rPr>
        <w:t>Each of the parties hereto agrees that the Administrative Agent and the Brazilian Administrative Agent may, but (except as may be required by applicable law) shall not be obligated to, store the Communications on the Approved Electronic Platform in accordance with the Administrative Agent’s or the Brazilian Administrative Agent’s, as applicable, generally-applicable document retention procedures and policies.</w:t>
      </w:r>
    </w:p>
    <w:p>
      <w:pPr>
        <w:spacing w:after="0" w:line="170" w:lineRule="exact"/>
        <w:rPr>
          <w:sz w:val="20"/>
          <w:szCs w:val="20"/>
          <w:color w:val="auto"/>
        </w:rPr>
      </w:pPr>
    </w:p>
    <w:p>
      <w:pPr>
        <w:ind w:firstLine="1063"/>
        <w:spacing w:after="0" w:line="24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or Ancillary Lender, any right, remedy, power or privilege hereunder or under the other Loan Documents or the Brazilian Intercreditor Agreement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3" w:lineRule="exact"/>
        <w:rPr>
          <w:sz w:val="20"/>
          <w:szCs w:val="20"/>
          <w:color w:val="auto"/>
        </w:rPr>
      </w:pPr>
    </w:p>
    <w:p>
      <w:pPr>
        <w:ind w:right="120" w:firstLine="1063"/>
        <w:spacing w:after="0" w:line="25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7" w:lineRule="exact"/>
        <w:rPr>
          <w:sz w:val="20"/>
          <w:szCs w:val="20"/>
          <w:color w:val="auto"/>
        </w:rPr>
      </w:pPr>
    </w:p>
    <w:p>
      <w:pPr>
        <w:ind w:firstLine="1063"/>
        <w:spacing w:after="0" w:line="260"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The Company agrees (a) to pay or reimburse the Administrative Agent, the Brazilian Administrative Agent and the Arrangers for all their reasonable out-of-pocket costs and expenses incurred in connection with the development, preparation and execution of, and any amendment, supplement or modification to, this Agreement, the other Loan Documents and the Brazilian Intercreditor Agreement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be shared by the Administrative Agent and the Brazilian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and the Brazilian Administrative Agent for all their reasonable out-of-pocket costs and expenses incurred in connection with the enforcement or preservation of any rights under this Agreement, the other Loan Documents and the Brazilian Intercreditor Agreement, including the reasonable fees and out-of-pocket disbursements and other charges of one primary counsel to the Administrative Agent and the Brazilian Administrative Agent, one additional local counsel in each relevant jurisdiction which counsel shall act on behalf of all Lenders to be shared by the Administrative Agent and the Brazilian Administrative Agent and, in the event of a conflict, one separate counsel (and one local counsel in each relevant jurisdiction) for all persons similarly situated as required to address such conflict), (c) to pay, indemnify or reimburse each Lender, each Issuing Lender, the Brazilian Administrative Agent and the Administrative Agent for, and hold each Lender, each Issuing Lender, the Brazilian Administrative Agent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the Brazilian Intercreditor</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40"/>
          </w:cols>
          <w:pgMar w:left="220" w:top="510" w:right="239" w:bottom="1440" w:gutter="0" w:footer="0" w:header="0"/>
        </w:sectPr>
      </w:pPr>
    </w:p>
    <w:bookmarkStart w:id="104" w:name="page105"/>
    <w:bookmarkEnd w:id="104"/>
    <w:p>
      <w:pPr>
        <w:spacing w:after="0" w:line="276" w:lineRule="auto"/>
        <w:rPr>
          <w:sz w:val="20"/>
          <w:szCs w:val="20"/>
          <w:color w:val="auto"/>
        </w:rPr>
      </w:pPr>
      <w:r>
        <w:rPr>
          <w:rFonts w:ascii="Arial" w:cs="Arial" w:eastAsia="Arial" w:hAnsi="Arial"/>
          <w:sz w:val="16"/>
          <w:szCs w:val="16"/>
          <w:color w:val="auto"/>
        </w:rPr>
        <w:t>Agreement, and (d) to pay, indemnify or reimburse each Lender, each Issuing Lender, the Brazilian Administrative Agent,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2.24 or with respect to the costs, losses or expenses which are of the type covered by Section 2.23 or Section 2.25) in respect of the financing contemplated by this Agreement or the use or the proposed use of proceeds thereof, the other Loan Documents, any Ancillary Facility Document and the Brazilian Intercreditor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(ii) a material breach of the Loan Documents or the Brazilian Intercreditor Agreement by, such Indemnitee, any of its affiliates or its or their respective officers, directors, partners, employees, advisors, agents, controlling persons or trustees or (iii) any dispute solely among Indemnitees not arising out of any act or omission of the Company or any of its affiliates (other than disputes involving claims against any Indemnitee in its capacity as, or fulfilling its role as, the Administrative Agent, the Brazilian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or the Brazilian Intercreditor Agreement by, such Indemnitee, any of its affiliates or its or their respective officers, directors, partners, employees, advisors, agents, controlling persons or trustees.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provided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5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60"/>
          </w:cols>
          <w:pgMar w:left="220" w:top="510" w:right="219" w:bottom="1440" w:gutter="0" w:footer="0" w:header="0"/>
        </w:sectPr>
      </w:pPr>
    </w:p>
    <w:bookmarkStart w:id="105" w:name="page106"/>
    <w:bookmarkEnd w:id="105"/>
    <w:p>
      <w:pPr>
        <w:ind w:firstLine="1063"/>
        <w:spacing w:after="0" w:line="24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7.7,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w:t>
      </w:r>
    </w:p>
    <w:p>
      <w:pPr>
        <w:spacing w:after="0" w:line="195" w:lineRule="exact"/>
        <w:rPr>
          <w:sz w:val="20"/>
          <w:szCs w:val="20"/>
          <w:color w:val="auto"/>
        </w:rPr>
      </w:pPr>
    </w:p>
    <w:p>
      <w:pPr>
        <w:jc w:val="both"/>
        <w:ind w:right="140" w:firstLine="1072"/>
        <w:spacing w:after="0" w:line="250" w:lineRule="auto"/>
        <w:tabs>
          <w:tab w:leader="none" w:pos="180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189" w:lineRule="exact"/>
        <w:rPr>
          <w:rFonts w:ascii="Arial" w:cs="Arial" w:eastAsia="Arial" w:hAnsi="Arial"/>
          <w:sz w:val="18"/>
          <w:szCs w:val="18"/>
          <w:color w:val="auto"/>
        </w:rPr>
      </w:pPr>
    </w:p>
    <w:p>
      <w:pPr>
        <w:ind w:left="1080" w:right="140" w:firstLine="523"/>
        <w:spacing w:after="0" w:line="326" w:lineRule="auto"/>
        <w:tabs>
          <w:tab w:leader="none" w:pos="199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98" w:lineRule="exact"/>
        <w:rPr>
          <w:rFonts w:ascii="Arial" w:cs="Arial" w:eastAsia="Arial" w:hAnsi="Arial"/>
          <w:sz w:val="16"/>
          <w:szCs w:val="16"/>
          <w:color w:val="auto"/>
        </w:rPr>
      </w:pPr>
    </w:p>
    <w:p>
      <w:pPr>
        <w:ind w:left="1980" w:hanging="377"/>
        <w:spacing w:after="0"/>
        <w:tabs>
          <w:tab w:leader="none" w:pos="1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80" w:lineRule="exact"/>
        <w:rPr>
          <w:rFonts w:ascii="Arial" w:cs="Arial" w:eastAsia="Arial" w:hAnsi="Arial"/>
          <w:sz w:val="18"/>
          <w:szCs w:val="18"/>
          <w:color w:val="auto"/>
        </w:rPr>
      </w:pPr>
    </w:p>
    <w:p>
      <w:pPr>
        <w:ind w:left="1080" w:right="400" w:firstLine="523"/>
        <w:spacing w:after="0" w:line="293" w:lineRule="auto"/>
        <w:tabs>
          <w:tab w:leader="none" w:pos="1995"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in the case of any assignment of any rights or interest under the L/C Tranche Facility, each Material Issuing Lender at such time (unless such assignment is to a Lender who has an investment grade rating from two of S&amp;P, Moody’s and Fitch);</w:t>
      </w:r>
    </w:p>
    <w:p>
      <w:pPr>
        <w:spacing w:after="0" w:line="120" w:lineRule="exact"/>
        <w:rPr>
          <w:rFonts w:ascii="Arial" w:cs="Arial" w:eastAsia="Arial" w:hAnsi="Arial"/>
          <w:sz w:val="17"/>
          <w:szCs w:val="17"/>
          <w:color w:val="auto"/>
        </w:rPr>
      </w:pPr>
    </w:p>
    <w:p>
      <w:pPr>
        <w:ind w:left="1980" w:hanging="377"/>
        <w:spacing w:after="0"/>
        <w:tabs>
          <w:tab w:leader="none" w:pos="1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80" w:lineRule="exact"/>
        <w:rPr>
          <w:rFonts w:ascii="Arial" w:cs="Arial" w:eastAsia="Arial" w:hAnsi="Arial"/>
          <w:sz w:val="18"/>
          <w:szCs w:val="18"/>
          <w:color w:val="auto"/>
        </w:rPr>
      </w:pPr>
    </w:p>
    <w:p>
      <w:pPr>
        <w:ind w:left="1980" w:hanging="377"/>
        <w:spacing w:after="0"/>
        <w:tabs>
          <w:tab w:leader="none" w:pos="1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Brazilian Administrative Agent (in the case of any assignment of Brazilian Loans);</w:t>
      </w:r>
    </w:p>
    <w:p>
      <w:pPr>
        <w:spacing w:after="0" w:line="181" w:lineRule="exact"/>
        <w:rPr>
          <w:sz w:val="20"/>
          <w:szCs w:val="20"/>
          <w:color w:val="auto"/>
        </w:rPr>
      </w:pPr>
    </w:p>
    <w:p>
      <w:pPr>
        <w:jc w:val="both"/>
        <w:ind w:left="1080" w:right="500"/>
        <w:spacing w:after="0" w:line="360" w:lineRule="auto"/>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that (x) no consent provided for in clause (2) above shall be required for an assignment to a Lender or an affiliate thereof, (y) no consents provided for in clause (3) above shall be required for an assignment to an L/C Tranche Lender and (z) no consent of the Company provided for in clause (1) above shall be required if an Event of Default under Section 8.1(a) or (f) has occurred and is continuing.</w:t>
      </w:r>
    </w:p>
    <w:p>
      <w:pPr>
        <w:spacing w:after="0" w:line="84" w:lineRule="exact"/>
        <w:rPr>
          <w:sz w:val="20"/>
          <w:szCs w:val="20"/>
          <w:color w:val="auto"/>
        </w:rPr>
      </w:pPr>
    </w:p>
    <w:p>
      <w:pPr>
        <w:ind w:right="20" w:firstLine="1063"/>
        <w:spacing w:after="0" w:line="253"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54" w:lineRule="exact"/>
        <w:rPr>
          <w:sz w:val="20"/>
          <w:szCs w:val="20"/>
          <w:color w:val="auto"/>
        </w:rPr>
      </w:pPr>
    </w:p>
    <w:p>
      <w:pPr>
        <w:ind w:left="2360" w:hanging="757"/>
        <w:spacing w:after="0"/>
        <w:tabs>
          <w:tab w:leader="none" w:pos="2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13" w:lineRule="exact"/>
        <w:rPr>
          <w:rFonts w:ascii="Arial" w:cs="Arial" w:eastAsia="Arial" w:hAnsi="Arial"/>
          <w:sz w:val="18"/>
          <w:szCs w:val="18"/>
          <w:color w:val="auto"/>
        </w:rPr>
      </w:pPr>
    </w:p>
    <w:p>
      <w:pPr>
        <w:ind w:left="1600" w:right="100" w:firstLine="535"/>
        <w:spacing w:after="0" w:line="253" w:lineRule="auto"/>
        <w:tabs>
          <w:tab w:leader="none" w:pos="290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w:t>
      </w:r>
    </w:p>
    <w:p>
      <w:pPr>
        <w:spacing w:after="0" w:line="17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40"/>
          </w:cols>
          <w:pgMar w:left="220" w:top="721" w:right="239" w:bottom="1440" w:gutter="0" w:footer="0" w:header="0"/>
        </w:sectPr>
      </w:pPr>
    </w:p>
    <w:bookmarkStart w:id="106" w:name="page107"/>
    <w:bookmarkEnd w:id="106"/>
    <w:p>
      <w:pPr>
        <w:ind w:left="1600" w:right="40"/>
        <w:spacing w:after="0" w:line="250" w:lineRule="auto"/>
        <w:rPr>
          <w:sz w:val="20"/>
          <w:szCs w:val="20"/>
          <w:color w:val="auto"/>
        </w:rPr>
      </w:pPr>
      <w:r>
        <w:rPr>
          <w:rFonts w:ascii="Arial" w:cs="Arial" w:eastAsia="Arial" w:hAnsi="Arial"/>
          <w:sz w:val="18"/>
          <w:szCs w:val="18"/>
          <w:color w:val="auto"/>
        </w:rPr>
        <w:t xml:space="preserve">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that (1) no such consent of the Company shall be required if an Event of Default under Section 8.1(a) or (f) has occurred and is continuing and (2) such amounts shall be aggregated in respect of each Lender and its affiliates or Approved Funds, if any;</w:t>
      </w:r>
    </w:p>
    <w:p>
      <w:pPr>
        <w:spacing w:after="0" w:line="190" w:lineRule="exact"/>
        <w:rPr>
          <w:sz w:val="20"/>
          <w:szCs w:val="20"/>
          <w:color w:val="auto"/>
        </w:rPr>
      </w:pPr>
    </w:p>
    <w:p>
      <w:pPr>
        <w:ind w:left="1600" w:firstLine="535"/>
        <w:spacing w:after="0" w:line="267" w:lineRule="auto"/>
        <w:tabs>
          <w:tab w:leader="none" w:pos="2899"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parties to each assignment (or, in the case of an assignment made pursuant to the exercise of the Company’s rights under Section 2.27,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2.27, by the assigning Lender, the Assignee, or the Company); and</w:t>
      </w:r>
    </w:p>
    <w:p>
      <w:pPr>
        <w:spacing w:after="0" w:line="175" w:lineRule="exact"/>
        <w:rPr>
          <w:rFonts w:ascii="Arial" w:cs="Arial" w:eastAsia="Arial" w:hAnsi="Arial"/>
          <w:sz w:val="17"/>
          <w:szCs w:val="17"/>
          <w:color w:val="auto"/>
        </w:rPr>
      </w:pPr>
    </w:p>
    <w:p>
      <w:pPr>
        <w:ind w:left="2900" w:hanging="765"/>
        <w:spacing w:after="0"/>
        <w:tabs>
          <w:tab w:leader="none" w:pos="2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and the Company an administrative</w:t>
      </w:r>
    </w:p>
    <w:p>
      <w:pPr>
        <w:spacing w:after="0" w:line="39" w:lineRule="exact"/>
        <w:rPr>
          <w:rFonts w:ascii="Arial" w:cs="Arial" w:eastAsia="Arial" w:hAnsi="Arial"/>
          <w:sz w:val="16"/>
          <w:szCs w:val="16"/>
          <w:color w:val="auto"/>
        </w:rPr>
      </w:pPr>
    </w:p>
    <w:p>
      <w:pPr>
        <w:ind w:left="1600"/>
        <w:spacing w:after="0"/>
        <w:rPr>
          <w:rFonts w:ascii="Arial" w:cs="Arial" w:eastAsia="Arial" w:hAnsi="Arial"/>
          <w:sz w:val="16"/>
          <w:szCs w:val="16"/>
          <w:color w:val="auto"/>
        </w:rPr>
      </w:pPr>
      <w:r>
        <w:rPr>
          <w:rFonts w:ascii="Arial" w:cs="Arial" w:eastAsia="Arial" w:hAnsi="Arial"/>
          <w:sz w:val="18"/>
          <w:szCs w:val="18"/>
          <w:color w:val="auto"/>
        </w:rPr>
        <w:t>questionnaire.</w:t>
      </w:r>
    </w:p>
    <w:p>
      <w:pPr>
        <w:spacing w:after="0" w:line="200" w:lineRule="exact"/>
        <w:rPr>
          <w:rFonts w:ascii="Arial" w:cs="Arial" w:eastAsia="Arial" w:hAnsi="Arial"/>
          <w:sz w:val="16"/>
          <w:szCs w:val="16"/>
          <w:color w:val="auto"/>
        </w:rPr>
      </w:pPr>
    </w:p>
    <w:p>
      <w:pPr>
        <w:ind w:left="1080" w:right="20" w:firstLine="523"/>
        <w:spacing w:after="0" w:line="281" w:lineRule="auto"/>
        <w:tabs>
          <w:tab w:leader="none" w:pos="240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2.23, 2.24, 2.25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70" w:lineRule="exact"/>
        <w:rPr>
          <w:rFonts w:ascii="Arial" w:cs="Arial" w:eastAsia="Arial" w:hAnsi="Arial"/>
          <w:sz w:val="16"/>
          <w:szCs w:val="16"/>
          <w:color w:val="auto"/>
        </w:rPr>
      </w:pPr>
    </w:p>
    <w:p>
      <w:pPr>
        <w:ind w:left="1080" w:firstLine="523"/>
        <w:spacing w:after="0" w:line="280" w:lineRule="auto"/>
        <w:tabs>
          <w:tab w:leader="none" w:pos="239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Subject to the last sentence of (b)(iii) above, the entries in the Register shall be conclusive,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20" w:top="510" w:right="259" w:bottom="1440" w:gutter="0" w:footer="0" w:header="0"/>
        </w:sectPr>
      </w:pPr>
    </w:p>
    <w:bookmarkStart w:id="107" w:name="page108"/>
    <w:bookmarkEnd w:id="107"/>
    <w:p>
      <w:pPr>
        <w:ind w:left="1080" w:firstLine="523"/>
        <w:spacing w:after="0" w:line="332" w:lineRule="auto"/>
        <w:tabs>
          <w:tab w:leader="none" w:pos="235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Upon its receipt of a duly completed Assignment and Assumption executed by an assigning Lender (or, in the case of an assignment made pursuant to the exercise of the Company’s rights under Section 2.27, the Administrative Agent, as agent for the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36" w:lineRule="exact"/>
        <w:rPr>
          <w:rFonts w:ascii="Arial" w:cs="Arial" w:eastAsia="Arial" w:hAnsi="Arial"/>
          <w:sz w:val="14"/>
          <w:szCs w:val="14"/>
          <w:color w:val="auto"/>
        </w:rPr>
      </w:pPr>
    </w:p>
    <w:p>
      <w:pPr>
        <w:ind w:firstLine="1072"/>
        <w:spacing w:after="0" w:line="276" w:lineRule="auto"/>
        <w:tabs>
          <w:tab w:leader="none" w:pos="179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Any Lender may, without the consent of the Company, any Issuing Lender, the Brazilian Administrative Agent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the Loan Parties, the Administrative Agent, the Brazilian Administrative Agent, the Issuing Lenders and the other Lenders shall continue to deal solely and directly with such Lender in connection with such Lender’s rights and obligations under this Agreement, the other Loan Documents and the Brazilian Intercreditor Agreement,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2.23, 2.24 and 2.25 to the same extent as if it were a Lender and had acquired its interest by assignment pursuant to paragraph (b) of this Section.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and such Lender, the Company, the Brazilian Administrative Agent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84" w:lineRule="exact"/>
        <w:rPr>
          <w:rFonts w:ascii="Arial" w:cs="Arial" w:eastAsia="Arial" w:hAnsi="Arial"/>
          <w:sz w:val="16"/>
          <w:szCs w:val="16"/>
          <w:color w:val="auto"/>
        </w:rPr>
      </w:pPr>
    </w:p>
    <w:p>
      <w:pPr>
        <w:ind w:left="1080" w:right="160" w:firstLine="523"/>
        <w:spacing w:after="0" w:line="263" w:lineRule="auto"/>
        <w:tabs>
          <w:tab w:leader="none" w:pos="23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2.23 or 2.24 than the applicable Lender would have been entitled to receive with</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60"/>
          </w:cols>
          <w:pgMar w:left="220" w:top="721" w:right="219" w:bottom="1440" w:gutter="0" w:footer="0" w:header="0"/>
        </w:sectPr>
      </w:pPr>
    </w:p>
    <w:bookmarkStart w:id="108" w:name="page109"/>
    <w:bookmarkEnd w:id="108"/>
    <w:p>
      <w:pPr>
        <w:ind w:left="1080" w:right="20"/>
        <w:spacing w:after="0" w:line="248" w:lineRule="auto"/>
        <w:rPr>
          <w:sz w:val="20"/>
          <w:szCs w:val="20"/>
          <w:color w:val="auto"/>
        </w:rPr>
      </w:pPr>
      <w:r>
        <w:rPr>
          <w:rFonts w:ascii="Arial" w:cs="Arial" w:eastAsia="Arial" w:hAnsi="Arial"/>
          <w:sz w:val="18"/>
          <w:szCs w:val="18"/>
          <w:color w:val="auto"/>
        </w:rPr>
        <w:t>respect to the participation sold to such Participant. A Participant shall not be entitled to receive any funds directly from the Company in respect of Sections 2.23, 2.24, 2.25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2.24 unless such Participant complies with Section 2.24(c) and 2.24(d) as though it were a Lender.</w:t>
      </w:r>
    </w:p>
    <w:p>
      <w:pPr>
        <w:spacing w:after="0" w:line="193" w:lineRule="exact"/>
        <w:rPr>
          <w:sz w:val="20"/>
          <w:szCs w:val="20"/>
          <w:color w:val="auto"/>
        </w:rPr>
      </w:pPr>
    </w:p>
    <w:p>
      <w:pPr>
        <w:ind w:firstLine="1072"/>
        <w:spacing w:after="0" w:line="287" w:lineRule="auto"/>
        <w:tabs>
          <w:tab w:leader="none" w:pos="180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Any Lender may, without the consent of the Company, the Brazilian Administrative Agent,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or assignment of a security interest shall release a Lender from any of its obligations hereunder or substitute any such pledgee or Assignee for such Lender as a party hereto.</w:t>
      </w:r>
    </w:p>
    <w:p>
      <w:pPr>
        <w:spacing w:after="0" w:line="162" w:lineRule="exact"/>
        <w:rPr>
          <w:rFonts w:ascii="Arial" w:cs="Arial" w:eastAsia="Arial" w:hAnsi="Arial"/>
          <w:sz w:val="16"/>
          <w:szCs w:val="16"/>
          <w:color w:val="auto"/>
        </w:rPr>
      </w:pPr>
    </w:p>
    <w:p>
      <w:pPr>
        <w:ind w:right="20" w:firstLine="1072"/>
        <w:spacing w:after="0" w:line="247" w:lineRule="auto"/>
        <w:tabs>
          <w:tab w:leader="none" w:pos="17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95" w:lineRule="exact"/>
        <w:rPr>
          <w:sz w:val="20"/>
          <w:szCs w:val="20"/>
          <w:color w:val="auto"/>
        </w:rPr>
      </w:pPr>
    </w:p>
    <w:p>
      <w:pPr>
        <w:ind w:firstLine="1063"/>
        <w:spacing w:after="0" w:line="280"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Adjustments</w:t>
      </w:r>
      <w:r>
        <w:rPr>
          <w:rFonts w:ascii="Arial" w:cs="Arial" w:eastAsia="Arial" w:hAnsi="Arial"/>
          <w:sz w:val="16"/>
          <w:szCs w:val="16"/>
          <w:color w:val="auto"/>
        </w:rPr>
        <w:t>. If any Lender (a “</w:t>
      </w:r>
      <w:r>
        <w:rPr>
          <w:rFonts w:ascii="Arial" w:cs="Arial" w:eastAsia="Arial" w:hAnsi="Arial"/>
          <w:sz w:val="16"/>
          <w:szCs w:val="16"/>
          <w:u w:val="single" w:color="auto"/>
          <w:color w:val="auto"/>
        </w:rPr>
        <w:t>Benefitted Lender</w:t>
      </w:r>
      <w:r>
        <w:rPr>
          <w:rFonts w:ascii="Arial" w:cs="Arial" w:eastAsia="Arial" w:hAnsi="Arial"/>
          <w:sz w:val="16"/>
          <w:szCs w:val="16"/>
          <w:color w:val="auto"/>
        </w:rPr>
        <w:t>”)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8.1(f),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68" w:lineRule="exact"/>
        <w:rPr>
          <w:sz w:val="20"/>
          <w:szCs w:val="20"/>
          <w:color w:val="auto"/>
        </w:rPr>
      </w:pPr>
    </w:p>
    <w:p>
      <w:pPr>
        <w:ind w:right="120" w:firstLine="1063"/>
        <w:spacing w:after="0" w:line="269"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20" w:top="510" w:right="259" w:bottom="1440" w:gutter="0" w:footer="0" w:header="0"/>
        </w:sectPr>
      </w:pPr>
    </w:p>
    <w:bookmarkStart w:id="109" w:name="page110"/>
    <w:bookmarkEnd w:id="109"/>
    <w:p>
      <w:pPr>
        <w:ind w:right="120" w:firstLine="1063"/>
        <w:spacing w:after="0" w:line="253"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7" w:lineRule="exact"/>
        <w:rPr>
          <w:sz w:val="20"/>
          <w:szCs w:val="20"/>
          <w:color w:val="auto"/>
        </w:rPr>
      </w:pPr>
    </w:p>
    <w:p>
      <w:pPr>
        <w:ind w:right="20" w:firstLine="1063"/>
        <w:spacing w:after="0" w:line="248"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the other Loan Documents and the Brazilian Intercreditor Agreement represent the entire agreement of the Borrowers, the Administrative Agent, the Brazilian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in the other Loan Documents or in the Brazilian Intercreditor Agreement (other than agreements between any Borrower and any Issuing Lender contemplated by this Agreement).</w:t>
      </w:r>
    </w:p>
    <w:p>
      <w:pPr>
        <w:spacing w:after="0" w:line="193" w:lineRule="exact"/>
        <w:rPr>
          <w:sz w:val="20"/>
          <w:szCs w:val="20"/>
          <w:color w:val="auto"/>
        </w:rPr>
      </w:pPr>
    </w:p>
    <w:p>
      <w:pPr>
        <w:ind w:right="100" w:firstLine="1063"/>
        <w:spacing w:after="0" w:line="25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SHALL BE GOVERNED BY, AND CONSTRUED AND INTERPRETED IN ACCORDANCE WITH, THE LAW OF THE STATE OF NEW YORK.</w:t>
      </w:r>
    </w:p>
    <w:p>
      <w:pPr>
        <w:spacing w:after="0" w:line="187"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(a) Each of the Administrative Agent, the Brazilian Administrative Agent, the Lenders,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Issuing Lenders, the Company, each Subsidiary Borrower and each other Loan Party hereby irrevocably and unconditionally:</w:t>
      </w:r>
    </w:p>
    <w:p>
      <w:pPr>
        <w:spacing w:after="0" w:line="200" w:lineRule="exact"/>
        <w:rPr>
          <w:sz w:val="20"/>
          <w:szCs w:val="20"/>
          <w:color w:val="auto"/>
        </w:rPr>
      </w:pPr>
    </w:p>
    <w:p>
      <w:pPr>
        <w:ind w:left="1080" w:right="120" w:firstLine="523"/>
        <w:spacing w:after="0" w:line="250" w:lineRule="auto"/>
        <w:tabs>
          <w:tab w:leader="none" w:pos="23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the other Loan Documents and the Brazilian Intercreditor Agreement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189" w:lineRule="exact"/>
        <w:rPr>
          <w:rFonts w:ascii="Arial" w:cs="Arial" w:eastAsia="Arial" w:hAnsi="Arial"/>
          <w:sz w:val="18"/>
          <w:szCs w:val="18"/>
          <w:color w:val="auto"/>
        </w:rPr>
      </w:pPr>
    </w:p>
    <w:p>
      <w:pPr>
        <w:ind w:left="1080" w:right="160" w:firstLine="523"/>
        <w:spacing w:after="0" w:line="253" w:lineRule="auto"/>
        <w:tabs>
          <w:tab w:leader="none" w:pos="2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87" w:lineRule="exact"/>
        <w:rPr>
          <w:rFonts w:ascii="Arial" w:cs="Arial" w:eastAsia="Arial" w:hAnsi="Arial"/>
          <w:sz w:val="18"/>
          <w:szCs w:val="18"/>
          <w:color w:val="auto"/>
        </w:rPr>
      </w:pPr>
    </w:p>
    <w:p>
      <w:pPr>
        <w:ind w:left="1080" w:right="720" w:firstLine="523"/>
        <w:spacing w:after="0" w:line="263" w:lineRule="auto"/>
        <w:tabs>
          <w:tab w:leader="none" w:pos="240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8" w:lineRule="exact"/>
        <w:rPr>
          <w:sz w:val="20"/>
          <w:szCs w:val="20"/>
          <w:color w:val="auto"/>
        </w:rPr>
      </w:pPr>
    </w:p>
    <w:p>
      <w:pPr>
        <w:ind w:firstLine="1072"/>
        <w:spacing w:after="0" w:line="284" w:lineRule="auto"/>
        <w:tabs>
          <w:tab w:leader="none" w:pos="180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20"/>
          </w:cols>
          <w:pgMar w:left="220" w:top="721" w:right="259" w:bottom="1440" w:gutter="0" w:footer="0" w:header="0"/>
        </w:sectPr>
      </w:pPr>
    </w:p>
    <w:bookmarkStart w:id="110" w:name="page111"/>
    <w:bookmarkEnd w:id="110"/>
    <w:p>
      <w:pPr>
        <w:ind w:right="100"/>
        <w:spacing w:after="0" w:line="250" w:lineRule="auto"/>
        <w:rPr>
          <w:sz w:val="20"/>
          <w:szCs w:val="20"/>
          <w:color w:val="auto"/>
        </w:rPr>
      </w:pPr>
      <w:r>
        <w:rPr>
          <w:rFonts w:ascii="Arial" w:cs="Arial" w:eastAsia="Arial" w:hAnsi="Arial"/>
          <w:sz w:val="18"/>
          <w:szCs w:val="18"/>
          <w:color w:val="auto"/>
        </w:rPr>
        <w:t>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90" w:lineRule="exact"/>
        <w:rPr>
          <w:sz w:val="20"/>
          <w:szCs w:val="20"/>
          <w:color w:val="auto"/>
        </w:rPr>
      </w:pPr>
    </w:p>
    <w:p>
      <w:pPr>
        <w:jc w:val="both"/>
        <w:ind w:right="80" w:firstLine="1072"/>
        <w:spacing w:after="0" w:line="291" w:lineRule="auto"/>
        <w:tabs>
          <w:tab w:leader="none" w:pos="179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60" w:lineRule="exact"/>
        <w:rPr>
          <w:sz w:val="20"/>
          <w:szCs w:val="20"/>
          <w:color w:val="auto"/>
        </w:rPr>
      </w:pPr>
    </w:p>
    <w:p>
      <w:pPr>
        <w:ind w:right="60" w:firstLine="1063"/>
        <w:spacing w:after="0" w:line="262"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Judgment</w:t>
      </w:r>
      <w:r>
        <w:rPr>
          <w:rFonts w:ascii="Arial" w:cs="Arial" w:eastAsia="Arial" w:hAnsi="Arial"/>
          <w:sz w:val="17"/>
          <w:szCs w:val="17"/>
          <w:color w:val="auto"/>
        </w:rPr>
        <w:t>. The obligations of the Company or any Subsidiary Borrower in respect of this Agreement and the other Loan Documents due to any party hereto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the sum originally due to such party is denominated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and Facility Fees payable hereunder or under any other Loan Document.</w:t>
      </w:r>
    </w:p>
    <w:p>
      <w:pPr>
        <w:spacing w:after="0" w:line="184"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u w:val="single" w:color="auto"/>
          <w:color w:val="auto"/>
        </w:rPr>
        <w:t>Acknowledgments</w:t>
      </w:r>
      <w:r>
        <w:rPr>
          <w:rFonts w:ascii="Arial" w:cs="Arial" w:eastAsia="Arial" w:hAnsi="Arial"/>
          <w:sz w:val="16"/>
          <w:szCs w:val="16"/>
          <w:color w:val="auto"/>
        </w:rPr>
        <w:t>. Each of the Company and the Subsidiary Borrowers hereby acknowledges that:</w:t>
      </w:r>
    </w:p>
    <w:p>
      <w:pPr>
        <w:spacing w:after="0" w:line="214" w:lineRule="exact"/>
        <w:rPr>
          <w:sz w:val="20"/>
          <w:szCs w:val="20"/>
          <w:color w:val="auto"/>
        </w:rPr>
      </w:pPr>
    </w:p>
    <w:p>
      <w:pPr>
        <w:ind w:left="1800" w:hanging="728"/>
        <w:spacing w:after="0"/>
        <w:tabs>
          <w:tab w:leader="none" w:pos="18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225" w:lineRule="exact"/>
        <w:rPr>
          <w:rFonts w:ascii="Arial" w:cs="Arial" w:eastAsia="Arial" w:hAnsi="Arial"/>
          <w:sz w:val="17"/>
          <w:szCs w:val="17"/>
          <w:color w:val="auto"/>
        </w:rPr>
      </w:pPr>
    </w:p>
    <w:p>
      <w:pPr>
        <w:ind w:right="60" w:firstLine="1072"/>
        <w:spacing w:after="0" w:line="250" w:lineRule="auto"/>
        <w:tabs>
          <w:tab w:leader="none" w:pos="180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none of the Administrative Agent, the Brazilian Administrative Agent or any Lender has any fiduciary relationship with or duty to the Company or any Subsidiary arising out of or in connection with this Agreement, any of the other Loan Documents or the Brazilian Intercreditor Agreement, and the relationship between Administrative Agent, the Brazilian Administrative Agent and the Lenders, on one hand, and the Company or any Subsidiary, on the other hand, in connection herewith or therewith is solely that of debtor and creditor; and</w:t>
      </w:r>
    </w:p>
    <w:p>
      <w:pPr>
        <w:spacing w:after="0" w:line="189" w:lineRule="exact"/>
        <w:rPr>
          <w:rFonts w:ascii="Arial" w:cs="Arial" w:eastAsia="Arial" w:hAnsi="Arial"/>
          <w:sz w:val="18"/>
          <w:szCs w:val="18"/>
          <w:color w:val="auto"/>
        </w:rPr>
      </w:pPr>
    </w:p>
    <w:p>
      <w:pPr>
        <w:ind w:right="120" w:firstLine="1072"/>
        <w:spacing w:after="0" w:line="263" w:lineRule="auto"/>
        <w:tabs>
          <w:tab w:leader="none" w:pos="179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the Brazilian Intercreditor Agreement or otherwise exists by virtue of the transactions contemplated hereby among the Lenders or among the Company or any Subsidiary and the Lenders.</w:t>
      </w:r>
    </w:p>
    <w:p>
      <w:pPr>
        <w:spacing w:after="0" w:line="178"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4"/>
          <w:szCs w:val="14"/>
          <w:u w:val="single" w:color="auto"/>
          <w:color w:val="auto"/>
        </w:rPr>
        <w:t>Releases of Guarantees and Liens</w:t>
      </w:r>
      <w:r>
        <w:rPr>
          <w:rFonts w:ascii="Arial" w:cs="Arial" w:eastAsia="Arial" w:hAnsi="Arial"/>
          <w:sz w:val="14"/>
          <w:szCs w:val="14"/>
          <w:color w:val="auto"/>
        </w:rPr>
        <w:t>.</w:t>
      </w:r>
    </w:p>
    <w:p>
      <w:pPr>
        <w:spacing w:after="0" w:line="214" w:lineRule="exact"/>
        <w:rPr>
          <w:sz w:val="20"/>
          <w:szCs w:val="20"/>
          <w:color w:val="auto"/>
        </w:rPr>
      </w:pPr>
    </w:p>
    <w:p>
      <w:pPr>
        <w:ind w:firstLine="1072"/>
        <w:spacing w:after="0" w:line="263" w:lineRule="auto"/>
        <w:tabs>
          <w:tab w:leader="none" w:pos="179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or the Brazilian Intercreditor Agreement, the Administrative Agent is hereby irrevocably</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40"/>
          </w:cols>
          <w:pgMar w:left="220" w:top="510" w:right="239" w:bottom="1440" w:gutter="0" w:footer="0" w:header="0"/>
        </w:sectPr>
      </w:pPr>
    </w:p>
    <w:bookmarkStart w:id="111" w:name="page112"/>
    <w:bookmarkEnd w:id="111"/>
    <w:p>
      <w:pPr>
        <w:ind w:right="100"/>
        <w:spacing w:after="0" w:line="248" w:lineRule="auto"/>
        <w:rPr>
          <w:sz w:val="20"/>
          <w:szCs w:val="20"/>
          <w:color w:val="auto"/>
        </w:rPr>
      </w:pPr>
      <w:r>
        <w:rPr>
          <w:rFonts w:ascii="Arial" w:cs="Arial" w:eastAsia="Arial" w:hAnsi="Arial"/>
          <w:sz w:val="18"/>
          <w:szCs w:val="18"/>
          <w:color w:val="auto"/>
        </w:rPr>
        <w:t>authorized by each Lender, each Ancillary Lender and each Issuing Lender (without requirement of notice to or consent of any Lender, any Ancillary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93" w:lineRule="exact"/>
        <w:rPr>
          <w:sz w:val="20"/>
          <w:szCs w:val="20"/>
          <w:color w:val="auto"/>
        </w:rPr>
      </w:pPr>
    </w:p>
    <w:p>
      <w:pPr>
        <w:ind w:firstLine="1072"/>
        <w:spacing w:after="0" w:line="279" w:lineRule="auto"/>
        <w:tabs>
          <w:tab w:leader="none" w:pos="180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At such time as the Loans, the Reimbursement Obligations, Ancillary Facility Outstandings and interest and fees owing hereunder and under any other Loan Document and any Ancillary Facility Document shall have been paid in full, the Commitments and Ancillary Commitments have been terminated (unless otherwise agreed by the relevant Ancillary Lender)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 provided, however, that amounts under any Ancillary Facility Documents may remain outstanding and the Commitments thereunder may remain available with the consent of the applicable Ancillary Lender if cash collateral arrangements are made or other arrangements are made to the reasonable satisfaction of the applicable Ancillary Lender (which may take the form of an agreement for the relevant facilities to continue on a bilateral basis and not under the Loan Documents after such date) so long as, in each case, the Administrative Agent is reasonably satisfied that (x) such Ancillary Facility shall continue on a bilateral basis and the Lenders other than such Ancillary Lender shall have no obligations with respect to such Ancillary Facility or the relevant Ancillary Outstandings, (y) the Ancillary Outstandings in respect of such Ancillary Facility shall not constitute “Guaranteed Obligations” (as defined in the Guarantee) and (z) the Administrative Agent shall have no further obligations with respect to such Ancillary Facility or the related Ancillary Outstandings.</w:t>
      </w:r>
    </w:p>
    <w:p>
      <w:pPr>
        <w:spacing w:after="0" w:line="172" w:lineRule="exact"/>
        <w:rPr>
          <w:rFonts w:ascii="Arial" w:cs="Arial" w:eastAsia="Arial" w:hAnsi="Arial"/>
          <w:sz w:val="16"/>
          <w:szCs w:val="16"/>
          <w:color w:val="auto"/>
        </w:rPr>
      </w:pPr>
    </w:p>
    <w:p>
      <w:pPr>
        <w:ind w:left="1800" w:hanging="728"/>
        <w:spacing w:after="0"/>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right="40" w:firstLine="1072"/>
        <w:spacing w:after="0" w:line="284" w:lineRule="auto"/>
        <w:tabs>
          <w:tab w:leader="none" w:pos="180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Immediately upon the occurrence of any Guarantee Release Date, all obligations (other than as expressly provided herein) of each Subsidiary Guarantor under the Guarantee shall terminate, all without delivery of any instrument or performance of any act by any person. In connection with any such termination, the Administrative Agent and the Brazilian Administrative Agent are hereby irrevocably authorized by each Lender and each Issuing Lender (without requirement of notice to or consent of any Lender or any Issuing Lender except as expressly required by Section 10.1) to take, and the Administrative Agent and the Brazilian Administrative Agent hereby agree to take, promptly, any action reasonably requested by the Company having the effect of releasing, or evidencing the release of, the obligations of each Subsidiary Guarantor under the Guarantee.</w:t>
      </w:r>
    </w:p>
    <w:p>
      <w:pPr>
        <w:spacing w:after="0" w:line="166" w:lineRule="exact"/>
        <w:rPr>
          <w:rFonts w:ascii="Arial" w:cs="Arial" w:eastAsia="Arial" w:hAnsi="Arial"/>
          <w:sz w:val="16"/>
          <w:szCs w:val="16"/>
          <w:color w:val="auto"/>
        </w:rPr>
      </w:pPr>
    </w:p>
    <w:p>
      <w:pPr>
        <w:ind w:firstLine="1072"/>
        <w:spacing w:after="0" w:line="253" w:lineRule="auto"/>
        <w:tabs>
          <w:tab w:leader="none" w:pos="17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ceases for any reason not otherwise prohibited by the Loan Documents to be a Subsidiary Guarantor.</w:t>
      </w:r>
    </w:p>
    <w:p>
      <w:pPr>
        <w:spacing w:after="0" w:line="187" w:lineRule="exact"/>
        <w:rPr>
          <w:rFonts w:ascii="Arial" w:cs="Arial" w:eastAsia="Arial" w:hAnsi="Arial"/>
          <w:sz w:val="18"/>
          <w:szCs w:val="18"/>
          <w:color w:val="auto"/>
        </w:rPr>
      </w:pPr>
    </w:p>
    <w:p>
      <w:pPr>
        <w:ind w:left="1780" w:hanging="708"/>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1800" w:hanging="728"/>
        <w:spacing w:after="0"/>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14" w:lineRule="exact"/>
        <w:rPr>
          <w:sz w:val="20"/>
          <w:szCs w:val="20"/>
          <w:color w:val="auto"/>
        </w:rPr>
      </w:pPr>
    </w:p>
    <w:p>
      <w:pPr>
        <w:ind w:right="160" w:firstLine="1063"/>
        <w:spacing w:after="0" w:line="263"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the Brazilian Administrative Agent, each Issuing Lender, each Lender and each Transferee (each a “</w:t>
      </w:r>
      <w:r>
        <w:rPr>
          <w:rFonts w:ascii="Arial" w:cs="Arial" w:eastAsia="Arial" w:hAnsi="Arial"/>
          <w:sz w:val="18"/>
          <w:szCs w:val="18"/>
          <w:u w:val="single" w:color="auto"/>
          <w:color w:val="auto"/>
        </w:rPr>
        <w:t>Receiving Party</w:t>
      </w:r>
      <w:r>
        <w:rPr>
          <w:rFonts w:ascii="Arial" w:cs="Arial" w:eastAsia="Arial" w:hAnsi="Arial"/>
          <w:sz w:val="18"/>
          <w:szCs w:val="18"/>
          <w:color w:val="auto"/>
        </w:rPr>
        <w:t>”) agrees to keep</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40"/>
          </w:cols>
          <w:pgMar w:left="220" w:top="510" w:right="239" w:bottom="1440" w:gutter="0" w:footer="0" w:header="0"/>
        </w:sectPr>
      </w:pPr>
    </w:p>
    <w:bookmarkStart w:id="112" w:name="page113"/>
    <w:bookmarkEnd w:id="112"/>
    <w:p>
      <w:pPr>
        <w:ind w:right="40"/>
        <w:spacing w:after="0" w:line="277" w:lineRule="auto"/>
        <w:rPr>
          <w:sz w:val="20"/>
          <w:szCs w:val="20"/>
          <w:color w:val="auto"/>
        </w:rPr>
      </w:pPr>
      <w:r>
        <w:rPr>
          <w:rFonts w:ascii="Arial" w:cs="Arial" w:eastAsia="Arial" w:hAnsi="Arial"/>
          <w:sz w:val="16"/>
          <w:szCs w:val="16"/>
          <w:color w:val="auto"/>
        </w:rPr>
        <w:t xml:space="preserve">confidential all non-public information provided to it by or on behalf of any Loan Party or any of its respective Subsidiaries, the Administrative Agent, the Brazilian Administrative Agent, an Issuing Lender or any 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 Receiving Party from disclosing any such information (a) to the Administrative Agent, the Brazilian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(or other provisions at least as restrictive as this Section),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or the Brazilian Intercreditor Agreement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the Brazilian Intercreditor Agreement or (j) with the consent of the Borrower.</w:t>
      </w:r>
    </w:p>
    <w:p>
      <w:pPr>
        <w:spacing w:after="0" w:line="179" w:lineRule="exact"/>
        <w:rPr>
          <w:sz w:val="20"/>
          <w:szCs w:val="20"/>
          <w:color w:val="auto"/>
        </w:rPr>
      </w:pPr>
    </w:p>
    <w:p>
      <w:pPr>
        <w:ind w:right="100" w:firstLine="1063"/>
        <w:spacing w:after="0" w:line="250"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THE BRAZILIAN ADMINISTRATIVE AGENT, THE ISSUING LENDERS AND THE LENDERS HEREBY IRREVOCABLY AND UNCONDITIONALLY WAIVE TRIAL BY JURY IN ANY LEGAL ACTION OR PROCEEDING RELATING TO THIS AGREEMENT OR ANY OTHER LOAN DOCUMENT OR THE BRAZILIAN INTERCREDITOR AGREEMENT AND FOR ANY COUNTERCLAIM THEREIN.</w:t>
      </w:r>
    </w:p>
    <w:p>
      <w:pPr>
        <w:spacing w:after="0" w:line="190" w:lineRule="exact"/>
        <w:rPr>
          <w:sz w:val="20"/>
          <w:szCs w:val="20"/>
          <w:color w:val="auto"/>
        </w:rPr>
      </w:pPr>
    </w:p>
    <w:p>
      <w:pPr>
        <w:ind w:right="20" w:firstLine="1063"/>
        <w:spacing w:after="0" w:line="291"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w:t>
      </w:r>
    </w:p>
    <w:p>
      <w:pPr>
        <w:spacing w:after="0" w:line="160"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firstLine="1063"/>
        <w:spacing w:after="0" w:line="267" w:lineRule="auto"/>
        <w:rPr>
          <w:sz w:val="20"/>
          <w:szCs w:val="20"/>
          <w:color w:val="auto"/>
        </w:rPr>
      </w:pPr>
      <w:r>
        <w:rPr>
          <w:rFonts w:ascii="Arial" w:cs="Arial" w:eastAsia="Arial" w:hAnsi="Arial"/>
          <w:sz w:val="17"/>
          <w:szCs w:val="17"/>
          <w:color w:val="auto"/>
        </w:rPr>
        <w:t xml:space="preserve">10.20 </w:t>
      </w:r>
      <w:r>
        <w:rPr>
          <w:rFonts w:ascii="Arial" w:cs="Arial" w:eastAsia="Arial" w:hAnsi="Arial"/>
          <w:sz w:val="17"/>
          <w:szCs w:val="17"/>
          <w:u w:val="single" w:color="auto"/>
          <w:color w:val="auto"/>
        </w:rPr>
        <w:t>No Novation</w:t>
      </w:r>
      <w:r>
        <w:rPr>
          <w:rFonts w:ascii="Arial" w:cs="Arial" w:eastAsia="Arial" w:hAnsi="Arial"/>
          <w:sz w:val="17"/>
          <w:szCs w:val="17"/>
          <w:color w:val="auto"/>
        </w:rPr>
        <w:t>. The terms and conditions of the Existing Three Year Credit Agreement are amended as set forth in, and restated in their entirety and superseded by, this Agreement. Nothing in this Agreement shall be deemed to be a novation of any of the Obligations as defined in the Existing Three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Three Year Credit Agreement. From and</w:t>
      </w:r>
    </w:p>
    <w:p>
      <w:pPr>
        <w:spacing w:after="0" w:line="15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60"/>
          </w:cols>
          <w:pgMar w:left="220" w:top="510" w:right="219" w:bottom="1440" w:gutter="0" w:footer="0" w:header="0"/>
        </w:sectPr>
      </w:pPr>
    </w:p>
    <w:bookmarkStart w:id="113" w:name="page114"/>
    <w:bookmarkEnd w:id="113"/>
    <w:p>
      <w:pPr>
        <w:jc w:val="both"/>
        <w:spacing w:after="0" w:line="253" w:lineRule="auto"/>
        <w:rPr>
          <w:sz w:val="20"/>
          <w:szCs w:val="20"/>
          <w:color w:val="auto"/>
        </w:rPr>
      </w:pPr>
      <w:r>
        <w:rPr>
          <w:rFonts w:ascii="Arial" w:cs="Arial" w:eastAsia="Arial" w:hAnsi="Arial"/>
          <w:sz w:val="18"/>
          <w:szCs w:val="18"/>
          <w:color w:val="auto"/>
        </w:rPr>
        <w:t>after the Closing Date, each reference to the “Agreement”, “Credit Agreement” or other reference originally applicable to the Existing Three Year Credit Agreement contained in any Loan Document or the Brazilian Intercreditor Agreement shall be a reference to this Agreement, as amended, supplemented, restated or otherwise modified from time to time.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880"/>
          </w:cols>
          <w:pgMar w:left="220" w:top="510" w:right="799" w:bottom="1440" w:gutter="0" w:footer="0" w:header="0"/>
        </w:sectPr>
      </w:pPr>
    </w:p>
    <w:bookmarkStart w:id="114" w:name="page115"/>
    <w:bookmarkEnd w:id="114"/>
    <w:p>
      <w:pPr>
        <w:ind w:firstLine="1063"/>
        <w:spacing w:after="0" w:line="263"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proper and duly authorized officers as of the day and year first above written.</w:t>
      </w:r>
    </w:p>
    <w:p>
      <w:pPr>
        <w:spacing w:after="0" w:line="26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GENERAL MOTORS COMPANY</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NIHARIKA RAMDEV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Niharika Ramdev</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 Finance &amp; Treasurer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GENERAL MOTORS FINANCIAL COMPANY, INC.</w:t>
      </w:r>
    </w:p>
    <w:p>
      <w:pPr>
        <w:spacing w:after="0" w:line="2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SUSAN B. SHEFFIELD</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38538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1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Susan B. Sheffield</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Executive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GM EUROPE TREASURY COMPANY AB</w:t>
      </w:r>
    </w:p>
    <w:p>
      <w:pPr>
        <w:spacing w:after="0" w:line="2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SHAUNDA SNELL</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38538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1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Shaunda Snell</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GENERAL MOTORS DO BRASIL LTDA.</w:t>
      </w:r>
    </w:p>
    <w:p>
      <w:pPr>
        <w:spacing w:after="0" w:line="2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PAULO HENRIQUE LAGE NORMAN</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38538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1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Paulo Henrique Lage Noman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right="440"/>
        <w:spacing w:after="0" w:line="312" w:lineRule="auto"/>
        <w:rPr>
          <w:sz w:val="20"/>
          <w:szCs w:val="20"/>
          <w:color w:val="auto"/>
        </w:rPr>
      </w:pPr>
      <w:r>
        <w:rPr>
          <w:rFonts w:ascii="Arial" w:cs="Arial" w:eastAsia="Arial" w:hAnsi="Arial"/>
          <w:sz w:val="16"/>
          <w:szCs w:val="16"/>
          <w:color w:val="auto"/>
        </w:rPr>
        <w:t>Consented to in its capacity as the “Company” under the Existing Three Year Credit Agreement and not as to any Obligations or Guarantee under this Agreement:</w:t>
      </w:r>
    </w:p>
    <w:p>
      <w:pPr>
        <w:spacing w:after="0" w:line="200" w:lineRule="exact"/>
        <w:rPr>
          <w:sz w:val="20"/>
          <w:szCs w:val="20"/>
          <w:color w:val="auto"/>
        </w:rPr>
      </w:pPr>
    </w:p>
    <w:p>
      <w:pPr>
        <w:spacing w:after="0" w:line="27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GENERAL MOTORS HOLDINGS LLC</w:t>
      </w:r>
    </w:p>
    <w:p>
      <w:pPr>
        <w:spacing w:after="0" w:line="236"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NIHARIKA RAMDEV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Niharika Ramdev</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 Finance &amp; Treasurer</w:t>
      </w: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280"/>
          </w:cols>
          <w:pgMar w:left="220" w:top="510" w:right="399" w:bottom="1440" w:gutter="0" w:footer="0" w:header="0"/>
        </w:sectPr>
      </w:pPr>
    </w:p>
    <w:bookmarkStart w:id="115" w:name="page116"/>
    <w:bookmarkEnd w:id="115"/>
    <w:p>
      <w:pPr>
        <w:ind w:left="4960"/>
        <w:spacing w:after="0"/>
        <w:rPr>
          <w:sz w:val="20"/>
          <w:szCs w:val="20"/>
          <w:color w:val="auto"/>
        </w:rPr>
      </w:pPr>
      <w:r>
        <w:rPr>
          <w:rFonts w:ascii="Arial" w:cs="Arial" w:eastAsia="Arial" w:hAnsi="Arial"/>
          <w:sz w:val="16"/>
          <w:szCs w:val="16"/>
          <w:color w:val="auto"/>
        </w:rPr>
        <w:t>JPMORGAN CHASE BANK, N.A., as Administrative Agent and</w:t>
      </w:r>
    </w:p>
    <w:p>
      <w:pPr>
        <w:spacing w:after="0" w:line="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as Lender</w:t>
      </w:r>
    </w:p>
    <w:p>
      <w:pPr>
        <w:spacing w:after="0" w:line="22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W. DUKER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10795</wp:posOffset>
            </wp:positionV>
            <wp:extent cx="27844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4475" cy="6985"/>
                    </a:xfrm>
                    <a:prstGeom prst="rect">
                      <a:avLst/>
                    </a:prstGeom>
                    <a:noFill/>
                  </pic:spPr>
                </pic:pic>
              </a:graphicData>
            </a:graphic>
          </wp:anchor>
        </w:drawing>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Richard W. Duker</w:t>
      </w:r>
    </w:p>
    <w:p>
      <w:pPr>
        <w:spacing w:after="0" w:line="3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0239"/>
          </w:cols>
          <w:pgMar w:left="220" w:top="843" w:right="1440" w:bottom="1440" w:gutter="0" w:footer="0" w:header="0"/>
        </w:sectPr>
      </w:pPr>
    </w:p>
    <w:bookmarkStart w:id="116" w:name="page117"/>
    <w:bookmarkEnd w:id="116"/>
    <w:p>
      <w:pPr>
        <w:ind w:left="4880" w:right="420"/>
        <w:spacing w:after="0" w:line="288" w:lineRule="auto"/>
        <w:rPr>
          <w:sz w:val="20"/>
          <w:szCs w:val="20"/>
          <w:color w:val="auto"/>
        </w:rPr>
      </w:pPr>
      <w:r>
        <w:rPr>
          <w:rFonts w:ascii="Arial" w:cs="Arial" w:eastAsia="Arial" w:hAnsi="Arial"/>
          <w:sz w:val="18"/>
          <w:szCs w:val="18"/>
          <w:color w:val="auto"/>
        </w:rPr>
        <w:t>BANCO DO BRASIL S.A., as Brazilian Administrative Agent and as Lender By: /s/ GERALDO MORETE JUNIOR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-8890</wp:posOffset>
            </wp:positionV>
            <wp:extent cx="385381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Name: Geraldo Morete Junior</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Gerente Geral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Citibank, N.A., as Syndication Agent and as Lender</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SUSAN M. OLSEN</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38538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1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Susan M. Olsen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BANK OF AMERICA, N.A., as Co-Syndication Agent and as Lender</w:t>
      </w:r>
    </w:p>
    <w:p>
      <w:pPr>
        <w:spacing w:after="0" w:line="2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BRIAN LUKEHART</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38538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1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Brian Lukehart</w:t>
      </w:r>
    </w:p>
    <w:p>
      <w:pPr>
        <w:spacing w:after="0" w:line="2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80"/>
        <w:spacing w:after="0" w:line="250" w:lineRule="auto"/>
        <w:rPr>
          <w:sz w:val="20"/>
          <w:szCs w:val="20"/>
          <w:color w:val="auto"/>
        </w:rPr>
      </w:pPr>
      <w:r>
        <w:rPr>
          <w:rFonts w:ascii="Arial" w:cs="Arial" w:eastAsia="Arial" w:hAnsi="Arial"/>
          <w:sz w:val="18"/>
          <w:szCs w:val="18"/>
          <w:color w:val="auto"/>
        </w:rPr>
        <w:t>INDUSTRIAL AND COMMERCIAL BANK OF CHINA LIMITED NEW YORK BRANCH, as Lender</w:t>
      </w:r>
    </w:p>
    <w:p>
      <w:pPr>
        <w:spacing w:after="0" w:line="1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QING HONG</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385381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1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Mr. Qing Hong</w:t>
      </w:r>
    </w:p>
    <w:p>
      <w:pPr>
        <w:spacing w:after="0" w:line="2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Deputy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LLOYDS BANK PLC, as Lender</w:t>
      </w:r>
    </w:p>
    <w:p>
      <w:pPr>
        <w:spacing w:after="0" w:line="2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STEPHEN GIACOLONE</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385381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1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Stephen Giacolone</w:t>
      </w:r>
    </w:p>
    <w:p>
      <w:pPr>
        <w:spacing w:after="0" w:line="2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Assistant Vice President - G011</w:t>
      </w:r>
    </w:p>
    <w:p>
      <w:pPr>
        <w:spacing w:after="0" w:line="200" w:lineRule="exact"/>
        <w:rPr>
          <w:sz w:val="20"/>
          <w:szCs w:val="20"/>
          <w:color w:val="auto"/>
        </w:rPr>
      </w:pPr>
    </w:p>
    <w:p>
      <w:pPr>
        <w:spacing w:after="0" w:line="346"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MCCLELLAN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Dennis McClellan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Assistant Vice President - M040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10800"/>
          </w:cols>
          <w:pgMar w:left="220" w:top="632" w:right="87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9"/>
          <w:szCs w:val="9"/>
          <w:color w:val="auto"/>
        </w:rPr>
        <w:t>509265-1725-14038-Active.16338633</w:t>
      </w:r>
    </w:p>
    <w:p>
      <w:pPr>
        <w:sectPr>
          <w:pgSz w:w="11900" w:h="16838" w:orient="portrait"/>
          <w:cols w:equalWidth="0" w:num="1">
            <w:col w:w="10800"/>
          </w:cols>
          <w:pgMar w:left="220" w:top="632" w:right="879" w:bottom="1440" w:gutter="0" w:footer="0" w:header="0"/>
          <w:type w:val="continuous"/>
        </w:sectPr>
      </w:pPr>
    </w:p>
    <w:bookmarkStart w:id="117" w:name="page118"/>
    <w:bookmarkEnd w:id="117"/>
    <w:p>
      <w:pPr>
        <w:ind w:left="4880"/>
        <w:spacing w:after="0"/>
        <w:rPr>
          <w:sz w:val="20"/>
          <w:szCs w:val="20"/>
          <w:color w:val="auto"/>
        </w:rPr>
      </w:pPr>
      <w:r>
        <w:rPr>
          <w:rFonts w:ascii="Arial" w:cs="Arial" w:eastAsia="Arial" w:hAnsi="Arial"/>
          <w:sz w:val="18"/>
          <w:szCs w:val="18"/>
          <w:color w:val="auto"/>
        </w:rPr>
        <w:t>TORONTO DOMINION (TEXAS) LLC,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VICTOR J. HUEBNER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Victor J. Huebner</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Banco Bradesco S.A., New York Branch,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ADRIAN A. G.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Adrian A. G. Costa</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BARCLAYS BANK PLC,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Craig J. Malloy</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BNP PARIBAS,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Richard Pace</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Managing Director</w:t>
      </w:r>
    </w:p>
    <w:p>
      <w:pPr>
        <w:spacing w:after="0" w:line="302"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NANETTE BAUDON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Nanette Baudon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COMMERZBANK AG, NEW YORK AND GRAND CAYMAN BRANCHES,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HARTWEGER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Patrick Hartweger</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Managing Director</w:t>
      </w:r>
    </w:p>
    <w:p>
      <w:pPr>
        <w:spacing w:after="0" w:line="34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Anne Culver</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Associate</w:t>
      </w: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300"/>
          </w:cols>
          <w:pgMar w:left="220" w:top="632" w:right="37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COMMERZBANK AKTIENGESELLSCHAFT, FILIALE LUXEMBURG,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ANTJE SCHNOOR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Antje Schnoor</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69"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FRANK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Frank Schmidt</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CREDIT AGRICOLE CORPORATE &amp; INVESTMENT BANK,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Gordon Yip</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Director</w:t>
      </w:r>
    </w:p>
    <w:p>
      <w:pPr>
        <w:spacing w:after="0" w:line="302"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JULIETTE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Juliette Cohen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CREDIT SUISSE AG, CAYMAN ISLANDS BRANCH,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Mikhail Faybusovich</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Signatory</w:t>
      </w:r>
    </w:p>
    <w:p>
      <w:pPr>
        <w:spacing w:after="0" w:line="302"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REMY RIESTER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Remy Riester</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DEUTSCHE BANK AG NEW YORK BRANCH,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Michael Winters</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w:t>
      </w:r>
    </w:p>
    <w:p>
      <w:pPr>
        <w:spacing w:after="0" w:line="302"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KIRK L. TASHJIAN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Kirk L. Tashjian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w:t>
      </w:r>
    </w:p>
    <w:p>
      <w:pPr>
        <w:spacing w:after="0" w:line="389"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000"/>
          </w:cols>
          <w:pgMar w:left="220" w:top="632" w:right="679" w:bottom="1440" w:gutter="0" w:footer="0" w:header="0"/>
        </w:sectPr>
      </w:pPr>
    </w:p>
    <w:bookmarkStart w:id="119" w:name="page120"/>
    <w:bookmarkEnd w:id="119"/>
    <w:p>
      <w:pPr>
        <w:ind w:left="4880"/>
        <w:spacing w:after="0"/>
        <w:rPr>
          <w:sz w:val="20"/>
          <w:szCs w:val="20"/>
          <w:color w:val="auto"/>
        </w:rPr>
      </w:pPr>
      <w:r>
        <w:rPr>
          <w:rFonts w:ascii="Arial" w:cs="Arial" w:eastAsia="Arial" w:hAnsi="Arial"/>
          <w:sz w:val="18"/>
          <w:szCs w:val="18"/>
          <w:color w:val="auto"/>
        </w:rPr>
        <w:t>GOLDMAN SACHS BANK USA,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Rebecca Kratz</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Mizuho Bank, Ltd.,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Donna DeMagistris</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MORGAN STANLEY BANK, N.A.,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Michael King</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ROYAL BANK OF CANADA,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 K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P K Shields</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ROYAL BANK OF CANADA, acting through London branch, as Lender</w:t>
      </w:r>
    </w:p>
    <w:p>
      <w:pPr>
        <w:spacing w:after="0" w:line="48"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ATHERTON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Michael Atherton</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Managing Director, Corporate Banking, Royal Bank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0320"/>
          </w:cols>
          <w:pgMar w:left="220" w:top="632" w:right="1359" w:bottom="1440" w:gutter="0" w:footer="0" w:header="0"/>
        </w:sectPr>
      </w:pPr>
    </w:p>
    <w:bookmarkStart w:id="120" w:name="page121"/>
    <w:bookmarkEnd w:id="120"/>
    <w:p>
      <w:pPr>
        <w:ind w:left="4880"/>
        <w:spacing w:after="0"/>
        <w:rPr>
          <w:sz w:val="20"/>
          <w:szCs w:val="20"/>
          <w:color w:val="auto"/>
        </w:rPr>
      </w:pPr>
      <w:r>
        <w:rPr>
          <w:rFonts w:ascii="Arial" w:cs="Arial" w:eastAsia="Arial" w:hAnsi="Arial"/>
          <w:sz w:val="18"/>
          <w:szCs w:val="18"/>
          <w:color w:val="auto"/>
        </w:rPr>
        <w:t>THE ROYAL BANK OF SCOTLAND PLC,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 PETER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L. Peter Yetman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Societe Generale,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LINDA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Linda Tam</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Agricultural Bank of China Ltd., New York Branch,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Jian Zhang</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EVP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BANCO BILBAO VIZCAYA ARGENTARIA, S.A. NEW YORK BRANCH,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VERONICA INCERA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Veronica Incera</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Managing Director</w:t>
      </w:r>
    </w:p>
    <w:p>
      <w:pPr>
        <w:spacing w:after="0" w:line="369"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MAURICIO BENITEZ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Mauricio Benitez</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Bangkok Bank, New York Branch,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Thitipong Prasertsilp</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VP &amp; Branch Manager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Bank of China, New York Branch,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HAIFENG XU</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Haifeng Xu</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Executive Vice President</w:t>
      </w: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140"/>
          </w:cols>
          <w:pgMar w:left="220" w:top="632" w:right="539" w:bottom="1440" w:gutter="0" w:footer="0" w:header="0"/>
        </w:sectPr>
      </w:pPr>
    </w:p>
    <w:bookmarkStart w:id="121" w:name="page122"/>
    <w:bookmarkEnd w:id="121"/>
    <w:p>
      <w:pPr>
        <w:ind w:left="4880"/>
        <w:spacing w:after="0"/>
        <w:rPr>
          <w:sz w:val="20"/>
          <w:szCs w:val="20"/>
          <w:color w:val="auto"/>
        </w:rPr>
      </w:pPr>
      <w:r>
        <w:rPr>
          <w:rFonts w:ascii="Arial" w:cs="Arial" w:eastAsia="Arial" w:hAnsi="Arial"/>
          <w:sz w:val="18"/>
          <w:szCs w:val="18"/>
          <w:color w:val="auto"/>
        </w:rPr>
        <w:t>Bank of Montreal, Chicago Branch,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YACOUBA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Yacouba Kane</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CANADIAN IMPERIAL BANK OF COMMERCE, NEW YORK AGENCY,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DOMINIC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Dominic Sorresso</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Signatory</w:t>
      </w:r>
    </w:p>
    <w:p>
      <w:pPr>
        <w:spacing w:after="0" w:line="280"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RHEMA ASAAM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Rhema Asaam</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9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Capital One, N.A.,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MAHEU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David Maheu</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39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COMMONWEALTH BANK OF AUSTRALIA,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M. KENDLER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Jared M. Kendler</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39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DBS Bank Ltd., Los Angeles Agency,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ROSE PARK</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Rose Park</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Portfolio Director</w:t>
      </w:r>
    </w:p>
    <w:p>
      <w:pPr>
        <w:spacing w:after="0" w:line="200" w:lineRule="exact"/>
        <w:rPr>
          <w:sz w:val="20"/>
          <w:szCs w:val="20"/>
          <w:color w:val="auto"/>
        </w:rPr>
      </w:pPr>
    </w:p>
    <w:p>
      <w:pPr>
        <w:spacing w:after="0" w:line="39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INTESA SANPAOLO S.p.A.,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FRANCESCO CALCARA</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Francesco Calcara</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w:t>
      </w:r>
    </w:p>
    <w:p>
      <w:pPr>
        <w:spacing w:after="0" w:line="302"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DENTON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William Denton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Global Relationship Manager</w:t>
      </w: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160"/>
          </w:cols>
          <w:pgMar w:left="220" w:top="632" w:right="519" w:bottom="1440" w:gutter="0" w:footer="0" w:header="0"/>
        </w:sectPr>
      </w:pPr>
    </w:p>
    <w:bookmarkStart w:id="122" w:name="page123"/>
    <w:bookmarkEnd w:id="122"/>
    <w:p>
      <w:pPr>
        <w:ind w:left="4880"/>
        <w:spacing w:after="0"/>
        <w:rPr>
          <w:sz w:val="20"/>
          <w:szCs w:val="20"/>
          <w:color w:val="auto"/>
        </w:rPr>
      </w:pPr>
      <w:r>
        <w:rPr>
          <w:rFonts w:ascii="Arial" w:cs="Arial" w:eastAsia="Arial" w:hAnsi="Arial"/>
          <w:sz w:val="18"/>
          <w:szCs w:val="18"/>
          <w:color w:val="auto"/>
        </w:rPr>
        <w:t>Itau Unibanco S.A., New York Branch,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CIRO DE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Ciro De Mello</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General Manager</w:t>
      </w:r>
    </w:p>
    <w:p>
      <w:pPr>
        <w:spacing w:after="0" w:line="302"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CLAUDIA L.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Claudia L. Lopes</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Deputy General Manager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PNC BANK, NATIONAL ASSOCIATION,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 KOWALSKI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Scott M. Kowalski</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SANTANDER BANK, N.A.,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DEANNE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Deanne Horn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STATE STREET BANK AND TRUST COMPANY, as Lender</w:t>
      </w:r>
    </w:p>
    <w:p>
      <w:pPr>
        <w:spacing w:after="0" w:line="60" w:lineRule="exact"/>
        <w:rPr>
          <w:sz w:val="20"/>
          <w:szCs w:val="20"/>
          <w:color w:val="auto"/>
        </w:rPr>
      </w:pPr>
    </w:p>
    <w:p>
      <w:pPr>
        <w:jc w:val="both"/>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jc w:val="right"/>
        <w:ind w:right="3239"/>
        <w:spacing w:after="0"/>
        <w:rPr>
          <w:sz w:val="20"/>
          <w:szCs w:val="20"/>
          <w:color w:val="auto"/>
        </w:rPr>
      </w:pPr>
      <w:r>
        <w:rPr>
          <w:rFonts w:ascii="Arial" w:cs="Arial" w:eastAsia="Arial" w:hAnsi="Arial"/>
          <w:sz w:val="18"/>
          <w:szCs w:val="18"/>
          <w:color w:val="auto"/>
        </w:rPr>
        <w:t>Name: Mary H. Carey</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819"/>
        <w:spacing w:after="0"/>
        <w:rPr>
          <w:sz w:val="20"/>
          <w:szCs w:val="20"/>
          <w:color w:val="auto"/>
        </w:rPr>
      </w:pPr>
      <w:r>
        <w:rPr>
          <w:rFonts w:ascii="Arial" w:cs="Arial" w:eastAsia="Arial" w:hAnsi="Arial"/>
          <w:sz w:val="18"/>
          <w:szCs w:val="18"/>
          <w:color w:val="auto"/>
        </w:rPr>
        <w:t>SUMITOMO MITSUI BANKING CORPORATION,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W.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David W. Kee</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THE BANK OF NEW YORK MELLON,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T. SMATHERS</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John T. Smathers</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First Vice President</w:t>
      </w:r>
    </w:p>
    <w:p>
      <w:pPr>
        <w:spacing w:after="0" w:line="389"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0239"/>
          </w:cols>
          <w:pgMar w:left="220" w:top="632" w:right="1440" w:bottom="1440" w:gutter="0" w:footer="0" w:header="0"/>
        </w:sectPr>
      </w:pPr>
    </w:p>
    <w:bookmarkStart w:id="123" w:name="page124"/>
    <w:bookmarkEnd w:id="123"/>
    <w:p>
      <w:pPr>
        <w:ind w:left="4880"/>
        <w:spacing w:after="0"/>
        <w:rPr>
          <w:sz w:val="20"/>
          <w:szCs w:val="20"/>
          <w:color w:val="auto"/>
        </w:rPr>
      </w:pPr>
      <w:r>
        <w:rPr>
          <w:rFonts w:ascii="Arial" w:cs="Arial" w:eastAsia="Arial" w:hAnsi="Arial"/>
          <w:sz w:val="18"/>
          <w:szCs w:val="18"/>
          <w:color w:val="auto"/>
        </w:rPr>
        <w:t>The Bank of Nova Scotia,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Kim Snyder</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UniCredit Bank AG, New York Branch,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Ken Hamilton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Managing Director</w:t>
      </w:r>
    </w:p>
    <w:p>
      <w:pPr>
        <w:spacing w:after="0" w:line="302"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Peter Daugavietis</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U.S. BANK NATIONAL ASSOCIATION,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Jeffrey S. Johnson</w:t>
      </w:r>
    </w:p>
    <w:p>
      <w:pPr>
        <w:spacing w:after="0" w:line="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Westpac Banking Corporation, as Lender</w:t>
      </w:r>
    </w:p>
    <w:p>
      <w:pPr>
        <w:spacing w:after="0" w:line="37"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YARNOLD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19685</wp:posOffset>
            </wp:positionV>
            <wp:extent cx="385381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53815" cy="6985"/>
                    </a:xfrm>
                    <a:prstGeom prst="rect">
                      <a:avLst/>
                    </a:prstGeom>
                    <a:noFill/>
                  </pic:spPr>
                </pic:pic>
              </a:graphicData>
            </a:graphic>
          </wp:anchor>
        </w:drawing>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Richard Yarnold</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Relationship Manager, Corporate &amp; Institutional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Signature Page to 3-Year Revolving Credit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0420"/>
          </w:cols>
          <w:pgMar w:left="220" w:top="632" w:right="1259" w:bottom="1440" w:gutter="0" w:footer="0" w:header="0"/>
        </w:sectPr>
      </w:pPr>
    </w:p>
    <w:bookmarkStart w:id="124" w:name="page125"/>
    <w:bookmarkEnd w:id="124"/>
    <w:p>
      <w:pPr>
        <w:jc w:val="center"/>
        <w:ind w:left="9220"/>
        <w:spacing w:after="0"/>
        <w:rPr>
          <w:sz w:val="20"/>
          <w:szCs w:val="20"/>
          <w:color w:val="auto"/>
        </w:rPr>
      </w:pPr>
      <w:r>
        <w:rPr>
          <w:rFonts w:ascii="Arial" w:cs="Arial" w:eastAsia="Arial" w:hAnsi="Arial"/>
          <w:sz w:val="16"/>
          <w:szCs w:val="16"/>
          <w:color w:val="auto"/>
        </w:rPr>
        <w:t>SCHEDULE 1.1A</w:t>
      </w:r>
    </w:p>
    <w:p>
      <w:pPr>
        <w:spacing w:after="0" w:line="60" w:lineRule="exact"/>
        <w:rPr>
          <w:sz w:val="20"/>
          <w:szCs w:val="20"/>
          <w:color w:val="auto"/>
        </w:rPr>
      </w:pPr>
    </w:p>
    <w:p>
      <w:pPr>
        <w:jc w:val="center"/>
        <w:ind w:left="922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6"/>
          <w:szCs w:val="16"/>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060" w:type="dxa"/>
            <w:vAlign w:val="bottom"/>
          </w:tcPr>
          <w:p>
            <w:pPr>
              <w:jc w:val="right"/>
              <w:ind w:right="1531"/>
              <w:spacing w:after="0"/>
              <w:rPr>
                <w:sz w:val="20"/>
                <w:szCs w:val="20"/>
                <w:color w:val="auto"/>
              </w:rPr>
            </w:pPr>
            <w:r>
              <w:rPr>
                <w:rFonts w:ascii="Arial" w:cs="Arial" w:eastAsia="Arial" w:hAnsi="Arial"/>
                <w:sz w:val="18"/>
                <w:szCs w:val="18"/>
                <w:b w:val="1"/>
                <w:bCs w:val="1"/>
                <w:color w:val="auto"/>
              </w:rPr>
              <w:t>COMMITMENTS</w:t>
            </w:r>
          </w:p>
        </w:tc>
      </w:tr>
      <w:tr>
        <w:trPr>
          <w:trHeight w:val="642"/>
        </w:trPr>
        <w:tc>
          <w:tcPr>
            <w:tcW w:w="5000" w:type="dxa"/>
            <w:vAlign w:val="bottom"/>
          </w:tcPr>
          <w:p>
            <w:pPr>
              <w:spacing w:after="0"/>
              <w:rPr>
                <w:sz w:val="20"/>
                <w:szCs w:val="20"/>
                <w:color w:val="auto"/>
              </w:rPr>
            </w:pPr>
            <w:r>
              <w:rPr>
                <w:rFonts w:ascii="Arial" w:cs="Arial" w:eastAsia="Arial" w:hAnsi="Arial"/>
                <w:sz w:val="18"/>
                <w:szCs w:val="18"/>
                <w:color w:val="auto"/>
              </w:rPr>
              <w:t>[ * * * ]</w:t>
            </w:r>
          </w:p>
        </w:tc>
        <w:tc>
          <w:tcPr>
            <w:tcW w:w="3060" w:type="dxa"/>
            <w:vAlign w:val="bottom"/>
          </w:tcPr>
          <w:p>
            <w:pPr>
              <w:spacing w:after="0"/>
              <w:rPr>
                <w:sz w:val="24"/>
                <w:szCs w:val="24"/>
                <w:color w:val="auto"/>
              </w:rPr>
            </w:pPr>
          </w:p>
        </w:tc>
      </w:tr>
      <w:tr>
        <w:trPr>
          <w:trHeight w:val="509"/>
        </w:trPr>
        <w:tc>
          <w:tcPr>
            <w:tcW w:w="5000" w:type="dxa"/>
            <w:vAlign w:val="bottom"/>
          </w:tcPr>
          <w:p>
            <w:pPr>
              <w:ind w:left="40"/>
              <w:spacing w:after="0"/>
              <w:rPr>
                <w:sz w:val="20"/>
                <w:szCs w:val="20"/>
                <w:color w:val="auto"/>
              </w:rPr>
            </w:pPr>
            <w:r>
              <w:rPr>
                <w:rFonts w:ascii="Arial" w:cs="Arial" w:eastAsia="Arial" w:hAnsi="Arial"/>
                <w:sz w:val="18"/>
                <w:szCs w:val="18"/>
                <w:color w:val="auto"/>
              </w:rPr>
              <w:t>State Street Bank and Trust Company</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1"/>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Bangkok Bank, New York Branch</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 * * ]</w:t>
            </w:r>
          </w:p>
        </w:tc>
      </w:tr>
      <w:tr>
        <w:trPr>
          <w:trHeight w:val="228"/>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619"/>
        </w:trPr>
        <w:tc>
          <w:tcPr>
            <w:tcW w:w="5000" w:type="dxa"/>
            <w:vAlign w:val="bottom"/>
          </w:tcPr>
          <w:p>
            <w:pPr>
              <w:spacing w:after="0"/>
              <w:rPr>
                <w:sz w:val="20"/>
                <w:szCs w:val="20"/>
                <w:color w:val="auto"/>
              </w:rPr>
            </w:pPr>
            <w:r>
              <w:rPr>
                <w:rFonts w:ascii="Arial" w:cs="Arial" w:eastAsia="Arial" w:hAnsi="Arial"/>
                <w:sz w:val="18"/>
                <w:szCs w:val="18"/>
                <w:color w:val="auto"/>
              </w:rPr>
              <w:t>[ * * * ]</w:t>
            </w:r>
          </w:p>
        </w:tc>
        <w:tc>
          <w:tcPr>
            <w:tcW w:w="3060" w:type="dxa"/>
            <w:vAlign w:val="bottom"/>
          </w:tcPr>
          <w:p>
            <w:pPr>
              <w:spacing w:after="0"/>
              <w:rPr>
                <w:sz w:val="24"/>
                <w:szCs w:val="24"/>
                <w:color w:val="auto"/>
              </w:rPr>
            </w:pPr>
          </w:p>
        </w:tc>
      </w:tr>
      <w:tr>
        <w:trPr>
          <w:trHeight w:val="509"/>
        </w:trPr>
        <w:tc>
          <w:tcPr>
            <w:tcW w:w="5000" w:type="dxa"/>
            <w:vAlign w:val="bottom"/>
          </w:tcPr>
          <w:p>
            <w:pPr>
              <w:ind w:left="40"/>
              <w:spacing w:after="0"/>
              <w:rPr>
                <w:sz w:val="20"/>
                <w:szCs w:val="20"/>
                <w:color w:val="auto"/>
              </w:rPr>
            </w:pPr>
            <w:r>
              <w:rPr>
                <w:rFonts w:ascii="Arial" w:cs="Arial" w:eastAsia="Arial" w:hAnsi="Arial"/>
                <w:sz w:val="18"/>
                <w:szCs w:val="18"/>
                <w:color w:val="auto"/>
              </w:rPr>
              <w:t>JPMorgan Chase Bank, N.A.</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000" w:type="dxa"/>
            <w:vAlign w:val="bottom"/>
          </w:tcPr>
          <w:p>
            <w:pPr>
              <w:ind w:left="40"/>
              <w:spacing w:after="0"/>
              <w:rPr>
                <w:sz w:val="20"/>
                <w:szCs w:val="20"/>
                <w:color w:val="auto"/>
              </w:rPr>
            </w:pPr>
            <w:r>
              <w:rPr>
                <w:rFonts w:ascii="Arial" w:cs="Arial" w:eastAsia="Arial" w:hAnsi="Arial"/>
                <w:sz w:val="18"/>
                <w:szCs w:val="18"/>
                <w:color w:val="auto"/>
              </w:rPr>
              <w:t>Citibank, N.A.</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000" w:type="dxa"/>
            <w:vAlign w:val="bottom"/>
          </w:tcPr>
          <w:p>
            <w:pPr>
              <w:ind w:left="40"/>
              <w:spacing w:after="0"/>
              <w:rPr>
                <w:sz w:val="20"/>
                <w:szCs w:val="20"/>
                <w:color w:val="auto"/>
              </w:rPr>
            </w:pPr>
            <w:r>
              <w:rPr>
                <w:rFonts w:ascii="Arial" w:cs="Arial" w:eastAsia="Arial" w:hAnsi="Arial"/>
                <w:sz w:val="18"/>
                <w:szCs w:val="18"/>
                <w:color w:val="auto"/>
              </w:rPr>
              <w:t>Barclays Bank PLC</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000" w:type="dxa"/>
            <w:vAlign w:val="bottom"/>
          </w:tcPr>
          <w:p>
            <w:pPr>
              <w:ind w:left="40"/>
              <w:spacing w:after="0"/>
              <w:rPr>
                <w:sz w:val="20"/>
                <w:szCs w:val="20"/>
                <w:color w:val="auto"/>
              </w:rPr>
            </w:pPr>
            <w:r>
              <w:rPr>
                <w:rFonts w:ascii="Arial" w:cs="Arial" w:eastAsia="Arial" w:hAnsi="Arial"/>
                <w:sz w:val="18"/>
                <w:szCs w:val="18"/>
                <w:color w:val="auto"/>
              </w:rPr>
              <w:t>BNP Paribas</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000" w:type="dxa"/>
            <w:vAlign w:val="bottom"/>
          </w:tcPr>
          <w:p>
            <w:pPr>
              <w:ind w:left="40"/>
              <w:spacing w:after="0"/>
              <w:rPr>
                <w:sz w:val="20"/>
                <w:szCs w:val="20"/>
                <w:color w:val="auto"/>
              </w:rPr>
            </w:pPr>
            <w:r>
              <w:rPr>
                <w:rFonts w:ascii="Arial" w:cs="Arial" w:eastAsia="Arial" w:hAnsi="Arial"/>
                <w:sz w:val="18"/>
                <w:szCs w:val="18"/>
                <w:color w:val="auto"/>
              </w:rPr>
              <w:t>Deutsche Bank AG New York Branch</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000" w:type="dxa"/>
            <w:vAlign w:val="bottom"/>
          </w:tcPr>
          <w:p>
            <w:pPr>
              <w:ind w:left="40"/>
              <w:spacing w:after="0"/>
              <w:rPr>
                <w:sz w:val="20"/>
                <w:szCs w:val="20"/>
                <w:color w:val="auto"/>
              </w:rPr>
            </w:pPr>
            <w:r>
              <w:rPr>
                <w:rFonts w:ascii="Arial" w:cs="Arial" w:eastAsia="Arial" w:hAnsi="Arial"/>
                <w:sz w:val="18"/>
                <w:szCs w:val="18"/>
                <w:color w:val="auto"/>
                <w:w w:val="91"/>
              </w:rPr>
              <w:t>Industrial and Commercial Bank of China Limited, New York Branch</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000" w:type="dxa"/>
            <w:vAlign w:val="bottom"/>
          </w:tcPr>
          <w:p>
            <w:pPr>
              <w:ind w:left="40"/>
              <w:spacing w:after="0"/>
              <w:rPr>
                <w:sz w:val="20"/>
                <w:szCs w:val="20"/>
                <w:color w:val="auto"/>
              </w:rPr>
            </w:pPr>
            <w:r>
              <w:rPr>
                <w:rFonts w:ascii="Arial" w:cs="Arial" w:eastAsia="Arial" w:hAnsi="Arial"/>
                <w:sz w:val="18"/>
                <w:szCs w:val="18"/>
                <w:color w:val="auto"/>
              </w:rPr>
              <w:t>The Royal Bank of Scotland plc</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000" w:type="dxa"/>
            <w:vAlign w:val="bottom"/>
          </w:tcPr>
          <w:p>
            <w:pPr>
              <w:ind w:left="40"/>
              <w:spacing w:after="0"/>
              <w:rPr>
                <w:sz w:val="20"/>
                <w:szCs w:val="20"/>
                <w:color w:val="auto"/>
              </w:rPr>
            </w:pPr>
            <w:r>
              <w:rPr>
                <w:rFonts w:ascii="Arial" w:cs="Arial" w:eastAsia="Arial" w:hAnsi="Arial"/>
                <w:sz w:val="18"/>
                <w:szCs w:val="18"/>
                <w:color w:val="auto"/>
              </w:rPr>
              <w:t>Canadian Imperial Bank of Commerce, New York Agency</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000" w:type="dxa"/>
            <w:vAlign w:val="bottom"/>
          </w:tcPr>
          <w:p>
            <w:pPr>
              <w:ind w:left="40"/>
              <w:spacing w:after="0"/>
              <w:rPr>
                <w:sz w:val="20"/>
                <w:szCs w:val="20"/>
                <w:color w:val="auto"/>
              </w:rPr>
            </w:pPr>
            <w:r>
              <w:rPr>
                <w:rFonts w:ascii="Arial" w:cs="Arial" w:eastAsia="Arial" w:hAnsi="Arial"/>
                <w:sz w:val="18"/>
                <w:szCs w:val="18"/>
                <w:color w:val="auto"/>
              </w:rPr>
              <w:t>Commerzbank Aktiengesellschaft, Filiale Luxemburg</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1"/>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 Bank of New York Mellon</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 * * ]</w:t>
            </w:r>
          </w:p>
        </w:tc>
      </w:tr>
      <w:tr>
        <w:trPr>
          <w:trHeight w:val="228"/>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619"/>
        </w:trPr>
        <w:tc>
          <w:tcPr>
            <w:tcW w:w="5000" w:type="dxa"/>
            <w:vAlign w:val="bottom"/>
          </w:tcPr>
          <w:p>
            <w:pPr>
              <w:spacing w:after="0"/>
              <w:rPr>
                <w:sz w:val="20"/>
                <w:szCs w:val="20"/>
                <w:color w:val="auto"/>
              </w:rPr>
            </w:pPr>
            <w:r>
              <w:rPr>
                <w:rFonts w:ascii="Arial" w:cs="Arial" w:eastAsia="Arial" w:hAnsi="Arial"/>
                <w:sz w:val="18"/>
                <w:szCs w:val="18"/>
                <w:color w:val="auto"/>
              </w:rPr>
              <w:t>[ * * * ]</w:t>
            </w:r>
          </w:p>
        </w:tc>
        <w:tc>
          <w:tcPr>
            <w:tcW w:w="3060" w:type="dxa"/>
            <w:vAlign w:val="bottom"/>
          </w:tcPr>
          <w:p>
            <w:pPr>
              <w:spacing w:after="0"/>
              <w:rPr>
                <w:sz w:val="24"/>
                <w:szCs w:val="24"/>
                <w:color w:val="auto"/>
              </w:rPr>
            </w:pPr>
          </w:p>
        </w:tc>
      </w:tr>
      <w:tr>
        <w:trPr>
          <w:trHeight w:val="574"/>
        </w:trPr>
        <w:tc>
          <w:tcPr>
            <w:tcW w:w="500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3060" w:type="dxa"/>
            <w:vAlign w:val="bottom"/>
          </w:tcPr>
          <w:p>
            <w:pPr>
              <w:spacing w:after="0"/>
              <w:rPr>
                <w:sz w:val="24"/>
                <w:szCs w:val="24"/>
                <w:color w:val="auto"/>
              </w:rPr>
            </w:pPr>
          </w:p>
        </w:tc>
      </w:tr>
      <w:tr>
        <w:trPr>
          <w:trHeight w:val="124"/>
        </w:trPr>
        <w:tc>
          <w:tcPr>
            <w:tcW w:w="5000" w:type="dxa"/>
            <w:vAlign w:val="bottom"/>
          </w:tcPr>
          <w:p>
            <w:pPr>
              <w:spacing w:after="0"/>
              <w:rPr>
                <w:sz w:val="20"/>
                <w:szCs w:val="20"/>
                <w:color w:val="auto"/>
              </w:rPr>
            </w:pPr>
            <w:r>
              <w:rPr>
                <w:rFonts w:ascii="Arial" w:cs="Arial" w:eastAsia="Arial" w:hAnsi="Arial"/>
                <w:sz w:val="10"/>
                <w:szCs w:val="10"/>
                <w:color w:val="auto"/>
              </w:rPr>
              <w:t>WEIL:\95095329\6\64946.0030</w:t>
            </w:r>
          </w:p>
        </w:tc>
        <w:tc>
          <w:tcPr>
            <w:tcW w:w="3060" w:type="dxa"/>
            <w:vAlign w:val="bottom"/>
          </w:tcPr>
          <w:p>
            <w:pPr>
              <w:spacing w:after="0"/>
              <w:rPr>
                <w:sz w:val="10"/>
                <w:szCs w:val="10"/>
                <w:color w:val="auto"/>
              </w:rPr>
            </w:pPr>
          </w:p>
        </w:tc>
      </w:tr>
    </w:tbl>
    <w:p>
      <w:pPr>
        <w:sectPr>
          <w:pgSz w:w="11900" w:h="16838" w:orient="portrait"/>
          <w:cols w:equalWidth="0" w:num="1">
            <w:col w:w="11000"/>
          </w:cols>
          <w:pgMar w:left="220" w:top="843" w:right="67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200" w:type="dxa"/>
            <w:vAlign w:val="bottom"/>
          </w:tcPr>
          <w:p>
            <w:pPr>
              <w:ind w:left="40"/>
              <w:spacing w:after="0"/>
              <w:rPr>
                <w:sz w:val="20"/>
                <w:szCs w:val="20"/>
                <w:color w:val="auto"/>
              </w:rPr>
            </w:pPr>
            <w:r>
              <w:rPr>
                <w:rFonts w:ascii="Arial" w:cs="Arial" w:eastAsia="Arial" w:hAnsi="Arial"/>
                <w:sz w:val="18"/>
                <w:szCs w:val="18"/>
                <w:color w:val="auto"/>
              </w:rPr>
              <w:t>JPMorgan Chase Bank, N.A.</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Citibank, N.A.</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Barclays Bank PLC</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BNP Paribas</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Deutsche Bank AG New York Branch</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Industrial and Commercial Bank of China Limited New York Branch</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The Royal Bank of Scotland plc</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Canadian Imperial Bank of Commerce, New York Agency</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Commerzbank Aktiengesellschaft, Filiale Luxemburg</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1"/>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 Bank of New York Mellon</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 * * ]</w:t>
            </w:r>
          </w:p>
        </w:tc>
      </w:tr>
      <w:tr>
        <w:trPr>
          <w:trHeight w:val="228"/>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619"/>
        </w:trPr>
        <w:tc>
          <w:tcPr>
            <w:tcW w:w="6200" w:type="dxa"/>
            <w:vAlign w:val="bottom"/>
          </w:tcPr>
          <w:p>
            <w:pPr>
              <w:spacing w:after="0"/>
              <w:rPr>
                <w:sz w:val="20"/>
                <w:szCs w:val="20"/>
                <w:color w:val="auto"/>
              </w:rPr>
            </w:pPr>
            <w:r>
              <w:rPr>
                <w:rFonts w:ascii="Arial" w:cs="Arial" w:eastAsia="Arial" w:hAnsi="Arial"/>
                <w:sz w:val="18"/>
                <w:szCs w:val="18"/>
                <w:color w:val="auto"/>
              </w:rPr>
              <w:t>[ * * * ]</w:t>
            </w:r>
          </w:p>
        </w:tc>
        <w:tc>
          <w:tcPr>
            <w:tcW w:w="1860" w:type="dxa"/>
            <w:vAlign w:val="bottom"/>
          </w:tcPr>
          <w:p>
            <w:pPr>
              <w:spacing w:after="0"/>
              <w:rPr>
                <w:sz w:val="24"/>
                <w:szCs w:val="24"/>
                <w:color w:val="auto"/>
              </w:rPr>
            </w:pPr>
          </w:p>
        </w:tc>
      </w:tr>
      <w:tr>
        <w:trPr>
          <w:trHeight w:val="509"/>
        </w:trPr>
        <w:tc>
          <w:tcPr>
            <w:tcW w:w="6200" w:type="dxa"/>
            <w:vAlign w:val="bottom"/>
          </w:tcPr>
          <w:p>
            <w:pPr>
              <w:ind w:left="40"/>
              <w:spacing w:after="0"/>
              <w:rPr>
                <w:sz w:val="20"/>
                <w:szCs w:val="20"/>
                <w:color w:val="auto"/>
              </w:rPr>
            </w:pPr>
            <w:r>
              <w:rPr>
                <w:rFonts w:ascii="Arial" w:cs="Arial" w:eastAsia="Arial" w:hAnsi="Arial"/>
                <w:sz w:val="18"/>
                <w:szCs w:val="18"/>
                <w:color w:val="auto"/>
              </w:rPr>
              <w:t>Banco Bradesco S.A.</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1"/>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Banco do Brasil S.A.</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 * * ]</w:t>
            </w:r>
          </w:p>
        </w:tc>
      </w:tr>
      <w:tr>
        <w:trPr>
          <w:trHeight w:val="228"/>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619"/>
        </w:trPr>
        <w:tc>
          <w:tcPr>
            <w:tcW w:w="6200" w:type="dxa"/>
            <w:vAlign w:val="bottom"/>
          </w:tcPr>
          <w:p>
            <w:pPr>
              <w:spacing w:after="0"/>
              <w:rPr>
                <w:sz w:val="20"/>
                <w:szCs w:val="20"/>
                <w:color w:val="auto"/>
              </w:rPr>
            </w:pPr>
            <w:r>
              <w:rPr>
                <w:rFonts w:ascii="Arial" w:cs="Arial" w:eastAsia="Arial" w:hAnsi="Arial"/>
                <w:sz w:val="18"/>
                <w:szCs w:val="18"/>
                <w:color w:val="auto"/>
              </w:rPr>
              <w:t>[ * * * ]</w:t>
            </w:r>
          </w:p>
        </w:tc>
        <w:tc>
          <w:tcPr>
            <w:tcW w:w="1860" w:type="dxa"/>
            <w:vAlign w:val="bottom"/>
          </w:tcPr>
          <w:p>
            <w:pPr>
              <w:spacing w:after="0"/>
              <w:rPr>
                <w:sz w:val="24"/>
                <w:szCs w:val="24"/>
                <w:color w:val="auto"/>
              </w:rPr>
            </w:pPr>
          </w:p>
        </w:tc>
      </w:tr>
      <w:tr>
        <w:trPr>
          <w:trHeight w:val="509"/>
        </w:trPr>
        <w:tc>
          <w:tcPr>
            <w:tcW w:w="6200" w:type="dxa"/>
            <w:vAlign w:val="bottom"/>
          </w:tcPr>
          <w:p>
            <w:pPr>
              <w:ind w:left="40"/>
              <w:spacing w:after="0"/>
              <w:rPr>
                <w:sz w:val="20"/>
                <w:szCs w:val="20"/>
                <w:color w:val="auto"/>
              </w:rPr>
            </w:pPr>
            <w:r>
              <w:rPr>
                <w:rFonts w:ascii="Arial" w:cs="Arial" w:eastAsia="Arial" w:hAnsi="Arial"/>
                <w:sz w:val="18"/>
                <w:szCs w:val="18"/>
                <w:color w:val="auto"/>
              </w:rPr>
              <w:t>Bank of America, N.A.</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Barclays Bank PLC</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BNP Paribas</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Commerzbank AG, New York and Grand Cayman Branches</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Credit Agricole Corporate &amp; Investment Bank</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Credit Suisse AG, Cayman Islands Branch</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Deutsche Bank AG New York Branch</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Goldman Sachs Bank USA</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Industrial and Commercial Bank of China Limited New York Branch</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Lloyds Bank plc</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Mizuho Bank, Ltd.</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6200" w:type="dxa"/>
            <w:vAlign w:val="bottom"/>
          </w:tcPr>
          <w:p>
            <w:pPr>
              <w:ind w:left="40"/>
              <w:spacing w:after="0"/>
              <w:rPr>
                <w:sz w:val="20"/>
                <w:szCs w:val="20"/>
                <w:color w:val="auto"/>
              </w:rPr>
            </w:pPr>
            <w:r>
              <w:rPr>
                <w:rFonts w:ascii="Arial" w:cs="Arial" w:eastAsia="Arial" w:hAnsi="Arial"/>
                <w:sz w:val="18"/>
                <w:szCs w:val="18"/>
                <w:color w:val="auto"/>
              </w:rPr>
              <w:t>Morgan Stanley Bank, N.A.</w:t>
            </w:r>
          </w:p>
        </w:tc>
        <w:tc>
          <w:tcPr>
            <w:tcW w:w="1860" w:type="dxa"/>
            <w:vAlign w:val="bottom"/>
          </w:tcPr>
          <w:p>
            <w:pPr>
              <w:jc w:val="right"/>
              <w:spacing w:after="0"/>
              <w:rPr>
                <w:sz w:val="20"/>
                <w:szCs w:val="20"/>
                <w:color w:val="auto"/>
              </w:rPr>
            </w:pPr>
            <w:r>
              <w:rPr>
                <w:rFonts w:ascii="Arial" w:cs="Arial" w:eastAsia="Arial" w:hAnsi="Arial"/>
                <w:sz w:val="18"/>
                <w:szCs w:val="18"/>
                <w:color w:val="auto"/>
              </w:rPr>
              <w:t>[ * * * ]</w:t>
            </w:r>
          </w:p>
        </w:tc>
      </w:tr>
    </w:tbl>
    <w:p>
      <w:pPr>
        <w:sectPr>
          <w:pgSz w:w="11900" w:h="16838" w:orient="portrait"/>
          <w:cols w:equalWidth="0" w:num="1">
            <w:col w:w="10239"/>
          </w:cols>
          <w:pgMar w:left="220" w:top="632" w:right="1440"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0" w:type="dxa"/>
            <w:vAlign w:val="bottom"/>
          </w:tcPr>
          <w:p>
            <w:pPr>
              <w:ind w:left="40"/>
              <w:spacing w:after="0"/>
              <w:rPr>
                <w:sz w:val="20"/>
                <w:szCs w:val="20"/>
                <w:color w:val="auto"/>
              </w:rPr>
            </w:pPr>
            <w:r>
              <w:rPr>
                <w:rFonts w:ascii="Arial" w:cs="Arial" w:eastAsia="Arial" w:hAnsi="Arial"/>
                <w:sz w:val="18"/>
                <w:szCs w:val="18"/>
                <w:color w:val="auto"/>
              </w:rPr>
              <w:t>Royal Bank of Canada</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The Royal Bank of Scotland plc</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Société Générale</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Toronto Dominion (Texas) LLC</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Banco Bilbao Vizcaya Argentaria, S.A. New York Branch</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Intesa Sanpaolo S.p.A.</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Sumitomo Mitsui Banking Corporation</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The Bank of Nova Scotia</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Agricultural Bank of China, Ltd., New York Branch</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Itau Unibanco S.A., New York Branch</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Bank of Montreal, Chicago Branch</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DBS Bank Ltd, Los Angeles Agency</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Santander Bank, N.A.</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U.S. Bank National Association</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UniCredit Bank AG, New York Branch</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Capital One, N.A.</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Bank of China, New York Branch</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Commonwealth Bank of Australia</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00" w:type="dxa"/>
            <w:vAlign w:val="bottom"/>
          </w:tcPr>
          <w:p>
            <w:pPr>
              <w:ind w:left="40"/>
              <w:spacing w:after="0"/>
              <w:rPr>
                <w:sz w:val="20"/>
                <w:szCs w:val="20"/>
                <w:color w:val="auto"/>
              </w:rPr>
            </w:pPr>
            <w:r>
              <w:rPr>
                <w:rFonts w:ascii="Arial" w:cs="Arial" w:eastAsia="Arial" w:hAnsi="Arial"/>
                <w:sz w:val="18"/>
                <w:szCs w:val="18"/>
                <w:color w:val="auto"/>
              </w:rPr>
              <w:t>PNC Bank, National Association</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1"/>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Westpac Banking Corporation</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 * * ]</w:t>
            </w:r>
          </w:p>
        </w:tc>
      </w:tr>
      <w:tr>
        <w:trPr>
          <w:trHeight w:val="228"/>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60" w:type="dxa"/>
            <w:vAlign w:val="bottom"/>
          </w:tcPr>
          <w:p>
            <w:pPr>
              <w:jc w:val="right"/>
              <w:spacing w:after="0"/>
              <w:rPr>
                <w:sz w:val="20"/>
                <w:szCs w:val="20"/>
                <w:color w:val="auto"/>
              </w:rPr>
            </w:pPr>
            <w:r>
              <w:rPr>
                <w:rFonts w:ascii="Arial" w:cs="Arial" w:eastAsia="Arial" w:hAnsi="Arial"/>
                <w:sz w:val="18"/>
                <w:szCs w:val="18"/>
                <w:color w:val="auto"/>
              </w:rPr>
              <w:t>[ * * * ]</w:t>
            </w:r>
          </w:p>
        </w:tc>
      </w:tr>
    </w:tbl>
    <w:p>
      <w:pPr>
        <w:sectPr>
          <w:pgSz w:w="11900" w:h="16838" w:orient="portrait"/>
          <w:cols w:equalWidth="0" w:num="1">
            <w:col w:w="10239"/>
          </w:cols>
          <w:pgMar w:left="220" w:top="632" w:right="1440" w:bottom="1440" w:gutter="0" w:footer="0" w:header="0"/>
        </w:sectPr>
      </w:pPr>
    </w:p>
    <w:bookmarkStart w:id="127" w:name="page128"/>
    <w:bookmarkEnd w:id="12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140" w:type="dxa"/>
            <w:vAlign w:val="bottom"/>
          </w:tcPr>
          <w:p>
            <w:pPr>
              <w:jc w:val="center"/>
              <w:ind w:left="111"/>
              <w:spacing w:after="0"/>
              <w:rPr>
                <w:sz w:val="20"/>
                <w:szCs w:val="20"/>
                <w:color w:val="auto"/>
              </w:rPr>
            </w:pPr>
            <w:r>
              <w:rPr>
                <w:rFonts w:ascii="Arial" w:cs="Arial" w:eastAsia="Arial" w:hAnsi="Arial"/>
                <w:sz w:val="18"/>
                <w:szCs w:val="18"/>
                <w:color w:val="auto"/>
                <w:w w:val="92"/>
              </w:rPr>
              <w:t>SCHEDULE 1.1B</w:t>
            </w:r>
          </w:p>
        </w:tc>
      </w:tr>
      <w:tr>
        <w:trPr>
          <w:trHeight w:val="244"/>
        </w:trPr>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140" w:type="dxa"/>
            <w:vAlign w:val="bottom"/>
          </w:tcPr>
          <w:p>
            <w:pPr>
              <w:jc w:val="center"/>
              <w:ind w:left="111"/>
              <w:spacing w:after="0"/>
              <w:rPr>
                <w:sz w:val="20"/>
                <w:szCs w:val="20"/>
                <w:color w:val="auto"/>
              </w:rPr>
            </w:pPr>
            <w:r>
              <w:rPr>
                <w:rFonts w:ascii="Arial" w:cs="Arial" w:eastAsia="Arial" w:hAnsi="Arial"/>
                <w:sz w:val="18"/>
                <w:szCs w:val="18"/>
                <w:color w:val="auto"/>
                <w:w w:val="92"/>
              </w:rPr>
              <w:t>to</w:t>
            </w:r>
          </w:p>
        </w:tc>
      </w:tr>
      <w:tr>
        <w:trPr>
          <w:trHeight w:val="244"/>
        </w:trPr>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140" w:type="dxa"/>
            <w:vAlign w:val="bottom"/>
          </w:tcPr>
          <w:p>
            <w:pPr>
              <w:jc w:val="center"/>
              <w:ind w:left="91"/>
              <w:spacing w:after="0"/>
              <w:rPr>
                <w:sz w:val="20"/>
                <w:szCs w:val="20"/>
                <w:color w:val="auto"/>
              </w:rPr>
            </w:pPr>
            <w:r>
              <w:rPr>
                <w:rFonts w:ascii="Arial" w:cs="Arial" w:eastAsia="Arial" w:hAnsi="Arial"/>
                <w:sz w:val="18"/>
                <w:szCs w:val="18"/>
                <w:color w:val="auto"/>
                <w:w w:val="90"/>
              </w:rPr>
              <w:t>Credit Agreement</w:t>
            </w:r>
          </w:p>
        </w:tc>
      </w:tr>
      <w:tr>
        <w:trPr>
          <w:trHeight w:val="620"/>
        </w:trPr>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540" w:type="dxa"/>
            <w:vAlign w:val="bottom"/>
            <w:gridSpan w:val="5"/>
          </w:tcPr>
          <w:p>
            <w:pPr>
              <w:jc w:val="center"/>
              <w:ind w:left="551"/>
              <w:spacing w:after="0"/>
              <w:rPr>
                <w:sz w:val="20"/>
                <w:szCs w:val="20"/>
                <w:color w:val="auto"/>
              </w:rPr>
            </w:pPr>
            <w:r>
              <w:rPr>
                <w:rFonts w:ascii="Arial" w:cs="Arial" w:eastAsia="Arial" w:hAnsi="Arial"/>
                <w:sz w:val="18"/>
                <w:szCs w:val="18"/>
                <w:color w:val="auto"/>
                <w:w w:val="98"/>
              </w:rPr>
              <w:t>INITIAL EXCLUDED SUBSIDIARIES</w:t>
            </w:r>
          </w:p>
        </w:tc>
        <w:tc>
          <w:tcPr>
            <w:tcW w:w="2140" w:type="dxa"/>
            <w:vAlign w:val="bottom"/>
          </w:tcPr>
          <w:p>
            <w:pPr>
              <w:spacing w:after="0"/>
              <w:rPr>
                <w:sz w:val="24"/>
                <w:szCs w:val="24"/>
                <w:color w:val="auto"/>
              </w:rPr>
            </w:pPr>
          </w:p>
        </w:tc>
      </w:tr>
      <w:tr>
        <w:trPr>
          <w:trHeight w:val="347"/>
        </w:trPr>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80" w:type="dxa"/>
            <w:vAlign w:val="bottom"/>
            <w:gridSpan w:val="4"/>
          </w:tcPr>
          <w:p>
            <w:pPr>
              <w:jc w:val="center"/>
              <w:ind w:right="2820"/>
              <w:spacing w:after="0"/>
              <w:rPr>
                <w:sz w:val="20"/>
                <w:szCs w:val="20"/>
                <w:color w:val="auto"/>
              </w:rPr>
            </w:pPr>
            <w:r>
              <w:rPr>
                <w:rFonts w:ascii="Arial" w:cs="Arial" w:eastAsia="Arial" w:hAnsi="Arial"/>
                <w:sz w:val="18"/>
                <w:szCs w:val="18"/>
                <w:color w:val="auto"/>
                <w:w w:val="90"/>
              </w:rPr>
              <w:t>Domestic Entities</w:t>
            </w:r>
          </w:p>
        </w:tc>
        <w:tc>
          <w:tcPr>
            <w:tcW w:w="2140" w:type="dxa"/>
            <w:vAlign w:val="bottom"/>
          </w:tcPr>
          <w:p>
            <w:pPr>
              <w:spacing w:after="0"/>
              <w:rPr>
                <w:sz w:val="24"/>
                <w:szCs w:val="24"/>
                <w:color w:val="auto"/>
              </w:rPr>
            </w:pPr>
          </w:p>
        </w:tc>
      </w:tr>
      <w:tr>
        <w:trPr>
          <w:trHeight w:val="489"/>
        </w:trPr>
        <w:tc>
          <w:tcPr>
            <w:tcW w:w="4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Name of Entity</w:t>
            </w:r>
          </w:p>
        </w:tc>
        <w:tc>
          <w:tcPr>
            <w:tcW w:w="3460" w:type="dxa"/>
            <w:vAlign w:val="bottom"/>
          </w:tcPr>
          <w:p>
            <w:pPr>
              <w:spacing w:after="0"/>
              <w:rPr>
                <w:sz w:val="24"/>
                <w:szCs w:val="24"/>
                <w:color w:val="auto"/>
              </w:rPr>
            </w:pPr>
          </w:p>
        </w:tc>
        <w:tc>
          <w:tcPr>
            <w:tcW w:w="1260" w:type="dxa"/>
            <w:vAlign w:val="bottom"/>
            <w:tcBorders>
              <w:top w:val="single" w:sz="8" w:color="auto"/>
            </w:tcBorders>
            <w:gridSpan w:val="3"/>
          </w:tcPr>
          <w:p>
            <w:pPr>
              <w:spacing w:after="0"/>
              <w:rPr>
                <w:sz w:val="24"/>
                <w:szCs w:val="24"/>
                <w:color w:val="auto"/>
              </w:rPr>
            </w:pPr>
          </w:p>
        </w:tc>
        <w:tc>
          <w:tcPr>
            <w:tcW w:w="282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Jurisdiction of Organization</w:t>
            </w:r>
          </w:p>
        </w:tc>
      </w:tr>
      <w:tr>
        <w:trPr>
          <w:trHeight w:val="265"/>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1.</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China, Inc.</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2.</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Foundation, Inc.</w:t>
            </w: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4.</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Ventures LLC</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5.</w:t>
            </w:r>
          </w:p>
        </w:tc>
        <w:tc>
          <w:tcPr>
            <w:tcW w:w="8700" w:type="dxa"/>
            <w:vAlign w:val="bottom"/>
            <w:gridSpan w:val="6"/>
          </w:tcPr>
          <w:p>
            <w:pPr>
              <w:spacing w:after="0"/>
              <w:rPr>
                <w:sz w:val="20"/>
                <w:szCs w:val="20"/>
                <w:color w:val="auto"/>
              </w:rPr>
            </w:pPr>
            <w:r>
              <w:rPr>
                <w:rFonts w:ascii="Arial" w:cs="Arial" w:eastAsia="Arial" w:hAnsi="Arial"/>
                <w:sz w:val="18"/>
                <w:szCs w:val="18"/>
                <w:color w:val="auto"/>
              </w:rPr>
              <w:t>Koneyren, Inc.</w:t>
            </w: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402"/>
        </w:trPr>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gridSpan w:val="3"/>
          </w:tcPr>
          <w:p>
            <w:pPr>
              <w:jc w:val="center"/>
              <w:ind w:right="2880"/>
              <w:spacing w:after="0"/>
              <w:rPr>
                <w:sz w:val="20"/>
                <w:szCs w:val="20"/>
                <w:color w:val="auto"/>
              </w:rPr>
            </w:pPr>
            <w:r>
              <w:rPr>
                <w:rFonts w:ascii="Arial" w:cs="Arial" w:eastAsia="Arial" w:hAnsi="Arial"/>
                <w:sz w:val="18"/>
                <w:szCs w:val="18"/>
                <w:color w:val="auto"/>
                <w:w w:val="91"/>
              </w:rPr>
              <w:t>Foreign Entities</w:t>
            </w:r>
          </w:p>
        </w:tc>
        <w:tc>
          <w:tcPr>
            <w:tcW w:w="2140" w:type="dxa"/>
            <w:vAlign w:val="bottom"/>
          </w:tcPr>
          <w:p>
            <w:pPr>
              <w:spacing w:after="0"/>
              <w:rPr>
                <w:sz w:val="24"/>
                <w:szCs w:val="24"/>
                <w:color w:val="auto"/>
              </w:rPr>
            </w:pPr>
          </w:p>
        </w:tc>
      </w:tr>
      <w:tr>
        <w:trPr>
          <w:trHeight w:val="489"/>
        </w:trPr>
        <w:tc>
          <w:tcPr>
            <w:tcW w:w="4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Name of Entity</w:t>
            </w:r>
          </w:p>
        </w:tc>
        <w:tc>
          <w:tcPr>
            <w:tcW w:w="3520" w:type="dxa"/>
            <w:vAlign w:val="bottom"/>
            <w:gridSpan w:val="2"/>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80" w:type="dxa"/>
            <w:vAlign w:val="bottom"/>
            <w:gridSpan w:val="2"/>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Jurisdiction of Organization</w:t>
            </w:r>
          </w:p>
        </w:tc>
      </w:tr>
      <w:tr>
        <w:trPr>
          <w:trHeight w:val="265"/>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1.</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Asia Pacific (Pte) Ltd.</w:t>
            </w:r>
          </w:p>
        </w:tc>
        <w:tc>
          <w:tcPr>
            <w:tcW w:w="214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2.</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Automobiles Philippines, Inc.</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3.</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Chile Industria Automotriz Limitada</w:t>
            </w: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Chile</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4.</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Coordination Center BVBA</w:t>
            </w:r>
          </w:p>
        </w:tc>
        <w:tc>
          <w:tcPr>
            <w:tcW w:w="214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5.</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International Services Company SAS</w:t>
            </w: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Colombia</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6.</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Peru S.A.</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Peru</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7.</w:t>
            </w:r>
          </w:p>
        </w:tc>
        <w:tc>
          <w:tcPr>
            <w:tcW w:w="8700" w:type="dxa"/>
            <w:vAlign w:val="bottom"/>
            <w:gridSpan w:val="6"/>
          </w:tcPr>
          <w:p>
            <w:pPr>
              <w:spacing w:after="0"/>
              <w:rPr>
                <w:sz w:val="20"/>
                <w:szCs w:val="20"/>
                <w:color w:val="auto"/>
              </w:rPr>
            </w:pPr>
            <w:r>
              <w:rPr>
                <w:rFonts w:ascii="Arial" w:cs="Arial" w:eastAsia="Arial" w:hAnsi="Arial"/>
                <w:sz w:val="18"/>
                <w:szCs w:val="18"/>
                <w:color w:val="auto"/>
              </w:rPr>
              <w:t>GM GEFS HOLDINGS (CHC4) ULC</w:t>
            </w:r>
          </w:p>
        </w:tc>
        <w:tc>
          <w:tcPr>
            <w:tcW w:w="2140" w:type="dxa"/>
            <w:vAlign w:val="bottom"/>
          </w:tcPr>
          <w:p>
            <w:pPr>
              <w:jc w:val="center"/>
              <w:spacing w:after="0"/>
              <w:rPr>
                <w:sz w:val="20"/>
                <w:szCs w:val="20"/>
                <w:color w:val="auto"/>
              </w:rPr>
            </w:pPr>
            <w:r>
              <w:rPr>
                <w:rFonts w:ascii="Arial" w:cs="Arial" w:eastAsia="Arial" w:hAnsi="Arial"/>
                <w:sz w:val="18"/>
                <w:szCs w:val="18"/>
                <w:color w:val="auto"/>
                <w:w w:val="85"/>
              </w:rPr>
              <w:t>Canada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1.1B</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WEIL:\95095329\6\64946.0030</w:t>
      </w:r>
    </w:p>
    <w:p>
      <w:pPr>
        <w:sectPr>
          <w:pgSz w:w="11900" w:h="16838" w:orient="portrait"/>
          <w:cols w:equalWidth="0" w:num="1">
            <w:col w:w="11320"/>
          </w:cols>
          <w:pgMar w:left="220" w:top="842" w:right="359" w:bottom="1440" w:gutter="0" w:footer="0" w:header="0"/>
        </w:sectPr>
      </w:pPr>
    </w:p>
    <w:bookmarkStart w:id="128" w:name="page129"/>
    <w:bookmarkEnd w:id="128"/>
    <w:tbl>
      <w:tblPr>
        <w:tblLayout w:type="fixed"/>
        <w:tblInd w:w="10" w:type="dxa"/>
        <w:tblCellMar>
          <w:top w:w="0" w:type="dxa"/>
          <w:left w:w="0" w:type="dxa"/>
          <w:bottom w:w="0" w:type="dxa"/>
          <w:right w:w="0" w:type="dxa"/>
        </w:tblCellMar>
      </w:tblPr>
      <w:tr>
        <w:trPr>
          <w:trHeight w:val="224"/>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5"/>
          </w:tcPr>
          <w:p>
            <w:pPr>
              <w:ind w:left="80"/>
              <w:spacing w:after="0"/>
              <w:rPr>
                <w:sz w:val="20"/>
                <w:szCs w:val="20"/>
                <w:color w:val="auto"/>
              </w:rPr>
            </w:pPr>
            <w:r>
              <w:rPr>
                <w:rFonts w:ascii="Arial" w:cs="Arial" w:eastAsia="Arial" w:hAnsi="Arial"/>
                <w:sz w:val="18"/>
                <w:szCs w:val="18"/>
                <w:color w:val="auto"/>
              </w:rPr>
              <w:t>SCHEDULE 1.1C</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3"/>
          </w:tcPr>
          <w:p>
            <w:pPr>
              <w:ind w:left="380"/>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5"/>
          </w:tcPr>
          <w:p>
            <w:pPr>
              <w:ind w:left="80"/>
              <w:spacing w:after="0"/>
              <w:rPr>
                <w:sz w:val="20"/>
                <w:szCs w:val="20"/>
                <w:color w:val="auto"/>
              </w:rPr>
            </w:pPr>
            <w:r>
              <w:rPr>
                <w:rFonts w:ascii="Arial" w:cs="Arial" w:eastAsia="Arial" w:hAnsi="Arial"/>
                <w:sz w:val="18"/>
                <w:szCs w:val="18"/>
                <w:color w:val="auto"/>
              </w:rPr>
              <w:t>Credit Agreement</w:t>
            </w:r>
          </w:p>
        </w:tc>
        <w:tc>
          <w:tcPr>
            <w:tcW w:w="0" w:type="dxa"/>
            <w:vAlign w:val="bottom"/>
          </w:tcPr>
          <w:p>
            <w:pPr>
              <w:spacing w:after="0"/>
              <w:rPr>
                <w:sz w:val="1"/>
                <w:szCs w:val="1"/>
                <w:color w:val="auto"/>
              </w:rPr>
            </w:pPr>
          </w:p>
        </w:tc>
      </w:tr>
      <w:tr>
        <w:trPr>
          <w:trHeight w:val="790"/>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gridSpan w:val="8"/>
          </w:tcPr>
          <w:p>
            <w:pPr>
              <w:spacing w:after="0"/>
              <w:rPr>
                <w:sz w:val="20"/>
                <w:szCs w:val="20"/>
                <w:color w:val="auto"/>
              </w:rPr>
            </w:pPr>
            <w:r>
              <w:rPr>
                <w:rFonts w:ascii="Arial" w:cs="Arial" w:eastAsia="Arial" w:hAnsi="Arial"/>
                <w:sz w:val="18"/>
                <w:szCs w:val="18"/>
                <w:b w:val="1"/>
                <w:bCs w:val="1"/>
                <w:color w:val="auto"/>
              </w:rPr>
              <w:t>Pricing Grid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tcBorders>
            <w:shd w:val="clear" w:color="auto" w:fill="ACACAC"/>
          </w:tcPr>
          <w:p>
            <w:pPr>
              <w:spacing w:after="0"/>
              <w:rPr>
                <w:sz w:val="15"/>
                <w:szCs w:val="15"/>
                <w:color w:val="auto"/>
              </w:rPr>
            </w:pPr>
          </w:p>
        </w:tc>
        <w:tc>
          <w:tcPr>
            <w:tcW w:w="1680" w:type="dxa"/>
            <w:vAlign w:val="bottom"/>
            <w:gridSpan w:val="3"/>
            <w:shd w:val="clear" w:color="auto" w:fill="ACACAC"/>
          </w:tcPr>
          <w:p>
            <w:pPr>
              <w:jc w:val="center"/>
              <w:spacing w:after="0" w:line="179" w:lineRule="exact"/>
              <w:rPr>
                <w:sz w:val="20"/>
                <w:szCs w:val="20"/>
                <w:color w:val="auto"/>
              </w:rPr>
            </w:pPr>
            <w:r>
              <w:rPr>
                <w:rFonts w:ascii="Arial" w:cs="Arial" w:eastAsia="Arial" w:hAnsi="Arial"/>
                <w:sz w:val="18"/>
                <w:szCs w:val="18"/>
                <w:b w:val="1"/>
                <w:bCs w:val="1"/>
                <w:color w:val="auto"/>
                <w:highlight w:val="darkGray"/>
                <w:w w:val="91"/>
              </w:rPr>
              <w:t>S&amp;P / Moody’s / Fitch</w:t>
            </w:r>
          </w:p>
        </w:tc>
        <w:tc>
          <w:tcPr>
            <w:tcW w:w="1080" w:type="dxa"/>
            <w:vAlign w:val="bottom"/>
            <w:tcBorders>
              <w:right w:val="single" w:sz="8" w:color="auto"/>
            </w:tcBorders>
            <w:shd w:val="clear" w:color="auto" w:fill="ACACAC"/>
          </w:tcPr>
          <w:p>
            <w:pPr>
              <w:spacing w:after="0"/>
              <w:rPr>
                <w:sz w:val="15"/>
                <w:szCs w:val="15"/>
                <w:color w:val="auto"/>
              </w:rPr>
            </w:pPr>
          </w:p>
        </w:tc>
        <w:tc>
          <w:tcPr>
            <w:tcW w:w="1880" w:type="dxa"/>
            <w:vAlign w:val="bottom"/>
            <w:tcBorders>
              <w:right w:val="single" w:sz="8" w:color="auto"/>
            </w:tcBorders>
            <w:gridSpan w:val="4"/>
            <w:vMerge w:val="restart"/>
            <w:shd w:val="clear" w:color="auto" w:fill="ACACAC"/>
          </w:tcPr>
          <w:p>
            <w:pPr>
              <w:jc w:val="center"/>
              <w:ind w:right="40"/>
              <w:spacing w:after="0"/>
              <w:rPr>
                <w:sz w:val="20"/>
                <w:szCs w:val="20"/>
                <w:color w:val="auto"/>
              </w:rPr>
            </w:pPr>
            <w:r>
              <w:rPr>
                <w:rFonts w:ascii="Arial" w:cs="Arial" w:eastAsia="Arial" w:hAnsi="Arial"/>
                <w:sz w:val="18"/>
                <w:szCs w:val="18"/>
                <w:b w:val="1"/>
                <w:bCs w:val="1"/>
                <w:color w:val="auto"/>
                <w:w w:val="90"/>
              </w:rPr>
              <w:t>Facility Fee Rate</w:t>
            </w:r>
          </w:p>
        </w:tc>
        <w:tc>
          <w:tcPr>
            <w:tcW w:w="18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420" w:type="dxa"/>
            <w:vAlign w:val="bottom"/>
            <w:gridSpan w:val="2"/>
            <w:shd w:val="clear" w:color="auto" w:fill="ACACAC"/>
          </w:tcPr>
          <w:p>
            <w:pPr>
              <w:jc w:val="center"/>
              <w:spacing w:after="0" w:line="179" w:lineRule="exact"/>
              <w:rPr>
                <w:sz w:val="20"/>
                <w:szCs w:val="20"/>
                <w:color w:val="auto"/>
              </w:rPr>
            </w:pPr>
            <w:r>
              <w:rPr>
                <w:rFonts w:ascii="Arial" w:cs="Arial" w:eastAsia="Arial" w:hAnsi="Arial"/>
                <w:sz w:val="18"/>
                <w:szCs w:val="18"/>
                <w:b w:val="1"/>
                <w:bCs w:val="1"/>
                <w:color w:val="auto"/>
                <w:highlight w:val="darkGray"/>
                <w:w w:val="91"/>
              </w:rPr>
              <w:t>Applicable Margin</w:t>
            </w:r>
          </w:p>
        </w:tc>
        <w:tc>
          <w:tcPr>
            <w:tcW w:w="220" w:type="dxa"/>
            <w:vAlign w:val="bottom"/>
            <w:shd w:val="clear" w:color="auto" w:fill="ACACAC"/>
          </w:tcPr>
          <w:p>
            <w:pPr>
              <w:spacing w:after="0"/>
              <w:rPr>
                <w:sz w:val="15"/>
                <w:szCs w:val="15"/>
                <w:color w:val="auto"/>
              </w:rPr>
            </w:pPr>
          </w:p>
        </w:tc>
        <w:tc>
          <w:tcPr>
            <w:tcW w:w="200" w:type="dxa"/>
            <w:vAlign w:val="bottom"/>
            <w:tcBorders>
              <w:right w:val="single" w:sz="8" w:color="auto"/>
            </w:tcBorders>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420" w:type="dxa"/>
            <w:vAlign w:val="bottom"/>
            <w:gridSpan w:val="3"/>
            <w:shd w:val="clear" w:color="auto" w:fill="ACACAC"/>
          </w:tcPr>
          <w:p>
            <w:pPr>
              <w:jc w:val="center"/>
              <w:spacing w:after="0" w:line="179" w:lineRule="exact"/>
              <w:rPr>
                <w:sz w:val="20"/>
                <w:szCs w:val="20"/>
                <w:color w:val="auto"/>
              </w:rPr>
            </w:pPr>
            <w:r>
              <w:rPr>
                <w:rFonts w:ascii="Arial" w:cs="Arial" w:eastAsia="Arial" w:hAnsi="Arial"/>
                <w:sz w:val="18"/>
                <w:szCs w:val="18"/>
                <w:b w:val="1"/>
                <w:bCs w:val="1"/>
                <w:color w:val="auto"/>
                <w:highlight w:val="darkGray"/>
                <w:w w:val="91"/>
              </w:rPr>
              <w:t>Applicable Margin</w:t>
            </w:r>
          </w:p>
        </w:tc>
        <w:tc>
          <w:tcPr>
            <w:tcW w:w="140" w:type="dxa"/>
            <w:vAlign w:val="bottom"/>
            <w:tcBorders>
              <w:right w:val="single" w:sz="8" w:color="auto"/>
            </w:tcBorders>
            <w:shd w:val="clear" w:color="auto" w:fill="ACACAC"/>
          </w:tcPr>
          <w:p>
            <w:pPr>
              <w:spacing w:after="0"/>
              <w:rPr>
                <w:sz w:val="15"/>
                <w:szCs w:val="15"/>
                <w:color w:val="auto"/>
              </w:rPr>
            </w:pPr>
          </w:p>
        </w:tc>
        <w:tc>
          <w:tcPr>
            <w:tcW w:w="140" w:type="dxa"/>
            <w:vAlign w:val="bottom"/>
            <w:shd w:val="clear" w:color="auto" w:fill="ACACAC"/>
          </w:tcPr>
          <w:p>
            <w:pPr>
              <w:spacing w:after="0"/>
              <w:rPr>
                <w:sz w:val="15"/>
                <w:szCs w:val="15"/>
                <w:color w:val="auto"/>
              </w:rPr>
            </w:pPr>
          </w:p>
        </w:tc>
        <w:tc>
          <w:tcPr>
            <w:tcW w:w="1720" w:type="dxa"/>
            <w:vAlign w:val="bottom"/>
            <w:tcBorders>
              <w:right w:val="single" w:sz="8" w:color="auto"/>
            </w:tcBorders>
            <w:gridSpan w:val="4"/>
            <w:shd w:val="clear" w:color="auto" w:fill="ACACAC"/>
          </w:tcPr>
          <w:p>
            <w:pPr>
              <w:ind w:left="140"/>
              <w:spacing w:after="0" w:line="179" w:lineRule="exact"/>
              <w:rPr>
                <w:sz w:val="20"/>
                <w:szCs w:val="20"/>
                <w:color w:val="auto"/>
              </w:rPr>
            </w:pPr>
            <w:r>
              <w:rPr>
                <w:rFonts w:ascii="Arial" w:cs="Arial" w:eastAsia="Arial" w:hAnsi="Arial"/>
                <w:sz w:val="18"/>
                <w:szCs w:val="18"/>
                <w:b w:val="1"/>
                <w:bCs w:val="1"/>
                <w:color w:val="auto"/>
              </w:rPr>
              <w:t>All-in Spread for</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shd w:val="clear" w:color="auto" w:fill="ACACA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ACACAC"/>
          </w:tcPr>
          <w:p>
            <w:pPr>
              <w:spacing w:after="0" w:line="20" w:lineRule="exact"/>
              <w:rPr>
                <w:sz w:val="1"/>
                <w:szCs w:val="1"/>
                <w:color w:val="auto"/>
              </w:rPr>
            </w:pPr>
          </w:p>
        </w:tc>
        <w:tc>
          <w:tcPr>
            <w:tcW w:w="1880" w:type="dxa"/>
            <w:vAlign w:val="bottom"/>
            <w:tcBorders>
              <w:right w:val="single" w:sz="8" w:color="auto"/>
            </w:tcBorders>
            <w:gridSpan w:val="4"/>
            <w:vMerge w:val="continue"/>
            <w:shd w:val="clear" w:color="auto" w:fill="ACACAC"/>
          </w:tcPr>
          <w:p>
            <w:pPr>
              <w:spacing w:after="0" w:line="20" w:lineRule="exact"/>
              <w:rPr>
                <w:sz w:val="1"/>
                <w:szCs w:val="1"/>
                <w:color w:val="auto"/>
              </w:rPr>
            </w:pPr>
          </w:p>
        </w:tc>
        <w:tc>
          <w:tcPr>
            <w:tcW w:w="180" w:type="dxa"/>
            <w:vAlign w:val="bottom"/>
            <w:vMerge w:val="restart"/>
            <w:shd w:val="clear" w:color="auto" w:fill="ACACAC"/>
          </w:tcPr>
          <w:p>
            <w:pPr>
              <w:spacing w:after="0" w:line="20" w:lineRule="exact"/>
              <w:rPr>
                <w:sz w:val="1"/>
                <w:szCs w:val="1"/>
                <w:color w:val="auto"/>
              </w:rPr>
            </w:pPr>
          </w:p>
        </w:tc>
        <w:tc>
          <w:tcPr>
            <w:tcW w:w="200" w:type="dxa"/>
            <w:vAlign w:val="bottom"/>
            <w:shd w:val="clear" w:color="auto" w:fill="ACACAC"/>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ACACAC"/>
          </w:tcPr>
          <w:p>
            <w:pPr>
              <w:spacing w:after="0" w:line="20" w:lineRule="exact"/>
              <w:rPr>
                <w:sz w:val="1"/>
                <w:szCs w:val="1"/>
                <w:color w:val="auto"/>
              </w:rPr>
            </w:pPr>
          </w:p>
        </w:tc>
        <w:tc>
          <w:tcPr>
            <w:tcW w:w="200" w:type="dxa"/>
            <w:vAlign w:val="bottom"/>
            <w:tcBorders>
              <w:right w:val="single" w:sz="8" w:color="auto"/>
            </w:tcBorders>
            <w:shd w:val="clear" w:color="auto" w:fill="ACACAC"/>
          </w:tcPr>
          <w:p>
            <w:pPr>
              <w:spacing w:after="0" w:line="20" w:lineRule="exact"/>
              <w:rPr>
                <w:sz w:val="1"/>
                <w:szCs w:val="1"/>
                <w:color w:val="auto"/>
              </w:rPr>
            </w:pPr>
          </w:p>
        </w:tc>
        <w:tc>
          <w:tcPr>
            <w:tcW w:w="120" w:type="dxa"/>
            <w:vAlign w:val="bottom"/>
            <w:vMerge w:val="restart"/>
            <w:shd w:val="clear" w:color="auto" w:fill="ACACA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vMerge w:val="restart"/>
            <w:shd w:val="clear" w:color="auto" w:fill="ACACAC"/>
          </w:tcPr>
          <w:p>
            <w:pPr>
              <w:spacing w:after="0" w:line="20" w:lineRule="exact"/>
              <w:rPr>
                <w:sz w:val="1"/>
                <w:szCs w:val="1"/>
                <w:color w:val="auto"/>
              </w:rPr>
            </w:pPr>
          </w:p>
        </w:tc>
        <w:tc>
          <w:tcPr>
            <w:tcW w:w="140" w:type="dxa"/>
            <w:vAlign w:val="bottom"/>
            <w:vMerge w:val="restart"/>
            <w:shd w:val="clear" w:color="auto" w:fill="ACACAC"/>
          </w:tcPr>
          <w:p>
            <w:pPr>
              <w:spacing w:after="0" w:line="20" w:lineRule="exact"/>
              <w:rPr>
                <w:sz w:val="1"/>
                <w:szCs w:val="1"/>
                <w:color w:val="auto"/>
              </w:rPr>
            </w:pPr>
          </w:p>
        </w:tc>
        <w:tc>
          <w:tcPr>
            <w:tcW w:w="140" w:type="dxa"/>
            <w:vAlign w:val="bottom"/>
            <w:vMerge w:val="restart"/>
            <w:shd w:val="clear" w:color="auto" w:fill="ACACA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ACACAC"/>
          </w:tcPr>
          <w:p>
            <w:pPr>
              <w:spacing w:after="0" w:line="20" w:lineRule="exact"/>
              <w:rPr>
                <w:sz w:val="1"/>
                <w:szCs w:val="1"/>
                <w:color w:val="auto"/>
              </w:rPr>
            </w:pPr>
          </w:p>
        </w:tc>
        <w:tc>
          <w:tcPr>
            <w:tcW w:w="160" w:type="dxa"/>
            <w:vAlign w:val="bottom"/>
            <w:tcBorders>
              <w:right w:val="single" w:sz="8" w:color="auto"/>
            </w:tcBorders>
            <w:shd w:val="clear" w:color="auto" w:fill="ACACA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80" w:type="dxa"/>
            <w:vAlign w:val="bottom"/>
            <w:tcBorders>
              <w:left w:val="single" w:sz="8" w:color="auto"/>
              <w:bottom w:val="single" w:sz="8" w:color="auto"/>
            </w:tcBorders>
            <w:shd w:val="clear" w:color="auto" w:fill="ACACAC"/>
          </w:tcPr>
          <w:p>
            <w:pPr>
              <w:spacing w:after="0"/>
              <w:rPr>
                <w:sz w:val="20"/>
                <w:szCs w:val="20"/>
                <w:color w:val="auto"/>
              </w:rPr>
            </w:pPr>
          </w:p>
        </w:tc>
        <w:tc>
          <w:tcPr>
            <w:tcW w:w="280" w:type="dxa"/>
            <w:vAlign w:val="bottom"/>
            <w:tcBorders>
              <w:bottom w:val="single" w:sz="8" w:color="auto"/>
            </w:tcBorders>
            <w:shd w:val="clear" w:color="auto" w:fill="ACACAC"/>
          </w:tcPr>
          <w:p>
            <w:pPr>
              <w:spacing w:after="0"/>
              <w:rPr>
                <w:sz w:val="20"/>
                <w:szCs w:val="20"/>
                <w:color w:val="auto"/>
              </w:rPr>
            </w:pPr>
          </w:p>
        </w:tc>
        <w:tc>
          <w:tcPr>
            <w:tcW w:w="1120" w:type="dxa"/>
            <w:vAlign w:val="bottom"/>
            <w:tcBorders>
              <w:bottom w:val="single" w:sz="8" w:color="auto"/>
            </w:tcBorders>
            <w:shd w:val="clear" w:color="auto" w:fill="ACACAC"/>
          </w:tcPr>
          <w:p>
            <w:pPr>
              <w:jc w:val="center"/>
              <w:spacing w:after="0" w:line="179" w:lineRule="exact"/>
              <w:rPr>
                <w:sz w:val="20"/>
                <w:szCs w:val="20"/>
                <w:color w:val="auto"/>
              </w:rPr>
            </w:pPr>
            <w:r>
              <w:rPr>
                <w:rFonts w:ascii="Arial" w:cs="Arial" w:eastAsia="Arial" w:hAnsi="Arial"/>
                <w:sz w:val="18"/>
                <w:szCs w:val="18"/>
                <w:b w:val="1"/>
                <w:bCs w:val="1"/>
                <w:color w:val="auto"/>
                <w:highlight w:val="darkGray"/>
                <w:w w:val="90"/>
              </w:rPr>
              <w:t>Facility Rating</w:t>
            </w:r>
          </w:p>
        </w:tc>
        <w:tc>
          <w:tcPr>
            <w:tcW w:w="280" w:type="dxa"/>
            <w:vAlign w:val="bottom"/>
            <w:tcBorders>
              <w:bottom w:val="single" w:sz="8" w:color="auto"/>
            </w:tcBorders>
            <w:shd w:val="clear" w:color="auto" w:fill="ACACAC"/>
          </w:tcPr>
          <w:p>
            <w:pPr>
              <w:spacing w:after="0"/>
              <w:rPr>
                <w:sz w:val="20"/>
                <w:szCs w:val="20"/>
                <w:color w:val="auto"/>
              </w:rPr>
            </w:pPr>
          </w:p>
        </w:tc>
        <w:tc>
          <w:tcPr>
            <w:tcW w:w="1080" w:type="dxa"/>
            <w:vAlign w:val="bottom"/>
            <w:tcBorders>
              <w:bottom w:val="single" w:sz="8" w:color="auto"/>
              <w:right w:val="single" w:sz="8" w:color="auto"/>
            </w:tcBorders>
            <w:shd w:val="clear" w:color="auto" w:fill="ACACAC"/>
          </w:tcPr>
          <w:p>
            <w:pPr>
              <w:spacing w:after="0"/>
              <w:rPr>
                <w:sz w:val="20"/>
                <w:szCs w:val="20"/>
                <w:color w:val="auto"/>
              </w:rPr>
            </w:pPr>
          </w:p>
        </w:tc>
        <w:tc>
          <w:tcPr>
            <w:tcW w:w="1880" w:type="dxa"/>
            <w:vAlign w:val="bottom"/>
            <w:tcBorders>
              <w:bottom w:val="single" w:sz="8" w:color="auto"/>
              <w:right w:val="single" w:sz="8" w:color="auto"/>
            </w:tcBorders>
            <w:gridSpan w:val="4"/>
            <w:vMerge w:val="continue"/>
            <w:shd w:val="clear" w:color="auto" w:fill="ACACAC"/>
          </w:tcPr>
          <w:p>
            <w:pPr>
              <w:spacing w:after="0"/>
              <w:rPr>
                <w:sz w:val="20"/>
                <w:szCs w:val="20"/>
                <w:color w:val="auto"/>
              </w:rPr>
            </w:pPr>
          </w:p>
        </w:tc>
        <w:tc>
          <w:tcPr>
            <w:tcW w:w="180" w:type="dxa"/>
            <w:vAlign w:val="bottom"/>
            <w:tcBorders>
              <w:bottom w:val="single" w:sz="8" w:color="auto"/>
            </w:tcBorders>
            <w:vMerge w:val="continue"/>
            <w:shd w:val="clear" w:color="auto" w:fill="ACACAC"/>
          </w:tcPr>
          <w:p>
            <w:pPr>
              <w:spacing w:after="0"/>
              <w:rPr>
                <w:sz w:val="20"/>
                <w:szCs w:val="20"/>
                <w:color w:val="auto"/>
              </w:rPr>
            </w:pPr>
          </w:p>
        </w:tc>
        <w:tc>
          <w:tcPr>
            <w:tcW w:w="200" w:type="dxa"/>
            <w:vAlign w:val="bottom"/>
            <w:tcBorders>
              <w:bottom w:val="single" w:sz="8" w:color="auto"/>
            </w:tcBorders>
            <w:shd w:val="clear" w:color="auto" w:fill="ACACAC"/>
          </w:tcPr>
          <w:p>
            <w:pPr>
              <w:spacing w:after="0" w:line="179" w:lineRule="exact"/>
              <w:rPr>
                <w:sz w:val="20"/>
                <w:szCs w:val="20"/>
                <w:color w:val="auto"/>
              </w:rPr>
            </w:pPr>
            <w:r>
              <w:rPr>
                <w:rFonts w:ascii="Arial" w:cs="Arial" w:eastAsia="Arial" w:hAnsi="Arial"/>
                <w:sz w:val="18"/>
                <w:szCs w:val="18"/>
                <w:b w:val="1"/>
                <w:bCs w:val="1"/>
                <w:color w:val="auto"/>
                <w:highlight w:val="darkGray"/>
                <w:w w:val="74"/>
              </w:rPr>
              <w:t>for</w:t>
            </w:r>
          </w:p>
        </w:tc>
        <w:tc>
          <w:tcPr>
            <w:tcW w:w="1640" w:type="dxa"/>
            <w:vAlign w:val="bottom"/>
            <w:tcBorders>
              <w:bottom w:val="single" w:sz="8" w:color="auto"/>
            </w:tcBorders>
            <w:gridSpan w:val="3"/>
            <w:shd w:val="clear" w:color="auto" w:fill="ACACAC"/>
          </w:tcPr>
          <w:p>
            <w:pPr>
              <w:ind w:left="60"/>
              <w:spacing w:after="0" w:line="179" w:lineRule="exact"/>
              <w:rPr>
                <w:sz w:val="20"/>
                <w:szCs w:val="20"/>
                <w:color w:val="auto"/>
              </w:rPr>
            </w:pPr>
            <w:r>
              <w:rPr>
                <w:rFonts w:ascii="Arial" w:cs="Arial" w:eastAsia="Arial" w:hAnsi="Arial"/>
                <w:sz w:val="18"/>
                <w:szCs w:val="18"/>
                <w:b w:val="1"/>
                <w:bCs w:val="1"/>
                <w:color w:val="auto"/>
                <w:highlight w:val="darkGray"/>
                <w:w w:val="89"/>
              </w:rPr>
              <w:t>Eurocurrency Loans</w:t>
            </w:r>
          </w:p>
        </w:tc>
        <w:tc>
          <w:tcPr>
            <w:tcW w:w="200" w:type="dxa"/>
            <w:vAlign w:val="bottom"/>
            <w:tcBorders>
              <w:bottom w:val="single" w:sz="8" w:color="auto"/>
              <w:right w:val="single" w:sz="8" w:color="auto"/>
            </w:tcBorders>
            <w:shd w:val="clear" w:color="auto" w:fill="ACACAC"/>
          </w:tcPr>
          <w:p>
            <w:pPr>
              <w:spacing w:after="0"/>
              <w:rPr>
                <w:sz w:val="20"/>
                <w:szCs w:val="20"/>
                <w:color w:val="auto"/>
              </w:rPr>
            </w:pPr>
          </w:p>
        </w:tc>
        <w:tc>
          <w:tcPr>
            <w:tcW w:w="120" w:type="dxa"/>
            <w:vAlign w:val="bottom"/>
            <w:tcBorders>
              <w:bottom w:val="single" w:sz="8" w:color="auto"/>
            </w:tcBorders>
            <w:vMerge w:val="continue"/>
            <w:shd w:val="clear" w:color="auto" w:fill="ACACAC"/>
          </w:tcPr>
          <w:p>
            <w:pPr>
              <w:spacing w:after="0"/>
              <w:rPr>
                <w:sz w:val="20"/>
                <w:szCs w:val="20"/>
                <w:color w:val="auto"/>
              </w:rPr>
            </w:pPr>
          </w:p>
        </w:tc>
        <w:tc>
          <w:tcPr>
            <w:tcW w:w="140" w:type="dxa"/>
            <w:vAlign w:val="bottom"/>
            <w:tcBorders>
              <w:bottom w:val="single" w:sz="8" w:color="auto"/>
            </w:tcBorders>
            <w:shd w:val="clear" w:color="auto" w:fill="ACACAC"/>
          </w:tcPr>
          <w:p>
            <w:pPr>
              <w:spacing w:after="0"/>
              <w:rPr>
                <w:sz w:val="20"/>
                <w:szCs w:val="20"/>
                <w:color w:val="auto"/>
              </w:rPr>
            </w:pPr>
          </w:p>
        </w:tc>
        <w:tc>
          <w:tcPr>
            <w:tcW w:w="1140" w:type="dxa"/>
            <w:vAlign w:val="bottom"/>
            <w:tcBorders>
              <w:bottom w:val="single" w:sz="8" w:color="auto"/>
            </w:tcBorders>
            <w:shd w:val="clear" w:color="auto" w:fill="ACACAC"/>
          </w:tcPr>
          <w:p>
            <w:pPr>
              <w:jc w:val="center"/>
              <w:spacing w:after="0" w:line="179" w:lineRule="exact"/>
              <w:rPr>
                <w:sz w:val="20"/>
                <w:szCs w:val="20"/>
                <w:color w:val="auto"/>
              </w:rPr>
            </w:pPr>
            <w:r>
              <w:rPr>
                <w:rFonts w:ascii="Arial" w:cs="Arial" w:eastAsia="Arial" w:hAnsi="Arial"/>
                <w:sz w:val="18"/>
                <w:szCs w:val="18"/>
                <w:b w:val="1"/>
                <w:bCs w:val="1"/>
                <w:color w:val="auto"/>
                <w:highlight w:val="darkGray"/>
                <w:w w:val="90"/>
              </w:rPr>
              <w:t>for ABR Loans</w:t>
            </w:r>
          </w:p>
        </w:tc>
        <w:tc>
          <w:tcPr>
            <w:tcW w:w="140" w:type="dxa"/>
            <w:vAlign w:val="bottom"/>
            <w:tcBorders>
              <w:bottom w:val="single" w:sz="8" w:color="auto"/>
            </w:tcBorders>
            <w:shd w:val="clear" w:color="auto" w:fill="ACACAC"/>
          </w:tcPr>
          <w:p>
            <w:pPr>
              <w:spacing w:after="0"/>
              <w:rPr>
                <w:sz w:val="20"/>
                <w:szCs w:val="20"/>
                <w:color w:val="auto"/>
              </w:rPr>
            </w:pPr>
          </w:p>
        </w:tc>
        <w:tc>
          <w:tcPr>
            <w:tcW w:w="140" w:type="dxa"/>
            <w:vAlign w:val="bottom"/>
            <w:tcBorders>
              <w:bottom w:val="single" w:sz="8" w:color="auto"/>
              <w:right w:val="single" w:sz="8" w:color="auto"/>
            </w:tcBorders>
            <w:vMerge w:val="continue"/>
            <w:shd w:val="clear" w:color="auto" w:fill="ACACAC"/>
          </w:tcPr>
          <w:p>
            <w:pPr>
              <w:spacing w:after="0"/>
              <w:rPr>
                <w:sz w:val="20"/>
                <w:szCs w:val="20"/>
                <w:color w:val="auto"/>
              </w:rPr>
            </w:pPr>
          </w:p>
        </w:tc>
        <w:tc>
          <w:tcPr>
            <w:tcW w:w="140" w:type="dxa"/>
            <w:vAlign w:val="bottom"/>
            <w:tcBorders>
              <w:bottom w:val="single" w:sz="8" w:color="auto"/>
            </w:tcBorders>
            <w:vMerge w:val="continue"/>
            <w:shd w:val="clear" w:color="auto" w:fill="ACACAC"/>
          </w:tcPr>
          <w:p>
            <w:pPr>
              <w:spacing w:after="0"/>
              <w:rPr>
                <w:sz w:val="20"/>
                <w:szCs w:val="20"/>
                <w:color w:val="auto"/>
              </w:rPr>
            </w:pPr>
          </w:p>
        </w:tc>
        <w:tc>
          <w:tcPr>
            <w:tcW w:w="140" w:type="dxa"/>
            <w:vAlign w:val="bottom"/>
            <w:tcBorders>
              <w:bottom w:val="single" w:sz="8" w:color="auto"/>
            </w:tcBorders>
            <w:vMerge w:val="continue"/>
            <w:shd w:val="clear" w:color="auto" w:fill="ACACAC"/>
          </w:tcPr>
          <w:p>
            <w:pPr>
              <w:spacing w:after="0"/>
              <w:rPr>
                <w:sz w:val="20"/>
                <w:szCs w:val="20"/>
                <w:color w:val="auto"/>
              </w:rPr>
            </w:pPr>
          </w:p>
        </w:tc>
        <w:tc>
          <w:tcPr>
            <w:tcW w:w="1580" w:type="dxa"/>
            <w:vAlign w:val="bottom"/>
            <w:tcBorders>
              <w:bottom w:val="single" w:sz="8" w:color="auto"/>
              <w:right w:val="single" w:sz="8" w:color="auto"/>
            </w:tcBorders>
            <w:gridSpan w:val="3"/>
            <w:shd w:val="clear" w:color="auto" w:fill="ACACAC"/>
          </w:tcPr>
          <w:p>
            <w:pPr>
              <w:spacing w:after="0" w:line="179" w:lineRule="exact"/>
              <w:rPr>
                <w:sz w:val="20"/>
                <w:szCs w:val="20"/>
                <w:color w:val="auto"/>
              </w:rPr>
            </w:pPr>
            <w:r>
              <w:rPr>
                <w:rFonts w:ascii="Arial" w:cs="Arial" w:eastAsia="Arial" w:hAnsi="Arial"/>
                <w:sz w:val="18"/>
                <w:szCs w:val="18"/>
                <w:b w:val="1"/>
                <w:bCs w:val="1"/>
                <w:color w:val="auto"/>
                <w:w w:val="87"/>
              </w:rPr>
              <w:t>Eurocurrency Loans</w:t>
            </w: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gridSpan w:val="3"/>
          </w:tcPr>
          <w:p>
            <w:pPr>
              <w:jc w:val="center"/>
              <w:ind w:right="1360"/>
              <w:spacing w:after="0"/>
              <w:rPr>
                <w:sz w:val="20"/>
                <w:szCs w:val="20"/>
                <w:color w:val="auto"/>
              </w:rPr>
            </w:pPr>
            <w:r>
              <w:rPr>
                <w:rFonts w:ascii="Arial" w:cs="Arial" w:eastAsia="Arial" w:hAnsi="Arial"/>
                <w:sz w:val="18"/>
                <w:szCs w:val="18"/>
                <w:color w:val="auto"/>
              </w:rPr>
              <w:t>≥ A/A2/A</w:t>
            </w:r>
          </w:p>
        </w:tc>
        <w:tc>
          <w:tcPr>
            <w:tcW w:w="1420" w:type="dxa"/>
            <w:vAlign w:val="bottom"/>
            <w:tcBorders>
              <w:bottom w:val="single" w:sz="8" w:color="auto"/>
            </w:tcBorders>
            <w:gridSpan w:val="2"/>
          </w:tcPr>
          <w:p>
            <w:pPr>
              <w:jc w:val="center"/>
              <w:ind w:left="33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4"/>
          </w:tcPr>
          <w:p>
            <w:pPr>
              <w:jc w:val="center"/>
              <w:ind w:left="311"/>
              <w:spacing w:after="0"/>
              <w:rPr>
                <w:sz w:val="20"/>
                <w:szCs w:val="20"/>
                <w:color w:val="auto"/>
              </w:rPr>
            </w:pPr>
            <w:r>
              <w:rPr>
                <w:rFonts w:ascii="Arial" w:cs="Arial" w:eastAsia="Arial" w:hAnsi="Arial"/>
                <w:sz w:val="18"/>
                <w:szCs w:val="18"/>
                <w:color w:val="auto"/>
              </w:rPr>
              <w:t>[ * * * ]</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15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9"/>
              </w:rPr>
              <w:t>A-/A3/A-</w:t>
            </w:r>
          </w:p>
        </w:tc>
        <w:tc>
          <w:tcPr>
            <w:tcW w:w="1420" w:type="dxa"/>
            <w:vAlign w:val="bottom"/>
            <w:tcBorders>
              <w:bottom w:val="single" w:sz="8" w:color="auto"/>
            </w:tcBorders>
            <w:gridSpan w:val="2"/>
          </w:tcPr>
          <w:p>
            <w:pPr>
              <w:jc w:val="center"/>
              <w:ind w:left="33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311"/>
              <w:spacing w:after="0"/>
              <w:rPr>
                <w:sz w:val="20"/>
                <w:szCs w:val="20"/>
                <w:color w:val="auto"/>
              </w:rPr>
            </w:pPr>
            <w:r>
              <w:rPr>
                <w:rFonts w:ascii="Arial" w:cs="Arial" w:eastAsia="Arial" w:hAnsi="Arial"/>
                <w:sz w:val="18"/>
                <w:szCs w:val="18"/>
                <w:color w:val="auto"/>
              </w:rPr>
              <w:t>[ * * * ]</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5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4"/>
              </w:rPr>
              <w:t>BBB+ / Baa1 / BBB+</w:t>
            </w:r>
          </w:p>
        </w:tc>
        <w:tc>
          <w:tcPr>
            <w:tcW w:w="1420" w:type="dxa"/>
            <w:vAlign w:val="bottom"/>
            <w:tcBorders>
              <w:bottom w:val="single" w:sz="8" w:color="auto"/>
            </w:tcBorders>
            <w:gridSpan w:val="2"/>
          </w:tcPr>
          <w:p>
            <w:pPr>
              <w:jc w:val="center"/>
              <w:ind w:left="33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311"/>
              <w:spacing w:after="0"/>
              <w:rPr>
                <w:sz w:val="20"/>
                <w:szCs w:val="20"/>
                <w:color w:val="auto"/>
              </w:rPr>
            </w:pPr>
            <w:r>
              <w:rPr>
                <w:rFonts w:ascii="Arial" w:cs="Arial" w:eastAsia="Arial" w:hAnsi="Arial"/>
                <w:sz w:val="18"/>
                <w:szCs w:val="18"/>
                <w:color w:val="auto"/>
              </w:rPr>
              <w:t>[ * * * ]</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5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4"/>
          </w:tcPr>
          <w:p>
            <w:pPr>
              <w:jc w:val="center"/>
              <w:ind w:right="1080"/>
              <w:spacing w:after="0"/>
              <w:rPr>
                <w:sz w:val="20"/>
                <w:szCs w:val="20"/>
                <w:color w:val="auto"/>
              </w:rPr>
            </w:pPr>
            <w:r>
              <w:rPr>
                <w:rFonts w:ascii="Arial" w:cs="Arial" w:eastAsia="Arial" w:hAnsi="Arial"/>
                <w:sz w:val="18"/>
                <w:szCs w:val="18"/>
                <w:color w:val="auto"/>
                <w:w w:val="94"/>
              </w:rPr>
              <w:t>BBB / Baa2 / BBB</w:t>
            </w:r>
          </w:p>
        </w:tc>
        <w:tc>
          <w:tcPr>
            <w:tcW w:w="1420" w:type="dxa"/>
            <w:vAlign w:val="bottom"/>
            <w:tcBorders>
              <w:bottom w:val="single" w:sz="8" w:color="auto"/>
            </w:tcBorders>
            <w:gridSpan w:val="2"/>
          </w:tcPr>
          <w:p>
            <w:pPr>
              <w:jc w:val="center"/>
              <w:ind w:left="33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311"/>
              <w:spacing w:after="0"/>
              <w:rPr>
                <w:sz w:val="20"/>
                <w:szCs w:val="20"/>
                <w:color w:val="auto"/>
              </w:rPr>
            </w:pPr>
            <w:r>
              <w:rPr>
                <w:rFonts w:ascii="Arial" w:cs="Arial" w:eastAsia="Arial" w:hAnsi="Arial"/>
                <w:sz w:val="18"/>
                <w:szCs w:val="18"/>
                <w:color w:val="auto"/>
              </w:rPr>
              <w:t>[ * * * ]</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5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4"/>
              </w:rPr>
              <w:t>BBB- / Baa3 / BBB-</w:t>
            </w:r>
          </w:p>
        </w:tc>
        <w:tc>
          <w:tcPr>
            <w:tcW w:w="1420" w:type="dxa"/>
            <w:vAlign w:val="bottom"/>
            <w:tcBorders>
              <w:bottom w:val="single" w:sz="8" w:color="auto"/>
            </w:tcBorders>
            <w:gridSpan w:val="2"/>
          </w:tcPr>
          <w:p>
            <w:pPr>
              <w:jc w:val="center"/>
              <w:ind w:left="33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311"/>
              <w:spacing w:after="0"/>
              <w:rPr>
                <w:sz w:val="20"/>
                <w:szCs w:val="20"/>
                <w:color w:val="auto"/>
              </w:rPr>
            </w:pPr>
            <w:r>
              <w:rPr>
                <w:rFonts w:ascii="Arial" w:cs="Arial" w:eastAsia="Arial" w:hAnsi="Arial"/>
                <w:sz w:val="18"/>
                <w:szCs w:val="18"/>
                <w:color w:val="auto"/>
              </w:rPr>
              <w:t>[ * * * ]</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5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080" w:type="dxa"/>
            <w:vAlign w:val="bottom"/>
            <w:tcBorders>
              <w:left w:val="single" w:sz="8" w:color="auto"/>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4"/>
          </w:tcPr>
          <w:p>
            <w:pPr>
              <w:jc w:val="center"/>
              <w:ind w:right="1080"/>
              <w:spacing w:after="0"/>
              <w:rPr>
                <w:sz w:val="20"/>
                <w:szCs w:val="20"/>
                <w:color w:val="auto"/>
              </w:rPr>
            </w:pPr>
            <w:r>
              <w:rPr>
                <w:rFonts w:ascii="Arial" w:cs="Arial" w:eastAsia="Arial" w:hAnsi="Arial"/>
                <w:sz w:val="18"/>
                <w:szCs w:val="18"/>
                <w:color w:val="auto"/>
                <w:w w:val="94"/>
              </w:rPr>
              <w:t xml:space="preserve">BB+ / Ba1 </w:t>
            </w:r>
            <w:r>
              <w:rPr>
                <w:rFonts w:ascii="Arial" w:cs="Arial" w:eastAsia="Arial" w:hAnsi="Arial"/>
                <w:sz w:val="18"/>
                <w:szCs w:val="18"/>
                <w:b w:val="1"/>
                <w:bCs w:val="1"/>
                <w:color w:val="auto"/>
                <w:w w:val="94"/>
              </w:rPr>
              <w:t>/</w:t>
            </w:r>
            <w:r>
              <w:rPr>
                <w:rFonts w:ascii="Arial" w:cs="Arial" w:eastAsia="Arial" w:hAnsi="Arial"/>
                <w:sz w:val="18"/>
                <w:szCs w:val="18"/>
                <w:color w:val="auto"/>
                <w:w w:val="94"/>
              </w:rPr>
              <w:t xml:space="preserve"> BB+</w:t>
            </w:r>
          </w:p>
        </w:tc>
        <w:tc>
          <w:tcPr>
            <w:tcW w:w="1420" w:type="dxa"/>
            <w:vAlign w:val="bottom"/>
            <w:tcBorders>
              <w:bottom w:val="single" w:sz="8" w:color="auto"/>
            </w:tcBorders>
            <w:gridSpan w:val="2"/>
          </w:tcPr>
          <w:p>
            <w:pPr>
              <w:jc w:val="center"/>
              <w:ind w:left="33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311"/>
              <w:spacing w:after="0"/>
              <w:rPr>
                <w:sz w:val="20"/>
                <w:szCs w:val="20"/>
                <w:color w:val="auto"/>
              </w:rPr>
            </w:pPr>
            <w:r>
              <w:rPr>
                <w:rFonts w:ascii="Arial" w:cs="Arial" w:eastAsia="Arial" w:hAnsi="Arial"/>
                <w:sz w:val="18"/>
                <w:szCs w:val="18"/>
                <w:color w:val="auto"/>
              </w:rPr>
              <w:t>[ * * * ]</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15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4"/>
          </w:tcPr>
          <w:p>
            <w:pPr>
              <w:jc w:val="center"/>
              <w:ind w:right="1080"/>
              <w:spacing w:after="0"/>
              <w:rPr>
                <w:sz w:val="20"/>
                <w:szCs w:val="20"/>
                <w:color w:val="auto"/>
              </w:rPr>
            </w:pPr>
            <w:r>
              <w:rPr>
                <w:rFonts w:ascii="Arial" w:cs="Arial" w:eastAsia="Arial" w:hAnsi="Arial"/>
                <w:sz w:val="18"/>
                <w:szCs w:val="18"/>
                <w:color w:val="auto"/>
                <w:w w:val="92"/>
              </w:rPr>
              <w:t>≤ BB / Ba2 / BB</w:t>
            </w:r>
          </w:p>
        </w:tc>
        <w:tc>
          <w:tcPr>
            <w:tcW w:w="1420" w:type="dxa"/>
            <w:vAlign w:val="bottom"/>
            <w:tcBorders>
              <w:bottom w:val="single" w:sz="8" w:color="auto"/>
            </w:tcBorders>
            <w:gridSpan w:val="2"/>
          </w:tcPr>
          <w:p>
            <w:pPr>
              <w:jc w:val="center"/>
              <w:ind w:left="33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311"/>
              <w:spacing w:after="0"/>
              <w:rPr>
                <w:sz w:val="20"/>
                <w:szCs w:val="20"/>
                <w:color w:val="auto"/>
              </w:rPr>
            </w:pPr>
            <w:r>
              <w:rPr>
                <w:rFonts w:ascii="Arial" w:cs="Arial" w:eastAsia="Arial" w:hAnsi="Arial"/>
                <w:sz w:val="18"/>
                <w:szCs w:val="18"/>
                <w:color w:val="auto"/>
              </w:rPr>
              <w:t>[ * * * ]</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51"/>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Changes in the Applicable Margin and Facility Fee Rate shall become effective on the date on which S&amp;P, Moody’s and/or Fitch changes the Facility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 * * * ] For the purposes of determining the Applicable Margin and Facility Fee Rate prior to the earlier of (a) the date that the Company receives Facility Ratings from each of S&amp;P, Moody’s and Fitch and (b) the date that is 90 days after the Closing Date, the Company’s Facility Rating shall be deemed to be “BBB- / Baa3 / BBB-”.</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WEIL:\95095329\6\64946.0030</w:t>
      </w:r>
    </w:p>
    <w:p>
      <w:pPr>
        <w:sectPr>
          <w:pgSz w:w="11900" w:h="16838" w:orient="portrait"/>
          <w:cols w:equalWidth="0" w:num="1">
            <w:col w:w="11480"/>
          </w:cols>
          <w:pgMar w:left="220" w:top="843" w:right="199" w:bottom="1440" w:gutter="0" w:footer="0" w:header="0"/>
        </w:sectPr>
      </w:pPr>
    </w:p>
    <w:bookmarkStart w:id="129" w:name="page130"/>
    <w:bookmarkEnd w:id="129"/>
    <w:p>
      <w:pPr>
        <w:jc w:val="center"/>
        <w:ind w:left="9220"/>
        <w:spacing w:after="0"/>
        <w:rPr>
          <w:sz w:val="20"/>
          <w:szCs w:val="20"/>
          <w:color w:val="auto"/>
        </w:rPr>
      </w:pPr>
      <w:r>
        <w:rPr>
          <w:rFonts w:ascii="Arial" w:cs="Arial" w:eastAsia="Arial" w:hAnsi="Arial"/>
          <w:sz w:val="16"/>
          <w:szCs w:val="16"/>
          <w:color w:val="auto"/>
        </w:rPr>
        <w:t>SCHEDULE 1.1 D</w:t>
      </w:r>
    </w:p>
    <w:p>
      <w:pPr>
        <w:spacing w:after="0" w:line="60" w:lineRule="exact"/>
        <w:rPr>
          <w:sz w:val="20"/>
          <w:szCs w:val="20"/>
          <w:color w:val="auto"/>
        </w:rPr>
      </w:pPr>
    </w:p>
    <w:p>
      <w:pPr>
        <w:jc w:val="center"/>
        <w:ind w:left="922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7"/>
          <w:szCs w:val="17"/>
          <w:color w:val="auto"/>
        </w:rPr>
        <w:t>Credit Agreement</w:t>
      </w:r>
    </w:p>
    <w:p>
      <w:pPr>
        <w:spacing w:after="0" w:line="200" w:lineRule="exact"/>
        <w:rPr>
          <w:sz w:val="20"/>
          <w:szCs w:val="20"/>
          <w:color w:val="auto"/>
        </w:rPr>
      </w:pP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EXISTING LIENS</w:t>
      </w:r>
    </w:p>
    <w:p>
      <w:pPr>
        <w:spacing w:after="0" w:line="214" w:lineRule="exact"/>
        <w:rPr>
          <w:sz w:val="20"/>
          <w:szCs w:val="20"/>
          <w:color w:val="auto"/>
        </w:rPr>
      </w:pPr>
    </w:p>
    <w:p>
      <w:pPr>
        <w:ind w:right="300"/>
        <w:spacing w:after="0" w:line="293" w:lineRule="auto"/>
        <w:rPr>
          <w:sz w:val="20"/>
          <w:szCs w:val="20"/>
          <w:color w:val="auto"/>
        </w:rPr>
      </w:pPr>
      <w:r>
        <w:rPr>
          <w:rFonts w:ascii="Arial" w:cs="Arial" w:eastAsia="Arial" w:hAnsi="Arial"/>
          <w:sz w:val="17"/>
          <w:szCs w:val="17"/>
          <w:color w:val="auto"/>
        </w:rPr>
        <w:t>Liens reflected in the lien search results dated September 25, 2014 delivered to the Administrative Agent prior to the Closing Date, excluding any liens previously granted in favor of Wilmington Trust Company, as Collateral Trustee under the Collateral Trust Agreement.</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1.1D</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WEIL:\95095329\6\64946.0030</w:t>
      </w:r>
    </w:p>
    <w:p>
      <w:pPr>
        <w:sectPr>
          <w:pgSz w:w="11900" w:h="16838" w:orient="portrait"/>
          <w:cols w:equalWidth="0" w:num="1">
            <w:col w:w="11020"/>
          </w:cols>
          <w:pgMar w:left="220" w:top="843" w:right="659" w:bottom="1440" w:gutter="0" w:footer="0" w:header="0"/>
        </w:sectPr>
      </w:pPr>
    </w:p>
    <w:bookmarkStart w:id="130" w:name="page131"/>
    <w:bookmarkEnd w:id="130"/>
    <w:p>
      <w:pPr>
        <w:jc w:val="center"/>
        <w:ind w:left="9240"/>
        <w:spacing w:after="0"/>
        <w:rPr>
          <w:sz w:val="20"/>
          <w:szCs w:val="20"/>
          <w:color w:val="auto"/>
        </w:rPr>
      </w:pPr>
      <w:r>
        <w:rPr>
          <w:rFonts w:ascii="Arial" w:cs="Arial" w:eastAsia="Arial" w:hAnsi="Arial"/>
          <w:sz w:val="18"/>
          <w:szCs w:val="18"/>
          <w:color w:val="auto"/>
        </w:rPr>
        <w:t>SCHEDULE 4.6</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LITIGATION</w:t>
      </w:r>
    </w:p>
    <w:p>
      <w:pPr>
        <w:spacing w:after="0" w:line="181" w:lineRule="exact"/>
        <w:rPr>
          <w:sz w:val="20"/>
          <w:szCs w:val="20"/>
          <w:color w:val="auto"/>
        </w:rPr>
      </w:pPr>
    </w:p>
    <w:p>
      <w:pPr>
        <w:jc w:val="both"/>
        <w:ind w:firstLine="9"/>
        <w:spacing w:after="0" w:line="262" w:lineRule="auto"/>
        <w:tabs>
          <w:tab w:leader="none" w:pos="19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July 2014, General Motors Financial Company, Inc. (“GMF”) was served with a subpoena by the U.S. Department of Justice directing GMF to produce certain documents relating to GMF and its subsidiaries’ and affiliates’ origination and securitization of subprime automobile loans since 2007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loans and the representations and warranties relating to those underwriting criteria that were made in connection with the securitization of the automobile loans. In September 2014, GMF was served with additional investigative subpoenas to produce documents from state attorneys general and other governmental offices relating to its subprime auto finance business and securitization of subprime auto loans. GMF is investigating these matters internally and believes it is cooperating with all requests. Such investigations could in the future result in the imposition of damages, fines or civil or criminal claims and/or penalties. No assurance can be given that the ultimate outcome of the investigations or any resulting proceedings would not materially and adversely affect GMF or any of its subsidiaries and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WEIL:\95095329\6\64946.0030</w:t>
      </w:r>
    </w:p>
    <w:p>
      <w:pPr>
        <w:sectPr>
          <w:pgSz w:w="11900" w:h="16838" w:orient="portrait"/>
          <w:cols w:equalWidth="0" w:num="1">
            <w:col w:w="11460"/>
          </w:cols>
          <w:pgMar w:left="220" w:top="843" w:right="219" w:bottom="1440" w:gutter="0" w:footer="0" w:header="0"/>
        </w:sectPr>
      </w:pPr>
    </w:p>
    <w:bookmarkStart w:id="131" w:name="page132"/>
    <w:bookmarkEnd w:id="131"/>
    <w:p>
      <w:pPr>
        <w:jc w:val="center"/>
        <w:ind w:left="9240"/>
        <w:spacing w:after="0"/>
        <w:rPr>
          <w:sz w:val="20"/>
          <w:szCs w:val="20"/>
          <w:color w:val="auto"/>
        </w:rPr>
      </w:pPr>
      <w:r>
        <w:rPr>
          <w:rFonts w:ascii="Arial" w:cs="Arial" w:eastAsia="Arial" w:hAnsi="Arial"/>
          <w:sz w:val="15"/>
          <w:szCs w:val="15"/>
          <w:b w:val="1"/>
          <w:bCs w:val="1"/>
          <w:color w:val="auto"/>
        </w:rPr>
        <w:t>EXHIBIT A</w:t>
      </w:r>
    </w:p>
    <w:p>
      <w:pPr>
        <w:spacing w:after="0" w:line="49" w:lineRule="exact"/>
        <w:rPr>
          <w:sz w:val="20"/>
          <w:szCs w:val="20"/>
          <w:color w:val="auto"/>
        </w:rPr>
      </w:pPr>
    </w:p>
    <w:p>
      <w:pPr>
        <w:jc w:val="center"/>
        <w:ind w:left="9240"/>
        <w:spacing w:after="0"/>
        <w:rPr>
          <w:sz w:val="20"/>
          <w:szCs w:val="20"/>
          <w:color w:val="auto"/>
        </w:rPr>
      </w:pPr>
      <w:r>
        <w:rPr>
          <w:rFonts w:ascii="Arial" w:cs="Arial" w:eastAsia="Arial" w:hAnsi="Arial"/>
          <w:sz w:val="15"/>
          <w:szCs w:val="15"/>
          <w:b w:val="1"/>
          <w:bCs w:val="1"/>
          <w:color w:val="auto"/>
        </w:rPr>
        <w:t>to</w:t>
      </w:r>
    </w:p>
    <w:p>
      <w:pPr>
        <w:spacing w:after="0" w:line="49" w:lineRule="exact"/>
        <w:rPr>
          <w:sz w:val="20"/>
          <w:szCs w:val="20"/>
          <w:color w:val="auto"/>
        </w:rPr>
      </w:pPr>
    </w:p>
    <w:p>
      <w:pPr>
        <w:jc w:val="center"/>
        <w:ind w:left="9240"/>
        <w:spacing w:after="0"/>
        <w:rPr>
          <w:sz w:val="20"/>
          <w:szCs w:val="20"/>
          <w:color w:val="auto"/>
        </w:rPr>
      </w:pPr>
      <w:r>
        <w:rPr>
          <w:rFonts w:ascii="Arial" w:cs="Arial" w:eastAsia="Arial" w:hAnsi="Arial"/>
          <w:sz w:val="13"/>
          <w:szCs w:val="13"/>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1067435</wp:posOffset>
            </wp:positionV>
            <wp:extent cx="709549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5490" cy="698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1081405</wp:posOffset>
            </wp:positionV>
            <wp:extent cx="709549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54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FORM OF</w:t>
      </w:r>
    </w:p>
    <w:p>
      <w:pPr>
        <w:spacing w:after="0" w:line="49"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AMENDED AND RESTATED GUARANTEE AGREEMENT</w:t>
      </w:r>
    </w:p>
    <w:p>
      <w:pPr>
        <w:spacing w:after="0" w:line="200" w:lineRule="exact"/>
        <w:rPr>
          <w:sz w:val="20"/>
          <w:szCs w:val="20"/>
          <w:color w:val="auto"/>
        </w:rPr>
      </w:pP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made by</w:t>
      </w:r>
    </w:p>
    <w:p>
      <w:pPr>
        <w:spacing w:after="0" w:line="200" w:lineRule="exact"/>
        <w:rPr>
          <w:sz w:val="20"/>
          <w:szCs w:val="20"/>
          <w:color w:val="auto"/>
        </w:rPr>
      </w:pPr>
    </w:p>
    <w:p>
      <w:pPr>
        <w:spacing w:after="0" w:line="303"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GENERAL MOTORS COMPANY</w:t>
      </w:r>
    </w:p>
    <w:p>
      <w:pPr>
        <w:spacing w:after="0" w:line="314"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 xml:space="preserve">AND CERTAIN OTHER PERSONS FROM TIME TO TIME PARTIES HERETO, </w:t>
      </w:r>
      <w:r>
        <w:rPr>
          <w:rFonts w:ascii="Arial" w:cs="Arial" w:eastAsia="Arial" w:hAnsi="Arial"/>
          <w:sz w:val="16"/>
          <w:szCs w:val="16"/>
          <w:i w:val="1"/>
          <w:iCs w:val="1"/>
          <w:color w:val="auto"/>
        </w:rPr>
        <w:t>as the Guarantors</w:t>
      </w:r>
    </w:p>
    <w:p>
      <w:pPr>
        <w:spacing w:after="0" w:line="200" w:lineRule="exact"/>
        <w:rPr>
          <w:sz w:val="20"/>
          <w:szCs w:val="20"/>
          <w:color w:val="auto"/>
        </w:rPr>
      </w:pPr>
    </w:p>
    <w:p>
      <w:pPr>
        <w:spacing w:after="0" w:line="380"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in favor of</w:t>
      </w:r>
    </w:p>
    <w:p>
      <w:pPr>
        <w:spacing w:after="0" w:line="200" w:lineRule="exact"/>
        <w:rPr>
          <w:sz w:val="20"/>
          <w:szCs w:val="20"/>
          <w:color w:val="auto"/>
        </w:rPr>
      </w:pPr>
    </w:p>
    <w:p>
      <w:pPr>
        <w:spacing w:after="0" w:line="380"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 xml:space="preserve">JPMORGAN CHASE BANK, N.A., </w:t>
      </w:r>
      <w:r>
        <w:rPr>
          <w:rFonts w:ascii="Arial" w:cs="Arial" w:eastAsia="Arial" w:hAnsi="Arial"/>
          <w:sz w:val="16"/>
          <w:szCs w:val="16"/>
          <w:i w:val="1"/>
          <w:iCs w:val="1"/>
          <w:color w:val="auto"/>
        </w:rPr>
        <w:t>as the Administrative Agent</w:t>
      </w:r>
    </w:p>
    <w:p>
      <w:pPr>
        <w:spacing w:after="0" w:line="314"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Dated as of October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532130</wp:posOffset>
            </wp:positionV>
            <wp:extent cx="709549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5490" cy="698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546735</wp:posOffset>
            </wp:positionV>
            <wp:extent cx="709549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54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ectPr>
          <w:pgSz w:w="11900" w:h="16838" w:orient="portrait"/>
          <w:cols w:equalWidth="0" w:num="1">
            <w:col w:w="10920"/>
          </w:cols>
          <w:pgMar w:left="220" w:top="634" w:right="75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40" w:type="dxa"/>
            <w:vAlign w:val="bottom"/>
          </w:tcPr>
          <w:p>
            <w:pPr>
              <w:ind w:left="3160"/>
              <w:spacing w:after="0"/>
              <w:rPr>
                <w:sz w:val="20"/>
                <w:szCs w:val="20"/>
                <w:color w:val="auto"/>
              </w:rPr>
            </w:pPr>
            <w:r>
              <w:rPr>
                <w:rFonts w:ascii="Arial" w:cs="Arial" w:eastAsia="Arial" w:hAnsi="Arial"/>
                <w:sz w:val="16"/>
                <w:szCs w:val="16"/>
                <w:color w:val="auto"/>
              </w:rPr>
              <w:t>TABLE OF CONTENTS</w:t>
            </w: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gridSpan w:val="2"/>
          </w:tcPr>
          <w:p>
            <w:pPr>
              <w:jc w:val="right"/>
              <w:ind w:right="139"/>
              <w:spacing w:after="0"/>
              <w:rPr>
                <w:sz w:val="20"/>
                <w:szCs w:val="20"/>
                <w:color w:val="auto"/>
              </w:rPr>
            </w:pPr>
            <w:r>
              <w:rPr>
                <w:rFonts w:ascii="Arial" w:cs="Arial" w:eastAsia="Arial" w:hAnsi="Arial"/>
                <w:sz w:val="16"/>
                <w:szCs w:val="16"/>
                <w:color w:val="auto"/>
                <w:w w:val="80"/>
              </w:rPr>
              <w:t>Page</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Section 1.</w:t>
            </w:r>
          </w:p>
        </w:tc>
        <w:tc>
          <w:tcPr>
            <w:tcW w:w="7640" w:type="dxa"/>
            <w:vAlign w:val="bottom"/>
          </w:tcPr>
          <w:p>
            <w:pPr>
              <w:ind w:left="460"/>
              <w:spacing w:after="0"/>
              <w:rPr>
                <w:sz w:val="20"/>
                <w:szCs w:val="20"/>
                <w:color w:val="auto"/>
              </w:rPr>
            </w:pPr>
            <w:r>
              <w:rPr>
                <w:rFonts w:ascii="Arial" w:cs="Arial" w:eastAsia="Arial" w:hAnsi="Arial"/>
                <w:sz w:val="16"/>
                <w:szCs w:val="16"/>
                <w:color w:val="auto"/>
              </w:rPr>
              <w:t>DEFINED TERMS…………………………………………………………….................</w:t>
            </w:r>
          </w:p>
        </w:tc>
        <w:tc>
          <w:tcPr>
            <w:tcW w:w="14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98"/>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1.1</w:t>
            </w:r>
          </w:p>
        </w:tc>
        <w:tc>
          <w:tcPr>
            <w:tcW w:w="7640" w:type="dxa"/>
            <w:vAlign w:val="bottom"/>
          </w:tcPr>
          <w:p>
            <w:pPr>
              <w:ind w:left="460"/>
              <w:spacing w:after="0"/>
              <w:rPr>
                <w:sz w:val="20"/>
                <w:szCs w:val="20"/>
                <w:color w:val="auto"/>
              </w:rPr>
            </w:pPr>
            <w:r>
              <w:rPr>
                <w:rFonts w:ascii="Arial" w:cs="Arial" w:eastAsia="Arial" w:hAnsi="Arial"/>
                <w:sz w:val="16"/>
                <w:szCs w:val="16"/>
                <w:color w:val="auto"/>
              </w:rPr>
              <w:t>Definitions………………………………………………………………………...............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1.2</w:t>
            </w:r>
          </w:p>
        </w:tc>
        <w:tc>
          <w:tcPr>
            <w:tcW w:w="7640" w:type="dxa"/>
            <w:vAlign w:val="bottom"/>
          </w:tcPr>
          <w:p>
            <w:pPr>
              <w:ind w:left="460"/>
              <w:spacing w:after="0"/>
              <w:rPr>
                <w:sz w:val="20"/>
                <w:szCs w:val="20"/>
                <w:color w:val="auto"/>
              </w:rPr>
            </w:pPr>
            <w:r>
              <w:rPr>
                <w:rFonts w:ascii="Arial" w:cs="Arial" w:eastAsia="Arial" w:hAnsi="Arial"/>
                <w:sz w:val="16"/>
                <w:szCs w:val="16"/>
                <w:color w:val="auto"/>
              </w:rPr>
              <w:t>Other Definitional Provisions…………………………………………………….............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98"/>
        </w:trPr>
        <w:tc>
          <w:tcPr>
            <w:tcW w:w="4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Section 2.</w:t>
            </w:r>
          </w:p>
        </w:tc>
        <w:tc>
          <w:tcPr>
            <w:tcW w:w="7640" w:type="dxa"/>
            <w:vAlign w:val="bottom"/>
          </w:tcPr>
          <w:p>
            <w:pPr>
              <w:ind w:left="460"/>
              <w:spacing w:after="0"/>
              <w:rPr>
                <w:sz w:val="20"/>
                <w:szCs w:val="20"/>
                <w:color w:val="auto"/>
              </w:rPr>
            </w:pPr>
            <w:r>
              <w:rPr>
                <w:rFonts w:ascii="Arial" w:cs="Arial" w:eastAsia="Arial" w:hAnsi="Arial"/>
                <w:sz w:val="16"/>
                <w:szCs w:val="16"/>
                <w:color w:val="auto"/>
              </w:rPr>
              <w:t>Guarantee………………………………………………………………………..................</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98"/>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2.1</w:t>
            </w:r>
          </w:p>
        </w:tc>
        <w:tc>
          <w:tcPr>
            <w:tcW w:w="7640" w:type="dxa"/>
            <w:vAlign w:val="bottom"/>
          </w:tcPr>
          <w:p>
            <w:pPr>
              <w:ind w:left="460"/>
              <w:spacing w:after="0"/>
              <w:rPr>
                <w:sz w:val="20"/>
                <w:szCs w:val="20"/>
                <w:color w:val="auto"/>
              </w:rPr>
            </w:pPr>
            <w:r>
              <w:rPr>
                <w:rFonts w:ascii="Arial" w:cs="Arial" w:eastAsia="Arial" w:hAnsi="Arial"/>
                <w:sz w:val="16"/>
                <w:szCs w:val="16"/>
                <w:color w:val="auto"/>
              </w:rPr>
              <w:t>Guarantee……………………………………………………………………….................</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2.2</w:t>
            </w:r>
          </w:p>
        </w:tc>
        <w:tc>
          <w:tcPr>
            <w:tcW w:w="7640" w:type="dxa"/>
            <w:vAlign w:val="bottom"/>
          </w:tcPr>
          <w:p>
            <w:pPr>
              <w:ind w:left="460"/>
              <w:spacing w:after="0"/>
              <w:rPr>
                <w:sz w:val="20"/>
                <w:szCs w:val="20"/>
                <w:color w:val="auto"/>
              </w:rPr>
            </w:pPr>
            <w:r>
              <w:rPr>
                <w:rFonts w:ascii="Arial" w:cs="Arial" w:eastAsia="Arial" w:hAnsi="Arial"/>
                <w:sz w:val="16"/>
                <w:szCs w:val="16"/>
                <w:color w:val="auto"/>
              </w:rPr>
              <w:t>Right of Contribution………………………………………………………......................</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2.3</w:t>
            </w:r>
          </w:p>
        </w:tc>
        <w:tc>
          <w:tcPr>
            <w:tcW w:w="7640" w:type="dxa"/>
            <w:vAlign w:val="bottom"/>
          </w:tcPr>
          <w:p>
            <w:pPr>
              <w:ind w:left="460"/>
              <w:spacing w:after="0"/>
              <w:rPr>
                <w:sz w:val="20"/>
                <w:szCs w:val="20"/>
                <w:color w:val="auto"/>
              </w:rPr>
            </w:pPr>
            <w:r>
              <w:rPr>
                <w:rFonts w:ascii="Arial" w:cs="Arial" w:eastAsia="Arial" w:hAnsi="Arial"/>
                <w:sz w:val="16"/>
                <w:szCs w:val="16"/>
                <w:color w:val="auto"/>
              </w:rPr>
              <w:t>No Subrogation……………………………………………………...................................</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2.4</w:t>
            </w:r>
          </w:p>
        </w:tc>
        <w:tc>
          <w:tcPr>
            <w:tcW w:w="7640" w:type="dxa"/>
            <w:vAlign w:val="bottom"/>
          </w:tcPr>
          <w:p>
            <w:pPr>
              <w:ind w:left="460"/>
              <w:spacing w:after="0"/>
              <w:rPr>
                <w:sz w:val="20"/>
                <w:szCs w:val="20"/>
                <w:color w:val="auto"/>
              </w:rPr>
            </w:pPr>
            <w:r>
              <w:rPr>
                <w:rFonts w:ascii="Arial" w:cs="Arial" w:eastAsia="Arial" w:hAnsi="Arial"/>
                <w:sz w:val="16"/>
                <w:szCs w:val="16"/>
                <w:color w:val="auto"/>
              </w:rPr>
              <w:t>Amendments, etc. with respect to the Guaranteed Obligations…………………………..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2.5</w:t>
            </w:r>
          </w:p>
        </w:tc>
        <w:tc>
          <w:tcPr>
            <w:tcW w:w="7640" w:type="dxa"/>
            <w:vAlign w:val="bottom"/>
          </w:tcPr>
          <w:p>
            <w:pPr>
              <w:ind w:left="460"/>
              <w:spacing w:after="0"/>
              <w:rPr>
                <w:sz w:val="20"/>
                <w:szCs w:val="20"/>
                <w:color w:val="auto"/>
              </w:rPr>
            </w:pPr>
            <w:r>
              <w:rPr>
                <w:rFonts w:ascii="Arial" w:cs="Arial" w:eastAsia="Arial" w:hAnsi="Arial"/>
                <w:sz w:val="16"/>
                <w:szCs w:val="16"/>
                <w:color w:val="auto"/>
              </w:rPr>
              <w:t>Guarantee Absolute and Unconditional…………………………………..........................</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2.6</w:t>
            </w:r>
          </w:p>
        </w:tc>
        <w:tc>
          <w:tcPr>
            <w:tcW w:w="7640" w:type="dxa"/>
            <w:vAlign w:val="bottom"/>
          </w:tcPr>
          <w:p>
            <w:pPr>
              <w:ind w:left="460"/>
              <w:spacing w:after="0"/>
              <w:rPr>
                <w:sz w:val="20"/>
                <w:szCs w:val="20"/>
                <w:color w:val="auto"/>
              </w:rPr>
            </w:pPr>
            <w:r>
              <w:rPr>
                <w:rFonts w:ascii="Arial" w:cs="Arial" w:eastAsia="Arial" w:hAnsi="Arial"/>
                <w:sz w:val="16"/>
                <w:szCs w:val="16"/>
                <w:color w:val="auto"/>
              </w:rPr>
              <w:t>Reinstatement……………………………………………………………………………..</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2.7</w:t>
            </w:r>
          </w:p>
        </w:tc>
        <w:tc>
          <w:tcPr>
            <w:tcW w:w="7640" w:type="dxa"/>
            <w:vAlign w:val="bottom"/>
          </w:tcPr>
          <w:p>
            <w:pPr>
              <w:ind w:left="460"/>
              <w:spacing w:after="0"/>
              <w:rPr>
                <w:sz w:val="20"/>
                <w:szCs w:val="20"/>
                <w:color w:val="auto"/>
              </w:rPr>
            </w:pPr>
            <w:r>
              <w:rPr>
                <w:rFonts w:ascii="Arial" w:cs="Arial" w:eastAsia="Arial" w:hAnsi="Arial"/>
                <w:sz w:val="16"/>
                <w:szCs w:val="16"/>
                <w:color w:val="auto"/>
              </w:rPr>
              <w:t>Payments………………………………………………………………………………….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509"/>
        </w:trPr>
        <w:tc>
          <w:tcPr>
            <w:tcW w:w="4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Section 3.</w:t>
            </w:r>
          </w:p>
        </w:tc>
        <w:tc>
          <w:tcPr>
            <w:tcW w:w="7640" w:type="dxa"/>
            <w:vAlign w:val="bottom"/>
          </w:tcPr>
          <w:p>
            <w:pPr>
              <w:ind w:left="460"/>
              <w:spacing w:after="0"/>
              <w:rPr>
                <w:sz w:val="20"/>
                <w:szCs w:val="20"/>
                <w:color w:val="auto"/>
              </w:rPr>
            </w:pPr>
            <w:r>
              <w:rPr>
                <w:rFonts w:ascii="Arial" w:cs="Arial" w:eastAsia="Arial" w:hAnsi="Arial"/>
                <w:sz w:val="16"/>
                <w:szCs w:val="16"/>
                <w:color w:val="auto"/>
              </w:rPr>
              <w:t>MISCELLANEOUS……………………………………………………………………...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509"/>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3.1</w:t>
            </w:r>
          </w:p>
        </w:tc>
        <w:tc>
          <w:tcPr>
            <w:tcW w:w="7640" w:type="dxa"/>
            <w:vAlign w:val="bottom"/>
          </w:tcPr>
          <w:p>
            <w:pPr>
              <w:ind w:left="460"/>
              <w:spacing w:after="0"/>
              <w:rPr>
                <w:sz w:val="20"/>
                <w:szCs w:val="20"/>
                <w:color w:val="auto"/>
              </w:rPr>
            </w:pPr>
            <w:r>
              <w:rPr>
                <w:rFonts w:ascii="Arial" w:cs="Arial" w:eastAsia="Arial" w:hAnsi="Arial"/>
                <w:sz w:val="16"/>
                <w:szCs w:val="16"/>
                <w:color w:val="auto"/>
              </w:rPr>
              <w:t>Authority of Administrative Agent…………………………………………….................</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3.2</w:t>
            </w:r>
          </w:p>
        </w:tc>
        <w:tc>
          <w:tcPr>
            <w:tcW w:w="7640" w:type="dxa"/>
            <w:vAlign w:val="bottom"/>
          </w:tcPr>
          <w:p>
            <w:pPr>
              <w:ind w:left="460"/>
              <w:spacing w:after="0"/>
              <w:rPr>
                <w:sz w:val="20"/>
                <w:szCs w:val="20"/>
                <w:color w:val="auto"/>
              </w:rPr>
            </w:pPr>
            <w:r>
              <w:rPr>
                <w:rFonts w:ascii="Arial" w:cs="Arial" w:eastAsia="Arial" w:hAnsi="Arial"/>
                <w:sz w:val="16"/>
                <w:szCs w:val="16"/>
                <w:color w:val="auto"/>
              </w:rPr>
              <w:t>Amendments in Writing………………………………………………………………......</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3.3</w:t>
            </w:r>
          </w:p>
        </w:tc>
        <w:tc>
          <w:tcPr>
            <w:tcW w:w="7640" w:type="dxa"/>
            <w:vAlign w:val="bottom"/>
          </w:tcPr>
          <w:p>
            <w:pPr>
              <w:ind w:left="460"/>
              <w:spacing w:after="0"/>
              <w:rPr>
                <w:sz w:val="20"/>
                <w:szCs w:val="20"/>
                <w:color w:val="auto"/>
              </w:rPr>
            </w:pPr>
            <w:r>
              <w:rPr>
                <w:rFonts w:ascii="Arial" w:cs="Arial" w:eastAsia="Arial" w:hAnsi="Arial"/>
                <w:sz w:val="16"/>
                <w:szCs w:val="16"/>
                <w:color w:val="auto"/>
              </w:rPr>
              <w:t>Notices……………………………………………………………………………………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3.4</w:t>
            </w:r>
          </w:p>
        </w:tc>
        <w:tc>
          <w:tcPr>
            <w:tcW w:w="7640" w:type="dxa"/>
            <w:vAlign w:val="bottom"/>
          </w:tcPr>
          <w:p>
            <w:pPr>
              <w:ind w:left="460"/>
              <w:spacing w:after="0"/>
              <w:rPr>
                <w:sz w:val="20"/>
                <w:szCs w:val="20"/>
                <w:color w:val="auto"/>
              </w:rPr>
            </w:pPr>
            <w:r>
              <w:rPr>
                <w:rFonts w:ascii="Arial" w:cs="Arial" w:eastAsia="Arial" w:hAnsi="Arial"/>
                <w:sz w:val="16"/>
                <w:szCs w:val="16"/>
                <w:color w:val="auto"/>
              </w:rPr>
              <w:t>No Waiver by Course of Conduct; Cumulative Remedies………………………..............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3.5</w:t>
            </w:r>
          </w:p>
        </w:tc>
        <w:tc>
          <w:tcPr>
            <w:tcW w:w="7640" w:type="dxa"/>
            <w:vAlign w:val="bottom"/>
          </w:tcPr>
          <w:p>
            <w:pPr>
              <w:ind w:left="460"/>
              <w:spacing w:after="0"/>
              <w:rPr>
                <w:sz w:val="20"/>
                <w:szCs w:val="20"/>
                <w:color w:val="auto"/>
              </w:rPr>
            </w:pPr>
            <w:r>
              <w:rPr>
                <w:rFonts w:ascii="Arial" w:cs="Arial" w:eastAsia="Arial" w:hAnsi="Arial"/>
                <w:sz w:val="16"/>
                <w:szCs w:val="16"/>
                <w:color w:val="auto"/>
              </w:rPr>
              <w:t>Enforcement Expenses; Indemnification………………………………............................</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3.6</w:t>
            </w:r>
          </w:p>
        </w:tc>
        <w:tc>
          <w:tcPr>
            <w:tcW w:w="7640" w:type="dxa"/>
            <w:vAlign w:val="bottom"/>
          </w:tcPr>
          <w:p>
            <w:pPr>
              <w:ind w:left="460"/>
              <w:spacing w:after="0"/>
              <w:rPr>
                <w:sz w:val="20"/>
                <w:szCs w:val="20"/>
                <w:color w:val="auto"/>
              </w:rPr>
            </w:pPr>
            <w:r>
              <w:rPr>
                <w:rFonts w:ascii="Arial" w:cs="Arial" w:eastAsia="Arial" w:hAnsi="Arial"/>
                <w:sz w:val="16"/>
                <w:szCs w:val="16"/>
                <w:color w:val="auto"/>
              </w:rPr>
              <w:t>Successors and Assigns…………………………………………………………...............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3.7</w:t>
            </w:r>
          </w:p>
        </w:tc>
        <w:tc>
          <w:tcPr>
            <w:tcW w:w="7640" w:type="dxa"/>
            <w:vAlign w:val="bottom"/>
          </w:tcPr>
          <w:p>
            <w:pPr>
              <w:ind w:left="460"/>
              <w:spacing w:after="0"/>
              <w:rPr>
                <w:sz w:val="20"/>
                <w:szCs w:val="20"/>
                <w:color w:val="auto"/>
              </w:rPr>
            </w:pPr>
            <w:r>
              <w:rPr>
                <w:rFonts w:ascii="Arial" w:cs="Arial" w:eastAsia="Arial" w:hAnsi="Arial"/>
                <w:sz w:val="16"/>
                <w:szCs w:val="16"/>
                <w:color w:val="auto"/>
              </w:rPr>
              <w:t>Counterparts………………………………………………………………………………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3.8</w:t>
            </w:r>
          </w:p>
        </w:tc>
        <w:tc>
          <w:tcPr>
            <w:tcW w:w="7640" w:type="dxa"/>
            <w:vAlign w:val="bottom"/>
          </w:tcPr>
          <w:p>
            <w:pPr>
              <w:ind w:left="460"/>
              <w:spacing w:after="0"/>
              <w:rPr>
                <w:sz w:val="20"/>
                <w:szCs w:val="20"/>
                <w:color w:val="auto"/>
              </w:rPr>
            </w:pPr>
            <w:r>
              <w:rPr>
                <w:rFonts w:ascii="Arial" w:cs="Arial" w:eastAsia="Arial" w:hAnsi="Arial"/>
                <w:sz w:val="16"/>
                <w:szCs w:val="16"/>
                <w:color w:val="auto"/>
              </w:rPr>
              <w:t>Severability……………………………………………………………………………….</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3.9</w:t>
            </w:r>
          </w:p>
        </w:tc>
        <w:tc>
          <w:tcPr>
            <w:tcW w:w="7640" w:type="dxa"/>
            <w:vAlign w:val="bottom"/>
          </w:tcPr>
          <w:p>
            <w:pPr>
              <w:ind w:left="460"/>
              <w:spacing w:after="0"/>
              <w:rPr>
                <w:sz w:val="20"/>
                <w:szCs w:val="20"/>
                <w:color w:val="auto"/>
              </w:rPr>
            </w:pPr>
            <w:r>
              <w:rPr>
                <w:rFonts w:ascii="Arial" w:cs="Arial" w:eastAsia="Arial" w:hAnsi="Arial"/>
                <w:sz w:val="16"/>
                <w:szCs w:val="16"/>
                <w:color w:val="auto"/>
              </w:rPr>
              <w:t>Section Headings…………………………………………………………………………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3.10</w:t>
            </w:r>
          </w:p>
        </w:tc>
        <w:tc>
          <w:tcPr>
            <w:tcW w:w="7640" w:type="dxa"/>
            <w:vAlign w:val="bottom"/>
          </w:tcPr>
          <w:p>
            <w:pPr>
              <w:ind w:left="460"/>
              <w:spacing w:after="0"/>
              <w:rPr>
                <w:sz w:val="20"/>
                <w:szCs w:val="20"/>
                <w:color w:val="auto"/>
              </w:rPr>
            </w:pPr>
            <w:r>
              <w:rPr>
                <w:rFonts w:ascii="Arial" w:cs="Arial" w:eastAsia="Arial" w:hAnsi="Arial"/>
                <w:sz w:val="16"/>
                <w:szCs w:val="16"/>
                <w:color w:val="auto"/>
              </w:rPr>
              <w:t>Integration………………………………………………………………………………</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3.11</w:t>
            </w:r>
          </w:p>
        </w:tc>
        <w:tc>
          <w:tcPr>
            <w:tcW w:w="7640" w:type="dxa"/>
            <w:vAlign w:val="bottom"/>
          </w:tcPr>
          <w:p>
            <w:pPr>
              <w:ind w:left="460"/>
              <w:spacing w:after="0"/>
              <w:rPr>
                <w:sz w:val="20"/>
                <w:szCs w:val="20"/>
                <w:color w:val="auto"/>
              </w:rPr>
            </w:pPr>
            <w:r>
              <w:rPr>
                <w:rFonts w:ascii="Arial" w:cs="Arial" w:eastAsia="Arial" w:hAnsi="Arial"/>
                <w:sz w:val="16"/>
                <w:szCs w:val="16"/>
                <w:b w:val="1"/>
                <w:bCs w:val="1"/>
                <w:color w:val="auto"/>
              </w:rPr>
              <w:t>GOVERNING LAW………………………………………………………………….....</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3.12</w:t>
            </w:r>
          </w:p>
        </w:tc>
        <w:tc>
          <w:tcPr>
            <w:tcW w:w="7640" w:type="dxa"/>
            <w:vAlign w:val="bottom"/>
          </w:tcPr>
          <w:p>
            <w:pPr>
              <w:ind w:left="460"/>
              <w:spacing w:after="0"/>
              <w:rPr>
                <w:sz w:val="20"/>
                <w:szCs w:val="20"/>
                <w:color w:val="auto"/>
              </w:rPr>
            </w:pPr>
            <w:r>
              <w:rPr>
                <w:rFonts w:ascii="Arial" w:cs="Arial" w:eastAsia="Arial" w:hAnsi="Arial"/>
                <w:sz w:val="16"/>
                <w:szCs w:val="16"/>
                <w:color w:val="auto"/>
              </w:rPr>
              <w:t>Submission To Jurisdiction; Waivers……………………………………………………..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3.13</w:t>
            </w:r>
          </w:p>
        </w:tc>
        <w:tc>
          <w:tcPr>
            <w:tcW w:w="7640" w:type="dxa"/>
            <w:vAlign w:val="bottom"/>
          </w:tcPr>
          <w:p>
            <w:pPr>
              <w:ind w:left="460"/>
              <w:spacing w:after="0"/>
              <w:rPr>
                <w:sz w:val="20"/>
                <w:szCs w:val="20"/>
                <w:color w:val="auto"/>
              </w:rPr>
            </w:pPr>
            <w:r>
              <w:rPr>
                <w:rFonts w:ascii="Arial" w:cs="Arial" w:eastAsia="Arial" w:hAnsi="Arial"/>
                <w:sz w:val="16"/>
                <w:szCs w:val="16"/>
                <w:color w:val="auto"/>
              </w:rPr>
              <w:t>Additional Guarantors………………………………………………………………….....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3.14</w:t>
            </w:r>
          </w:p>
        </w:tc>
        <w:tc>
          <w:tcPr>
            <w:tcW w:w="7640" w:type="dxa"/>
            <w:vAlign w:val="bottom"/>
          </w:tcPr>
          <w:p>
            <w:pPr>
              <w:ind w:left="460"/>
              <w:spacing w:after="0"/>
              <w:rPr>
                <w:sz w:val="20"/>
                <w:szCs w:val="20"/>
                <w:color w:val="auto"/>
              </w:rPr>
            </w:pPr>
            <w:r>
              <w:rPr>
                <w:rFonts w:ascii="Arial" w:cs="Arial" w:eastAsia="Arial" w:hAnsi="Arial"/>
                <w:sz w:val="16"/>
                <w:szCs w:val="16"/>
                <w:color w:val="auto"/>
              </w:rPr>
              <w:t>Releases…………………………………………………………………………………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3"/>
        </w:trPr>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89"/>
              </w:rPr>
              <w:t>3.15</w:t>
            </w:r>
          </w:p>
        </w:tc>
        <w:tc>
          <w:tcPr>
            <w:tcW w:w="7640" w:type="dxa"/>
            <w:vAlign w:val="bottom"/>
          </w:tcPr>
          <w:p>
            <w:pPr>
              <w:ind w:left="460"/>
              <w:spacing w:after="0"/>
              <w:rPr>
                <w:sz w:val="20"/>
                <w:szCs w:val="20"/>
                <w:color w:val="auto"/>
              </w:rPr>
            </w:pPr>
            <w:r>
              <w:rPr>
                <w:rFonts w:ascii="Arial" w:cs="Arial" w:eastAsia="Arial" w:hAnsi="Arial"/>
                <w:sz w:val="16"/>
                <w:szCs w:val="16"/>
                <w:b w:val="1"/>
                <w:bCs w:val="1"/>
                <w:color w:val="auto"/>
              </w:rPr>
              <w:t>WAIVER OF JURY TRIAL…………………………………………………………….</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727"/>
        </w:trPr>
        <w:tc>
          <w:tcPr>
            <w:tcW w:w="4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7"/>
              </w:rPr>
              <w:t>ANNEX</w:t>
            </w:r>
          </w:p>
        </w:tc>
        <w:tc>
          <w:tcPr>
            <w:tcW w:w="11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4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Annex I</w:t>
            </w:r>
          </w:p>
        </w:tc>
        <w:tc>
          <w:tcPr>
            <w:tcW w:w="7640" w:type="dxa"/>
            <w:vAlign w:val="bottom"/>
          </w:tcPr>
          <w:p>
            <w:pPr>
              <w:ind w:left="460"/>
              <w:spacing w:after="0"/>
              <w:rPr>
                <w:sz w:val="20"/>
                <w:szCs w:val="20"/>
                <w:color w:val="auto"/>
              </w:rPr>
            </w:pPr>
            <w:r>
              <w:rPr>
                <w:rFonts w:ascii="Arial" w:cs="Arial" w:eastAsia="Arial" w:hAnsi="Arial"/>
                <w:sz w:val="16"/>
                <w:szCs w:val="16"/>
                <w:color w:val="auto"/>
              </w:rPr>
              <w:t>Form of Joinder Agreement</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760" w:type="dxa"/>
            <w:vAlign w:val="bottom"/>
            <w:gridSpan w:val="3"/>
            <w:vMerge w:val="restart"/>
          </w:tcPr>
          <w:p>
            <w:pPr>
              <w:spacing w:after="0"/>
              <w:rPr>
                <w:sz w:val="20"/>
                <w:szCs w:val="20"/>
                <w:color w:val="auto"/>
              </w:rPr>
            </w:pPr>
            <w:r>
              <w:rPr>
                <w:rFonts w:ascii="Arial" w:cs="Arial" w:eastAsia="Arial" w:hAnsi="Arial"/>
                <w:sz w:val="10"/>
                <w:szCs w:val="10"/>
                <w:color w:val="auto"/>
              </w:rPr>
              <w:t>509265-1725-Active.16559963</w:t>
            </w:r>
          </w:p>
        </w:tc>
        <w:tc>
          <w:tcPr>
            <w:tcW w:w="7640" w:type="dxa"/>
            <w:vAlign w:val="bottom"/>
          </w:tcPr>
          <w:p>
            <w:pPr>
              <w:ind w:left="3920"/>
              <w:spacing w:after="0"/>
              <w:rPr>
                <w:sz w:val="20"/>
                <w:szCs w:val="20"/>
                <w:color w:val="auto"/>
              </w:rPr>
            </w:pPr>
            <w:r>
              <w:rPr>
                <w:rFonts w:ascii="Arial" w:cs="Arial" w:eastAsia="Arial" w:hAnsi="Arial"/>
                <w:sz w:val="16"/>
                <w:szCs w:val="16"/>
                <w:color w:val="auto"/>
              </w:rPr>
              <w:t>ii</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60" w:type="dxa"/>
            <w:vAlign w:val="bottom"/>
            <w:gridSpan w:val="3"/>
            <w:vMerge w:val="continue"/>
          </w:tcPr>
          <w:p>
            <w:pPr>
              <w:spacing w:after="0"/>
              <w:rPr>
                <w:sz w:val="9"/>
                <w:szCs w:val="9"/>
                <w:color w:val="auto"/>
              </w:rPr>
            </w:pPr>
          </w:p>
        </w:tc>
        <w:tc>
          <w:tcPr>
            <w:tcW w:w="76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20" w:top="634" w:right="339" w:bottom="1440" w:gutter="0" w:footer="0" w:header="0"/>
        </w:sectPr>
      </w:pPr>
    </w:p>
    <w:bookmarkStart w:id="133" w:name="page134"/>
    <w:bookmarkEnd w:id="133"/>
    <w:p>
      <w:pPr>
        <w:ind w:left="1080"/>
        <w:spacing w:after="0"/>
        <w:rPr>
          <w:sz w:val="20"/>
          <w:szCs w:val="20"/>
          <w:color w:val="auto"/>
        </w:rPr>
      </w:pPr>
      <w:r>
        <w:rPr>
          <w:rFonts w:ascii="Arial" w:cs="Arial" w:eastAsia="Arial" w:hAnsi="Arial"/>
          <w:sz w:val="15"/>
          <w:szCs w:val="15"/>
          <w:color w:val="auto"/>
        </w:rPr>
        <w:t>AMENDED AND RESTATED GUARANTEE AGREEMENT, dated as of October 17, 2014 (this “</w:t>
      </w:r>
      <w:r>
        <w:rPr>
          <w:rFonts w:ascii="Arial" w:cs="Arial" w:eastAsia="Arial" w:hAnsi="Arial"/>
          <w:sz w:val="15"/>
          <w:szCs w:val="15"/>
          <w:u w:val="single" w:color="auto"/>
          <w:color w:val="auto"/>
        </w:rPr>
        <w:t>Agreement</w:t>
      </w:r>
      <w:r>
        <w:rPr>
          <w:rFonts w:ascii="Arial" w:cs="Arial" w:eastAsia="Arial" w:hAnsi="Arial"/>
          <w:sz w:val="15"/>
          <w:szCs w:val="15"/>
          <w:color w:val="auto"/>
        </w:rPr>
        <w:t>”), made by GENERAL MOTORS COMPANY,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and each of the Subsidiary Guarantors (such term and certain other capitalized terms used herein being defined in </w:t>
      </w:r>
      <w:r>
        <w:rPr>
          <w:rFonts w:ascii="Arial" w:cs="Arial" w:eastAsia="Arial" w:hAnsi="Arial"/>
          <w:sz w:val="14"/>
          <w:szCs w:val="14"/>
          <w:u w:val="single" w:color="auto"/>
          <w:color w:val="auto"/>
        </w:rPr>
        <w:t>Section 1.1</w:t>
      </w:r>
      <w:r>
        <w:rPr>
          <w:rFonts w:ascii="Arial" w:cs="Arial" w:eastAsia="Arial" w:hAnsi="Arial"/>
          <w:sz w:val="14"/>
          <w:szCs w:val="14"/>
          <w:color w:val="auto"/>
        </w:rPr>
        <w:t>) from</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time to time party hereto, and each of the Other Guarantors from time to time party hereto (together with the Company and the Subsidiary Guarantors, collectively, the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(collectively, the</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Lenders</w:t>
      </w:r>
      <w:r>
        <w:rPr>
          <w:rFonts w:ascii="Arial" w:cs="Arial" w:eastAsia="Arial" w:hAnsi="Arial"/>
          <w:sz w:val="15"/>
          <w:szCs w:val="15"/>
          <w:color w:val="auto"/>
        </w:rPr>
        <w:t>”) from time to time party to the Amended and Restated Three Year Revolving Credit Agreement, dated as of the date hereof (as amended, restated, amended and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restated, renewed,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the Company, General Motors Financial Company, Inc., a Texas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Corporation, GM Europe Treasury Company AB, a Swedish corporation, General Motors do Brasil Ltda., a Brazilian limited liability company, the other Subsidiary Borrowers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from time to time parties thereto, the Lenders, the Administrative Agent, Banco do Brasil S.A., as Brazilian Administrative Agent (the “</w:t>
      </w:r>
      <w:r>
        <w:rPr>
          <w:rFonts w:ascii="Arial" w:cs="Arial" w:eastAsia="Arial" w:hAnsi="Arial"/>
          <w:sz w:val="15"/>
          <w:szCs w:val="15"/>
          <w:u w:val="single" w:color="auto"/>
          <w:color w:val="auto"/>
        </w:rPr>
        <w:t>Brazilian Administrative Agent</w:t>
      </w:r>
      <w:r>
        <w:rPr>
          <w:rFonts w:ascii="Arial" w:cs="Arial" w:eastAsia="Arial" w:hAnsi="Arial"/>
          <w:sz w:val="15"/>
          <w:szCs w:val="15"/>
          <w:color w:val="auto"/>
        </w:rPr>
        <w:t>”), and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other agents named therein.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W I T N E S S E T H</w:t>
      </w:r>
      <w:r>
        <w:rPr>
          <w:rFonts w:ascii="Arial" w:cs="Arial" w:eastAsia="Arial" w:hAnsi="Arial"/>
          <w:sz w:val="16"/>
          <w:szCs w:val="16"/>
          <w:color w:val="auto"/>
        </w:rPr>
        <w:t>:</w:t>
      </w:r>
    </w:p>
    <w:p>
      <w:pPr>
        <w:spacing w:after="0" w:line="181" w:lineRule="exact"/>
        <w:rPr>
          <w:sz w:val="20"/>
          <w:szCs w:val="20"/>
          <w:color w:val="auto"/>
        </w:rPr>
      </w:pPr>
    </w:p>
    <w:p>
      <w:pPr>
        <w:ind w:right="240" w:firstLine="1063"/>
        <w:spacing w:after="0" w:line="275" w:lineRule="auto"/>
        <w:rPr>
          <w:sz w:val="20"/>
          <w:szCs w:val="20"/>
          <w:color w:val="auto"/>
        </w:rPr>
      </w:pPr>
      <w:r>
        <w:rPr>
          <w:rFonts w:ascii="Arial" w:cs="Arial" w:eastAsia="Arial" w:hAnsi="Arial"/>
          <w:sz w:val="16"/>
          <w:szCs w:val="16"/>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32" w:lineRule="exact"/>
        <w:rPr>
          <w:sz w:val="20"/>
          <w:szCs w:val="20"/>
          <w:color w:val="auto"/>
        </w:rPr>
      </w:pPr>
    </w:p>
    <w:p>
      <w:pPr>
        <w:ind w:right="80" w:firstLine="1063"/>
        <w:spacing w:after="0" w:line="275" w:lineRule="auto"/>
        <w:rPr>
          <w:sz w:val="20"/>
          <w:szCs w:val="20"/>
          <w:color w:val="auto"/>
        </w:rPr>
      </w:pPr>
      <w:r>
        <w:rPr>
          <w:rFonts w:ascii="Arial" w:cs="Arial" w:eastAsia="Arial" w:hAnsi="Arial"/>
          <w:sz w:val="16"/>
          <w:szCs w:val="16"/>
          <w:color w:val="auto"/>
        </w:rPr>
        <w:t>WHEREAS, each of the Company, the Subsidiary Borrowers, any Ancillary Borrower and any Applicable Account Party is a member of an affiliated group of companies that includes each other Guarantor;</w:t>
      </w:r>
    </w:p>
    <w:p>
      <w:pPr>
        <w:spacing w:after="0" w:line="132" w:lineRule="exact"/>
        <w:rPr>
          <w:sz w:val="20"/>
          <w:szCs w:val="20"/>
          <w:color w:val="auto"/>
        </w:rPr>
      </w:pPr>
    </w:p>
    <w:p>
      <w:pPr>
        <w:ind w:right="340" w:firstLine="1063"/>
        <w:spacing w:after="0" w:line="260" w:lineRule="auto"/>
        <w:rPr>
          <w:sz w:val="20"/>
          <w:szCs w:val="20"/>
          <w:color w:val="auto"/>
        </w:rPr>
      </w:pPr>
      <w:r>
        <w:rPr>
          <w:rFonts w:ascii="Arial" w:cs="Arial" w:eastAsia="Arial" w:hAnsi="Arial"/>
          <w:sz w:val="16"/>
          <w:szCs w:val="16"/>
          <w:color w:val="auto"/>
        </w:rPr>
        <w:t>WHEREAS, each Guarantor will derive substantial direct and indirect benefit from the making of the extensions of credit made by the Lenders and any Ancillary Lender to or for the account of the Company, any Subsidiary Borrower, any Ancillary Borrower or any Applicable Account Party, as applicable, under the Credit Agreement; and</w:t>
      </w:r>
    </w:p>
    <w:p>
      <w:pPr>
        <w:spacing w:after="0" w:line="144" w:lineRule="exact"/>
        <w:rPr>
          <w:sz w:val="20"/>
          <w:szCs w:val="20"/>
          <w:color w:val="auto"/>
        </w:rPr>
      </w:pPr>
    </w:p>
    <w:p>
      <w:pPr>
        <w:ind w:right="320" w:firstLine="1063"/>
        <w:spacing w:after="0" w:line="260" w:lineRule="auto"/>
        <w:rPr>
          <w:sz w:val="20"/>
          <w:szCs w:val="20"/>
          <w:color w:val="auto"/>
        </w:rPr>
      </w:pPr>
      <w:r>
        <w:rPr>
          <w:rFonts w:ascii="Arial" w:cs="Arial" w:eastAsia="Arial" w:hAnsi="Arial"/>
          <w:sz w:val="16"/>
          <w:szCs w:val="16"/>
          <w:color w:val="auto"/>
        </w:rPr>
        <w:t>WHEREAS, it is a condition precedent to the obligation of the Lenders and the Ancillary Lenders to make their respective extensions of credit to or for the account of the Company, any Subsidiary Borrower, any Ancillary Borrower or any Applicable Account Party, as applicable, under the Credit Agreement or any Ancillary Facility Document that each Guarantor shall have executed and delivered this Agreement to the Administrative Agent;</w:t>
      </w:r>
    </w:p>
    <w:p>
      <w:pPr>
        <w:spacing w:after="0" w:line="144" w:lineRule="exact"/>
        <w:rPr>
          <w:sz w:val="20"/>
          <w:szCs w:val="20"/>
          <w:color w:val="auto"/>
        </w:rPr>
      </w:pPr>
    </w:p>
    <w:p>
      <w:pPr>
        <w:ind w:firstLine="1063"/>
        <w:spacing w:after="0" w:line="277" w:lineRule="auto"/>
        <w:rPr>
          <w:sz w:val="20"/>
          <w:szCs w:val="20"/>
          <w:color w:val="auto"/>
        </w:rPr>
      </w:pPr>
      <w:r>
        <w:rPr>
          <w:rFonts w:ascii="Arial" w:cs="Arial" w:eastAsia="Arial" w:hAnsi="Arial"/>
          <w:sz w:val="15"/>
          <w:szCs w:val="15"/>
          <w:color w:val="auto"/>
        </w:rPr>
        <w:t>NOW, THEREFORE, in consideration of the premises and to induce the Administrative Agent, the Brazilian Administrative Agent and the Lenders to enter into the Credit Agreement and any Ancillary Facility Document, as applicable, and to induce the Lenders and any Ancillary Lender to make their respective extensions of credit to or for the account of the Company, any Subsidiary Borrower, any Ancillary Borrower or any Applicable Account Party, as applicable, under the Credit Agreement or any Ancillary Facility Document, as applicable, each Guarantor hereby agrees with the Administrative Agent, for the benefit of the Guaranteed Parties, as follows:</w:t>
      </w:r>
    </w:p>
    <w:p>
      <w:pPr>
        <w:spacing w:after="0" w:line="134"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SECTION 1. DEFINED TERMS</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p>
    <w:p>
      <w:pPr>
        <w:spacing w:after="0" w:line="204" w:lineRule="exact"/>
        <w:rPr>
          <w:sz w:val="20"/>
          <w:szCs w:val="20"/>
          <w:color w:val="auto"/>
        </w:rPr>
      </w:pPr>
    </w:p>
    <w:p>
      <w:pPr>
        <w:ind w:left="1240" w:hanging="700"/>
        <w:spacing w:after="0"/>
        <w:tabs>
          <w:tab w:leader="none" w:pos="1240" w:val="left"/>
        </w:tabs>
        <w:numPr>
          <w:ilvl w:val="0"/>
          <w:numId w:val="114"/>
        </w:numPr>
        <w:rPr>
          <w:rFonts w:ascii="Arial" w:cs="Arial" w:eastAsia="Arial" w:hAnsi="Arial"/>
          <w:sz w:val="14"/>
          <w:szCs w:val="14"/>
          <w:color w:val="auto"/>
        </w:rPr>
      </w:pPr>
      <w:r>
        <w:rPr>
          <w:rFonts w:ascii="Arial" w:cs="Arial" w:eastAsia="Arial" w:hAnsi="Arial"/>
          <w:sz w:val="15"/>
          <w:szCs w:val="15"/>
          <w:color w:val="auto"/>
        </w:rPr>
        <w:t>Unless otherwise defined herein, terms defined in the Credit Agreement and used herein shall have the meanings assigned to such terms in the Credit</w:t>
      </w:r>
    </w:p>
    <w:p>
      <w:pPr>
        <w:spacing w:after="0" w:line="3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Agreement.</w:t>
      </w:r>
    </w:p>
    <w:p>
      <w:pPr>
        <w:spacing w:after="0" w:line="214" w:lineRule="exact"/>
        <w:rPr>
          <w:rFonts w:ascii="Arial" w:cs="Arial" w:eastAsia="Arial" w:hAnsi="Arial"/>
          <w:sz w:val="14"/>
          <w:szCs w:val="14"/>
          <w:color w:val="auto"/>
        </w:rPr>
      </w:pPr>
    </w:p>
    <w:p>
      <w:pPr>
        <w:ind w:left="1260" w:hanging="720"/>
        <w:spacing w:after="0"/>
        <w:tabs>
          <w:tab w:leader="none" w:pos="12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following terms shall have the following meanings: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60"/>
          </w:cols>
          <w:pgMar w:left="220" w:top="1332" w:right="219" w:bottom="1440" w:gutter="0" w:footer="0" w:header="0"/>
        </w:sectPr>
      </w:pPr>
    </w:p>
    <w:bookmarkStart w:id="134" w:name="page135"/>
    <w:bookmarkEnd w:id="134"/>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Brazilian Administrative Agent</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jc w:val="both"/>
        <w:ind w:firstLine="1063"/>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Guaranteed Obligations</w:t>
      </w:r>
      <w:r>
        <w:rPr>
          <w:rFonts w:ascii="Arial" w:cs="Arial" w:eastAsia="Arial" w:hAnsi="Arial"/>
          <w:sz w:val="15"/>
          <w:szCs w:val="15"/>
          <w:color w:val="auto"/>
        </w:rPr>
        <w:t>” means, collectively, the unpaid principal of and interest on the Loans, Reimbursement Obligations, Ancillary Facility Outstandings and all other obligations and liabilities of the Company, the Subsidiary Borrowers, any Ancillary Borrowers and any Applicable Account Party (including interest on such other obligations or liabilities accruing at the then applicable rate provided in the Credit Agreement or any Ancillary Facility Document, as applicable, after the maturity of the Loans and Reimbursement Obligations or Ancillary Facility Outstandings, as the case may be, and interest accruing on the Loans, Reimbursement Obligations, Ancillary Facility Outstandings and such other obligations and liabilities at the then applicable rate provided in the Credit Agreement or relevant Ancillary Facility Document, as the case may be, after the filing of any petition in bankruptcy, or the commencement of any insolvency, reorganization or like proceeding, relating to the Company, any Subsidiary Borrower, any Ancillary Borrower or any Applicable Account Party, whether or not a claim for post-filing or post-petition interest is allowed in such proceeding) to the Administrative Agent, the Brazilian Administrative Agent, any Lender, any Ancillary Lender or any Issuing Lender thereunder, whether direct or indirect, absolute or contingent, due or to become due, or now existing or hereafter incurred, which may arise under, out of, or in connection with, the Loan Documents or Ancillary Facility Documents to which the Company, any Subsidiary Borrower, any Ancillary Borrower or any Applicable Account Party is a party, in each case whether on account of principal, interest, reimbursement obligations, fees, prepayment premiums, indemnities, costs, expenses or otherwise (including all reasonable fees and out-of-pocket disbursements of external counsel to the Administrative Agent, the Brazilian Administrative Agent, the Lenders, any Ancillary Lenders or the Issuing Lenders that are required to be paid by the Company, any Subsidiary Borrower, any Ancillary Borrower or any Applicable Account Party pursuant to the terms of any of the Loan Documents or Ancillary Facility Documents, as applicable).</w:t>
      </w:r>
    </w:p>
    <w:p>
      <w:pPr>
        <w:spacing w:after="0" w:line="147" w:lineRule="exact"/>
        <w:rPr>
          <w:sz w:val="20"/>
          <w:szCs w:val="20"/>
          <w:color w:val="auto"/>
        </w:rPr>
      </w:pPr>
    </w:p>
    <w:p>
      <w:pPr>
        <w:jc w:val="both"/>
        <w:ind w:firstLine="106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Parties</w:t>
      </w:r>
      <w:r>
        <w:rPr>
          <w:rFonts w:ascii="Arial" w:cs="Arial" w:eastAsia="Arial" w:hAnsi="Arial"/>
          <w:sz w:val="16"/>
          <w:szCs w:val="16"/>
          <w:color w:val="auto"/>
        </w:rPr>
        <w:t>” means, collectively, the Administrative Agent, the Brazilian Administrative Agent, the Lenders, the Ancillary Lenders and each other Person that holds a Guaranteed Obligation.</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3.14</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jc w:val="both"/>
        <w:ind w:firstLine="106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Guarantors</w:t>
      </w:r>
      <w:r>
        <w:rPr>
          <w:rFonts w:ascii="Arial" w:cs="Arial" w:eastAsia="Arial" w:hAnsi="Arial"/>
          <w:sz w:val="16"/>
          <w:szCs w:val="16"/>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6"/>
          <w:szCs w:val="16"/>
          <w:u w:val="single" w:color="auto"/>
          <w:color w:val="auto"/>
        </w:rPr>
        <w:t>Section 3.13</w:t>
      </w:r>
      <w:r>
        <w:rPr>
          <w:rFonts w:ascii="Arial" w:cs="Arial" w:eastAsia="Arial" w:hAnsi="Arial"/>
          <w:sz w:val="16"/>
          <w:szCs w:val="16"/>
          <w:color w:val="auto"/>
        </w:rPr>
        <w:t>.</w:t>
      </w:r>
    </w:p>
    <w:p>
      <w:pPr>
        <w:spacing w:after="0" w:line="132" w:lineRule="exact"/>
        <w:rPr>
          <w:sz w:val="20"/>
          <w:szCs w:val="20"/>
          <w:color w:val="auto"/>
        </w:rPr>
      </w:pPr>
    </w:p>
    <w:p>
      <w:pPr>
        <w:jc w:val="both"/>
        <w:ind w:firstLine="1063"/>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paid in full</w:t>
      </w:r>
      <w:r>
        <w:rPr>
          <w:rFonts w:ascii="Arial" w:cs="Arial" w:eastAsia="Arial" w:hAnsi="Arial"/>
          <w:sz w:val="16"/>
          <w:szCs w:val="16"/>
          <w:color w:val="auto"/>
        </w:rPr>
        <w:t>” or “</w:t>
      </w:r>
      <w:r>
        <w:rPr>
          <w:rFonts w:ascii="Arial" w:cs="Arial" w:eastAsia="Arial" w:hAnsi="Arial"/>
          <w:sz w:val="16"/>
          <w:szCs w:val="16"/>
          <w:u w:val="single" w:color="auto"/>
          <w:color w:val="auto"/>
        </w:rPr>
        <w:t>payment in full</w:t>
      </w:r>
      <w:r>
        <w:rPr>
          <w:rFonts w:ascii="Arial" w:cs="Arial" w:eastAsia="Arial" w:hAnsi="Arial"/>
          <w:sz w:val="16"/>
          <w:szCs w:val="16"/>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or any Ancillary Facility Document, as applicable, in each case, after or concurrently with termination of all commitments thereunder and payment in full in cash of all fees payable with respect to a Guaranteed Obligation at or prior to the time such principal and interest are paid.</w:t>
      </w:r>
    </w:p>
    <w:p>
      <w:pPr>
        <w:spacing w:after="0" w:line="153" w:lineRule="exact"/>
        <w:rPr>
          <w:sz w:val="20"/>
          <w:szCs w:val="20"/>
          <w:color w:val="auto"/>
        </w:rPr>
      </w:pPr>
    </w:p>
    <w:p>
      <w:pPr>
        <w:jc w:val="both"/>
        <w:ind w:firstLine="106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means during any Reinstated Guarantee Period, each Domestic Subsidiary that was a Principal Domestic Subsidiary on the applicable Guarantee Reinstatement Date or that became a party to</w:t>
      </w:r>
    </w:p>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60"/>
          </w:cols>
          <w:pgMar w:left="220" w:top="501" w:right="219" w:bottom="1440" w:gutter="0" w:footer="0" w:header="0"/>
        </w:sectPr>
      </w:pPr>
    </w:p>
    <w:bookmarkStart w:id="135" w:name="page136"/>
    <w:bookmarkEnd w:id="135"/>
    <w:p>
      <w:pPr>
        <w:jc w:val="both"/>
        <w:spacing w:after="0" w:line="255" w:lineRule="auto"/>
        <w:rPr>
          <w:sz w:val="20"/>
          <w:szCs w:val="20"/>
          <w:color w:val="auto"/>
        </w:rPr>
      </w:pPr>
      <w:r>
        <w:rPr>
          <w:rFonts w:ascii="Arial" w:cs="Arial" w:eastAsia="Arial" w:hAnsi="Arial"/>
          <w:sz w:val="16"/>
          <w:szCs w:val="16"/>
          <w:color w:val="auto"/>
        </w:rPr>
        <w:t xml:space="preserve">this Agreement after such Guarantee Reinstatement Date pursuant to Section 6.7(b) or 10.1(b)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 (iii) 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Provisions.</w:t>
      </w:r>
    </w:p>
    <w:p>
      <w:pPr>
        <w:spacing w:after="0" w:line="204" w:lineRule="exact"/>
        <w:rPr>
          <w:sz w:val="20"/>
          <w:szCs w:val="20"/>
          <w:color w:val="auto"/>
        </w:rPr>
      </w:pPr>
    </w:p>
    <w:p>
      <w:pPr>
        <w:ind w:right="140" w:firstLine="540"/>
        <w:spacing w:after="0" w:line="304" w:lineRule="auto"/>
        <w:tabs>
          <w:tab w:leader="none" w:pos="124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42" w:lineRule="exact"/>
        <w:rPr>
          <w:rFonts w:ascii="Arial" w:cs="Arial" w:eastAsia="Arial" w:hAnsi="Arial"/>
          <w:sz w:val="16"/>
          <w:szCs w:val="16"/>
          <w:color w:val="auto"/>
        </w:rPr>
      </w:pPr>
    </w:p>
    <w:p>
      <w:pPr>
        <w:ind w:left="1260" w:hanging="720"/>
        <w:spacing w:after="0"/>
        <w:tabs>
          <w:tab w:leader="none" w:pos="12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meanings given to terms defined herein shall be equally applicable to both the singular and plural forms of such terms.</w:t>
      </w:r>
    </w:p>
    <w:p>
      <w:pPr>
        <w:spacing w:after="0" w:line="214" w:lineRule="exact"/>
        <w:rPr>
          <w:rFonts w:ascii="Arial" w:cs="Arial" w:eastAsia="Arial" w:hAnsi="Arial"/>
          <w:sz w:val="16"/>
          <w:szCs w:val="16"/>
          <w:color w:val="auto"/>
        </w:rPr>
      </w:pPr>
    </w:p>
    <w:p>
      <w:pPr>
        <w:ind w:right="200" w:firstLine="540"/>
        <w:spacing w:after="0" w:line="284" w:lineRule="auto"/>
        <w:tabs>
          <w:tab w:leader="none" w:pos="124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References to agreements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2. GUARANTEE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Guarantee.</w:t>
      </w:r>
    </w:p>
    <w:p>
      <w:pPr>
        <w:spacing w:after="0" w:line="204" w:lineRule="exact"/>
        <w:rPr>
          <w:sz w:val="20"/>
          <w:szCs w:val="20"/>
          <w:color w:val="auto"/>
        </w:rPr>
      </w:pPr>
    </w:p>
    <w:p>
      <w:pPr>
        <w:ind w:right="40" w:firstLine="540"/>
        <w:spacing w:after="0" w:line="284" w:lineRule="auto"/>
        <w:tabs>
          <w:tab w:leader="none" w:pos="124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each Subsidiary Borrower, each Ancillary Borrower and each Applicable Account Party, as applicable, when due (whether at the stated maturity, by acceleration or otherwise) and at all times thereafter, of all Guaranteed Obligations.</w:t>
      </w:r>
    </w:p>
    <w:p>
      <w:pPr>
        <w:spacing w:after="0" w:line="159" w:lineRule="exact"/>
        <w:rPr>
          <w:rFonts w:ascii="Arial" w:cs="Arial" w:eastAsia="Arial" w:hAnsi="Arial"/>
          <w:sz w:val="16"/>
          <w:szCs w:val="16"/>
          <w:color w:val="auto"/>
        </w:rPr>
      </w:pPr>
    </w:p>
    <w:p>
      <w:pPr>
        <w:ind w:right="420" w:firstLine="540"/>
        <w:spacing w:after="0" w:line="289" w:lineRule="auto"/>
        <w:tabs>
          <w:tab w:leader="none" w:pos="1235" w:val="left"/>
        </w:tabs>
        <w:numPr>
          <w:ilvl w:val="0"/>
          <w:numId w:val="116"/>
        </w:numPr>
        <w:rPr>
          <w:rFonts w:ascii="Arial" w:cs="Arial" w:eastAsia="Arial" w:hAnsi="Arial"/>
          <w:sz w:val="15"/>
          <w:szCs w:val="15"/>
          <w:color w:val="auto"/>
        </w:rPr>
      </w:pPr>
      <w:r>
        <w:rPr>
          <w:rFonts w:ascii="Arial" w:cs="Arial" w:eastAsia="Arial" w:hAnsi="Arial"/>
          <w:sz w:val="16"/>
          <w:szCs w:val="16"/>
          <w:color w:val="auto"/>
        </w:rPr>
        <w:t xml:space="preserve">Anything herein or in any other Loan Document or any Ancillary Facility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4" w:lineRule="exact"/>
        <w:rPr>
          <w:rFonts w:ascii="Arial" w:cs="Arial" w:eastAsia="Arial" w:hAnsi="Arial"/>
          <w:sz w:val="15"/>
          <w:szCs w:val="15"/>
          <w:color w:val="auto"/>
        </w:rPr>
      </w:pPr>
    </w:p>
    <w:p>
      <w:pPr>
        <w:ind w:right="660" w:firstLine="540"/>
        <w:spacing w:after="0" w:line="340" w:lineRule="auto"/>
        <w:tabs>
          <w:tab w:leader="none" w:pos="1227" w:val="left"/>
        </w:tabs>
        <w:numPr>
          <w:ilvl w:val="0"/>
          <w:numId w:val="116"/>
        </w:numPr>
        <w:rPr>
          <w:rFonts w:ascii="Arial" w:cs="Arial" w:eastAsia="Arial" w:hAnsi="Arial"/>
          <w:sz w:val="14"/>
          <w:szCs w:val="14"/>
          <w:color w:val="auto"/>
        </w:rPr>
      </w:pPr>
      <w:r>
        <w:rPr>
          <w:rFonts w:ascii="Arial" w:cs="Arial" w:eastAsia="Arial" w:hAnsi="Arial"/>
          <w:sz w:val="15"/>
          <w:szCs w:val="15"/>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or affecting the rights and remedies of the Guaranteed Parties hereunder.</w:t>
      </w:r>
    </w:p>
    <w:p>
      <w:pPr>
        <w:spacing w:after="0" w:line="120" w:lineRule="exact"/>
        <w:rPr>
          <w:rFonts w:ascii="Arial" w:cs="Arial" w:eastAsia="Arial" w:hAnsi="Arial"/>
          <w:sz w:val="14"/>
          <w:szCs w:val="14"/>
          <w:color w:val="auto"/>
        </w:rPr>
      </w:pPr>
    </w:p>
    <w:p>
      <w:pPr>
        <w:ind w:right="80" w:firstLine="540"/>
        <w:spacing w:after="0" w:line="289" w:lineRule="auto"/>
        <w:tabs>
          <w:tab w:leader="none" w:pos="1235" w:val="left"/>
        </w:tabs>
        <w:numPr>
          <w:ilvl w:val="0"/>
          <w:numId w:val="116"/>
        </w:numPr>
        <w:rPr>
          <w:rFonts w:ascii="Arial" w:cs="Arial" w:eastAsia="Arial" w:hAnsi="Arial"/>
          <w:sz w:val="15"/>
          <w:szCs w:val="15"/>
          <w:color w:val="auto"/>
        </w:rPr>
      </w:pPr>
      <w:r>
        <w:rPr>
          <w:rFonts w:ascii="Arial" w:cs="Arial" w:eastAsia="Arial" w:hAnsi="Arial"/>
          <w:sz w:val="16"/>
          <w:szCs w:val="16"/>
          <w:color w:val="auto"/>
        </w:rPr>
        <w:t xml:space="preserve">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any Ancillary Borrower or any Applicable Account Party may be free from any Guaranteed Obligations.</w:t>
      </w:r>
    </w:p>
    <w:p>
      <w:pPr>
        <w:spacing w:after="0" w:line="154" w:lineRule="exact"/>
        <w:rPr>
          <w:rFonts w:ascii="Arial" w:cs="Arial" w:eastAsia="Arial" w:hAnsi="Arial"/>
          <w:sz w:val="15"/>
          <w:szCs w:val="15"/>
          <w:color w:val="auto"/>
        </w:rPr>
      </w:pPr>
    </w:p>
    <w:p>
      <w:pPr>
        <w:ind w:right="60" w:firstLine="540"/>
        <w:spacing w:after="0" w:line="308" w:lineRule="auto"/>
        <w:tabs>
          <w:tab w:leader="none" w:pos="1227" w:val="left"/>
        </w:tabs>
        <w:numPr>
          <w:ilvl w:val="0"/>
          <w:numId w:val="116"/>
        </w:numPr>
        <w:rPr>
          <w:rFonts w:ascii="Arial" w:cs="Arial" w:eastAsia="Arial" w:hAnsi="Arial"/>
          <w:sz w:val="14"/>
          <w:szCs w:val="14"/>
          <w:color w:val="auto"/>
        </w:rPr>
      </w:pPr>
      <w:r>
        <w:rPr>
          <w:rFonts w:ascii="Arial" w:cs="Arial" w:eastAsia="Arial" w:hAnsi="Arial"/>
          <w:sz w:val="15"/>
          <w:szCs w:val="15"/>
          <w:color w:val="auto"/>
        </w:rPr>
        <w:t>No payment made by the Company, any Subsidiary Borrower, any Ancillary Borrower, any Applicable Account Party, any of the Guarantors, any other guarantor or any other Person or received or collected by any Guaranteed Party from the Company, any Subsidiary Borrower, any Ancillary Borrower, any Applicable Account Party,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501" w:right="219" w:bottom="1440" w:gutter="0" w:footer="0" w:header="0"/>
        </w:sectPr>
      </w:pPr>
    </w:p>
    <w:bookmarkStart w:id="136" w:name="page137"/>
    <w:bookmarkEnd w:id="136"/>
    <w:p>
      <w:pPr>
        <w:ind w:right="100"/>
        <w:spacing w:after="0" w:line="289" w:lineRule="auto"/>
        <w:rPr>
          <w:sz w:val="20"/>
          <w:szCs w:val="20"/>
          <w:color w:val="auto"/>
        </w:rPr>
      </w:pPr>
      <w:r>
        <w:rPr>
          <w:rFonts w:ascii="Arial" w:cs="Arial" w:eastAsia="Arial" w:hAnsi="Arial"/>
          <w:sz w:val="16"/>
          <w:szCs w:val="16"/>
          <w:color w:val="auto"/>
        </w:rPr>
        <w:t>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Right of Contribution.</w:t>
      </w:r>
    </w:p>
    <w:p>
      <w:pPr>
        <w:spacing w:after="0" w:line="193" w:lineRule="exact"/>
        <w:rPr>
          <w:sz w:val="20"/>
          <w:szCs w:val="20"/>
          <w:color w:val="auto"/>
        </w:rPr>
      </w:pPr>
    </w:p>
    <w:p>
      <w:pPr>
        <w:ind w:right="160" w:firstLine="1063"/>
        <w:spacing w:after="0" w:line="252" w:lineRule="auto"/>
        <w:rPr>
          <w:sz w:val="20"/>
          <w:szCs w:val="20"/>
          <w:color w:val="auto"/>
        </w:rPr>
      </w:pPr>
      <w:r>
        <w:rPr>
          <w:rFonts w:ascii="Arial" w:cs="Arial" w:eastAsia="Arial" w:hAnsi="Arial"/>
          <w:sz w:val="16"/>
          <w:szCs w:val="16"/>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Subrogation.</w:t>
      </w:r>
    </w:p>
    <w:p>
      <w:pPr>
        <w:spacing w:after="0" w:line="193" w:lineRule="exact"/>
        <w:rPr>
          <w:sz w:val="20"/>
          <w:szCs w:val="20"/>
          <w:color w:val="auto"/>
        </w:rPr>
      </w:pPr>
    </w:p>
    <w:p>
      <w:pPr>
        <w:ind w:firstLine="1063"/>
        <w:spacing w:after="0" w:line="288" w:lineRule="auto"/>
        <w:rPr>
          <w:sz w:val="20"/>
          <w:szCs w:val="20"/>
          <w:color w:val="auto"/>
        </w:rPr>
      </w:pPr>
      <w:r>
        <w:rPr>
          <w:rFonts w:ascii="Arial" w:cs="Arial" w:eastAsia="Arial" w:hAnsi="Arial"/>
          <w:sz w:val="14"/>
          <w:szCs w:val="14"/>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any Ancillary Borrower, any Applicable Account Party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any Ancillary Borrower, any Applicable Account Party or any other Guarantor in respect of payments made by such Guarantor hereunder, until all amounts owing to the Guaranteed Parties by the Company, the Subsidiary Borrowers, any Ancillary Borrower and any Applicable Account Party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Amendments, etc. with respect to the Guaranteed Obligations.</w:t>
      </w:r>
    </w:p>
    <w:p>
      <w:pPr>
        <w:spacing w:after="0" w:line="193" w:lineRule="exact"/>
        <w:rPr>
          <w:sz w:val="20"/>
          <w:szCs w:val="20"/>
          <w:color w:val="auto"/>
        </w:rPr>
      </w:pPr>
    </w:p>
    <w:p>
      <w:pPr>
        <w:ind w:right="20" w:firstLine="1063"/>
        <w:spacing w:after="0" w:line="288" w:lineRule="auto"/>
        <w:rPr>
          <w:sz w:val="20"/>
          <w:szCs w:val="20"/>
          <w:color w:val="auto"/>
        </w:rPr>
      </w:pPr>
      <w:r>
        <w:rPr>
          <w:rFonts w:ascii="Arial" w:cs="Arial" w:eastAsia="Arial" w:hAnsi="Arial"/>
          <w:sz w:val="14"/>
          <w:szCs w:val="14"/>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any Ancillary Facility Documents and any other documents executed and delivered in connection therewith may be amended, modified, supplemented or terminated, in whole or in part, as the Administrative Agent (or the Required Lenders, the Majority Facility Lenders, all affected Lenders, or all Lenders, or any Ancillary Lender,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330"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0"/>
          </w:cols>
          <w:pgMar w:left="220" w:top="513" w:right="239" w:bottom="1440" w:gutter="0" w:footer="0" w:header="0"/>
        </w:sectPr>
      </w:pPr>
    </w:p>
    <w:bookmarkStart w:id="137" w:name="page138"/>
    <w:bookmarkEnd w:id="137"/>
    <w:p>
      <w:pPr>
        <w:ind w:left="54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Guarantee Absolute and Unconditional.</w:t>
      </w:r>
    </w:p>
    <w:p>
      <w:pPr>
        <w:spacing w:after="0" w:line="193" w:lineRule="exact"/>
        <w:rPr>
          <w:sz w:val="20"/>
          <w:szCs w:val="20"/>
          <w:color w:val="auto"/>
        </w:rPr>
      </w:pPr>
    </w:p>
    <w:p>
      <w:pPr>
        <w:ind w:firstLine="1063"/>
        <w:spacing w:after="0" w:line="283" w:lineRule="auto"/>
        <w:rPr>
          <w:sz w:val="20"/>
          <w:szCs w:val="20"/>
          <w:color w:val="auto"/>
        </w:rPr>
      </w:pPr>
      <w:r>
        <w:rPr>
          <w:rFonts w:ascii="Arial" w:cs="Arial" w:eastAsia="Arial" w:hAnsi="Arial"/>
          <w:sz w:val="14"/>
          <w:szCs w:val="14"/>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any Ancillary Borrower, any Applicable Account Party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any of the Ancillary Borrowers, any of the Applicable Account Parties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any other Loan Document or any Ancillary Facility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any Ancillary Borrower, any Applicable Account Party or any other Person against any Guaranteed Party, (c) any law or regulation of any jurisdiction or any other event affecting any term of the Guaranteed Obligations or (d) any other circumstance whatsoever (with or without notice to or knowledge of the Company, any Subsidiary Borrower, any Ancillary Borrower, any Applicable Account Party or such Guarantor) which constitutes, or might be construed to constitute, an equitable or legal discharge or defense of a surety or guarantor or any other obligor on any obligation of the Company, any Subsidiary Borrower, any Ancillary Borrower or any Applicable Account Party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 Release Date, but subject to any release of such obligations hereunder to the extent provided in, and pursuant to the terms of, Section 3.15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Ancillary Borrower, any Applicable Account Party,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Ancillary Borrower, any Applicable Account Party, any other Guarantor or any other Person or to realize upon any such collateral security or guarantee or to exercise any such right of offset, or any release of the Company, any Subsidiary Borrower, any Ancillary Borrower, any Applicable Account Party,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3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Reinstatement.</w:t>
      </w:r>
    </w:p>
    <w:p>
      <w:pPr>
        <w:spacing w:after="0" w:line="193" w:lineRule="exact"/>
        <w:rPr>
          <w:sz w:val="20"/>
          <w:szCs w:val="20"/>
          <w:color w:val="auto"/>
        </w:rPr>
      </w:pPr>
    </w:p>
    <w:p>
      <w:pPr>
        <w:ind w:right="20" w:firstLine="1063"/>
        <w:spacing w:after="0" w:line="277" w:lineRule="auto"/>
        <w:rPr>
          <w:sz w:val="20"/>
          <w:szCs w:val="20"/>
          <w:color w:val="auto"/>
        </w:rPr>
      </w:pPr>
      <w:r>
        <w:rPr>
          <w:rFonts w:ascii="Arial" w:cs="Arial" w:eastAsia="Arial" w:hAnsi="Arial"/>
          <w:sz w:val="15"/>
          <w:szCs w:val="15"/>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any Ancillary Borrower, any Applicable Account Party or any Guarantor, or upon or as a result of the appointment of a receiver, intervenor or conservator of, or trustee or similar officer for, the Company, any Subsidiary Borrower, any Ancillary Borrower, any Applicable Account Party</w:t>
      </w:r>
    </w:p>
    <w:p>
      <w:pPr>
        <w:spacing w:after="0" w:line="337"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0"/>
          </w:cols>
          <w:pgMar w:left="220" w:top="501" w:right="2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t>or any Guarantor or any substantial part of its property, or otherwise, all as though such payments had not been made.</w:t>
      </w:r>
    </w:p>
    <w:p>
      <w:pPr>
        <w:spacing w:after="0" w:line="193"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3"/>
          <w:szCs w:val="13"/>
          <w:u w:val="single" w:color="auto"/>
          <w:color w:val="auto"/>
        </w:rPr>
        <w:t>Payments.</w:t>
      </w:r>
    </w:p>
    <w:p>
      <w:pPr>
        <w:spacing w:after="0" w:line="204" w:lineRule="exact"/>
        <w:rPr>
          <w:sz w:val="20"/>
          <w:szCs w:val="20"/>
          <w:color w:val="auto"/>
        </w:rPr>
      </w:pPr>
    </w:p>
    <w:p>
      <w:pPr>
        <w:ind w:right="40" w:firstLine="1063"/>
        <w:spacing w:after="0" w:line="260" w:lineRule="auto"/>
        <w:rPr>
          <w:sz w:val="20"/>
          <w:szCs w:val="20"/>
          <w:color w:val="auto"/>
        </w:rPr>
      </w:pPr>
      <w:r>
        <w:rPr>
          <w:rFonts w:ascii="Arial" w:cs="Arial" w:eastAsia="Arial" w:hAnsi="Arial"/>
          <w:sz w:val="16"/>
          <w:szCs w:val="16"/>
          <w:color w:val="auto"/>
        </w:rPr>
        <w:t>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2.24 of the Credit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 MISCELLANEOUS</w:t>
      </w:r>
    </w:p>
    <w:p>
      <w:pPr>
        <w:spacing w:after="0" w:line="204"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u w:val="single" w:color="auto"/>
          <w:color w:val="auto"/>
        </w:rPr>
        <w:t>Authority of Administrative Agent.</w:t>
      </w:r>
    </w:p>
    <w:p>
      <w:pPr>
        <w:spacing w:after="0" w:line="204" w:lineRule="exact"/>
        <w:rPr>
          <w:sz w:val="20"/>
          <w:szCs w:val="20"/>
          <w:color w:val="auto"/>
        </w:rPr>
      </w:pPr>
    </w:p>
    <w:p>
      <w:pPr>
        <w:ind w:firstLine="1063"/>
        <w:spacing w:after="0" w:line="269" w:lineRule="auto"/>
        <w:rPr>
          <w:sz w:val="20"/>
          <w:szCs w:val="20"/>
          <w:color w:val="auto"/>
        </w:rPr>
      </w:pPr>
      <w:r>
        <w:rPr>
          <w:rFonts w:ascii="Arial" w:cs="Arial" w:eastAsia="Arial" w:hAnsi="Arial"/>
          <w:sz w:val="15"/>
          <w:szCs w:val="15"/>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and any Ancillary Lender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53"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5"/>
          <w:szCs w:val="15"/>
          <w:u w:val="single" w:color="auto"/>
          <w:color w:val="auto"/>
        </w:rPr>
        <w:t>Amendments in Writing.</w:t>
      </w:r>
    </w:p>
    <w:p>
      <w:pPr>
        <w:spacing w:after="0" w:line="204" w:lineRule="exact"/>
        <w:rPr>
          <w:sz w:val="20"/>
          <w:szCs w:val="20"/>
          <w:color w:val="auto"/>
        </w:rPr>
      </w:pPr>
    </w:p>
    <w:p>
      <w:pPr>
        <w:ind w:right="220" w:firstLine="1063"/>
        <w:spacing w:after="0" w:line="275" w:lineRule="auto"/>
        <w:rPr>
          <w:sz w:val="20"/>
          <w:szCs w:val="20"/>
          <w:color w:val="auto"/>
        </w:rPr>
      </w:pPr>
      <w:r>
        <w:rPr>
          <w:rFonts w:ascii="Arial" w:cs="Arial" w:eastAsia="Arial" w:hAnsi="Arial"/>
          <w:sz w:val="16"/>
          <w:szCs w:val="16"/>
          <w:color w:val="auto"/>
        </w:rPr>
        <w:t xml:space="preserve">None of the terms or provisions of this Agreement may be waived, amended, supplemented or otherwise modified except in accordance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w:t>
      </w:r>
    </w:p>
    <w:p>
      <w:pPr>
        <w:spacing w:after="0" w:line="143"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u w:val="single" w:color="auto"/>
          <w:color w:val="auto"/>
        </w:rPr>
        <w:t>Notices.</w:t>
      </w:r>
    </w:p>
    <w:p>
      <w:pPr>
        <w:spacing w:after="0" w:line="204" w:lineRule="exact"/>
        <w:rPr>
          <w:sz w:val="20"/>
          <w:szCs w:val="20"/>
          <w:color w:val="auto"/>
        </w:rPr>
      </w:pPr>
    </w:p>
    <w:p>
      <w:pPr>
        <w:jc w:val="both"/>
        <w:ind w:firstLine="1063"/>
        <w:spacing w:after="0" w:line="314" w:lineRule="auto"/>
        <w:rPr>
          <w:sz w:val="20"/>
          <w:szCs w:val="20"/>
          <w:color w:val="auto"/>
        </w:rPr>
      </w:pPr>
      <w:r>
        <w:rPr>
          <w:rFonts w:ascii="Arial" w:cs="Arial" w:eastAsia="Arial" w:hAnsi="Arial"/>
          <w:sz w:val="14"/>
          <w:szCs w:val="14"/>
          <w:color w:val="auto"/>
        </w:rPr>
        <w:t xml:space="preserve">All notices, requests and demands to or upon the Administrative Agent or any Guarantor hereunder shall be effected in the manner provided for in </w:t>
      </w:r>
      <w:r>
        <w:rPr>
          <w:rFonts w:ascii="Arial" w:cs="Arial" w:eastAsia="Arial" w:hAnsi="Arial"/>
          <w:sz w:val="14"/>
          <w:szCs w:val="14"/>
          <w:u w:val="single" w:color="auto"/>
          <w:color w:val="auto"/>
        </w:rPr>
        <w:t>Section 10.2</w:t>
      </w:r>
      <w:r>
        <w:rPr>
          <w:rFonts w:ascii="Arial" w:cs="Arial" w:eastAsia="Arial" w:hAnsi="Arial"/>
          <w:sz w:val="14"/>
          <w:szCs w:val="14"/>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10.2</w:t>
      </w:r>
      <w:r>
        <w:rPr>
          <w:rFonts w:ascii="Arial" w:cs="Arial" w:eastAsia="Arial" w:hAnsi="Arial"/>
          <w:sz w:val="14"/>
          <w:szCs w:val="14"/>
          <w:color w:val="auto"/>
        </w:rPr>
        <w:t xml:space="preserve"> of the Credit Agreement (or such other address as the Company may at any time or from time to time provide for purposes of the Credit Agreement and this Agreement).</w:t>
      </w:r>
    </w:p>
    <w:p>
      <w:pPr>
        <w:spacing w:after="0" w:line="121"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4"/>
          <w:szCs w:val="14"/>
          <w:u w:val="single" w:color="auto"/>
          <w:color w:val="auto"/>
        </w:rPr>
        <w:t>No Waiver by Course of Conduct; Cumulative Remedies.</w:t>
      </w:r>
    </w:p>
    <w:p>
      <w:pPr>
        <w:spacing w:after="0" w:line="204" w:lineRule="exact"/>
        <w:rPr>
          <w:sz w:val="20"/>
          <w:szCs w:val="20"/>
          <w:color w:val="auto"/>
        </w:rPr>
      </w:pPr>
    </w:p>
    <w:p>
      <w:pPr>
        <w:ind w:right="80" w:firstLine="1063"/>
        <w:spacing w:after="0" w:line="271" w:lineRule="auto"/>
        <w:rPr>
          <w:sz w:val="20"/>
          <w:szCs w:val="20"/>
          <w:color w:val="auto"/>
        </w:rPr>
      </w:pPr>
      <w:r>
        <w:rPr>
          <w:rFonts w:ascii="Arial" w:cs="Arial" w:eastAsia="Arial" w:hAnsi="Arial"/>
          <w:sz w:val="15"/>
          <w:szCs w:val="15"/>
          <w:color w:val="auto"/>
        </w:rPr>
        <w:t xml:space="preserve">No Guaranteed Party shall by any act (except by a written instrument pursuant to </w:t>
      </w:r>
      <w:r>
        <w:rPr>
          <w:rFonts w:ascii="Arial" w:cs="Arial" w:eastAsia="Arial" w:hAnsi="Arial"/>
          <w:sz w:val="15"/>
          <w:szCs w:val="15"/>
          <w:u w:val="single" w:color="auto"/>
          <w:color w:val="auto"/>
        </w:rPr>
        <w:t>Section 3.2</w:t>
      </w:r>
      <w:r>
        <w:rPr>
          <w:rFonts w:ascii="Arial" w:cs="Arial" w:eastAsia="Arial" w:hAnsi="Arial"/>
          <w:sz w:val="15"/>
          <w:szCs w:val="15"/>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341"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60"/>
          </w:cols>
          <w:pgMar w:left="220" w:top="501" w:right="219" w:bottom="1440" w:gutter="0" w:footer="0" w:header="0"/>
        </w:sectPr>
      </w:pPr>
    </w:p>
    <w:bookmarkStart w:id="139" w:name="page140"/>
    <w:bookmarkEnd w:id="139"/>
    <w:p>
      <w:pPr>
        <w:ind w:left="540"/>
        <w:spacing w:after="0"/>
        <w:tabs>
          <w:tab w:leader="none" w:pos="126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4"/>
          <w:szCs w:val="14"/>
          <w:u w:val="single" w:color="auto"/>
          <w:color w:val="auto"/>
        </w:rPr>
        <w:t>Enforcement Expenses; Indemnification.</w:t>
      </w:r>
    </w:p>
    <w:p>
      <w:pPr>
        <w:spacing w:after="0" w:line="215" w:lineRule="exact"/>
        <w:rPr>
          <w:sz w:val="20"/>
          <w:szCs w:val="20"/>
          <w:color w:val="auto"/>
        </w:rPr>
      </w:pPr>
    </w:p>
    <w:p>
      <w:pPr>
        <w:ind w:right="60" w:firstLine="540"/>
        <w:spacing w:after="0" w:line="284" w:lineRule="auto"/>
        <w:tabs>
          <w:tab w:leader="none" w:pos="124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Without intending to duplicate the obligations of the Guarantors under Section 2.1, if and to the extent that the Company is required to pay or reimburse the Guaranteed Parties (or any of them), for various costs and expenses contemplated by Section 10.5 of the Credit Agreement, or to indemnify the Indemnitees (or any of them) for the Indemnified Liabilities, in each case as and to the extent (and in the manner) contemplated by Section 10.5 of the Credit Agreement, each Guarantor, jointly and severally, hereby agrees to make such payments or reimbursements and to provide such indemnification.</w:t>
      </w:r>
    </w:p>
    <w:p>
      <w:pPr>
        <w:spacing w:after="0" w:line="159" w:lineRule="exact"/>
        <w:rPr>
          <w:rFonts w:ascii="Arial" w:cs="Arial" w:eastAsia="Arial" w:hAnsi="Arial"/>
          <w:sz w:val="16"/>
          <w:szCs w:val="16"/>
          <w:color w:val="auto"/>
        </w:rPr>
      </w:pPr>
    </w:p>
    <w:p>
      <w:pPr>
        <w:ind w:left="1240" w:hanging="700"/>
        <w:spacing w:after="0"/>
        <w:tabs>
          <w:tab w:leader="none" w:pos="1240" w:val="left"/>
        </w:tabs>
        <w:numPr>
          <w:ilvl w:val="0"/>
          <w:numId w:val="117"/>
        </w:numPr>
        <w:rPr>
          <w:rFonts w:ascii="Arial" w:cs="Arial" w:eastAsia="Arial" w:hAnsi="Arial"/>
          <w:sz w:val="13"/>
          <w:szCs w:val="13"/>
          <w:color w:val="auto"/>
        </w:rPr>
      </w:pPr>
      <w:r>
        <w:rPr>
          <w:rFonts w:ascii="Arial" w:cs="Arial" w:eastAsia="Arial" w:hAnsi="Arial"/>
          <w:sz w:val="14"/>
          <w:szCs w:val="14"/>
          <w:color w:val="auto"/>
        </w:rPr>
        <w:t xml:space="preserve">The agreements of each Guarantor in this </w:t>
      </w:r>
      <w:r>
        <w:rPr>
          <w:rFonts w:ascii="Arial" w:cs="Arial" w:eastAsia="Arial" w:hAnsi="Arial"/>
          <w:sz w:val="14"/>
          <w:szCs w:val="14"/>
          <w:u w:val="single" w:color="auto"/>
          <w:color w:val="auto"/>
        </w:rPr>
        <w:t>Section 3.5</w:t>
      </w:r>
      <w:r>
        <w:rPr>
          <w:rFonts w:ascii="Arial" w:cs="Arial" w:eastAsia="Arial" w:hAnsi="Arial"/>
          <w:sz w:val="14"/>
          <w:szCs w:val="14"/>
          <w:color w:val="auto"/>
        </w:rPr>
        <w:t xml:space="preserve"> shall survive repayment of the Guaranteed Obligations and all other amounts payable under the Credit</w:t>
      </w:r>
    </w:p>
    <w:p>
      <w:pPr>
        <w:spacing w:after="0" w:line="4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Agreement.</w:t>
      </w:r>
    </w:p>
    <w:p>
      <w:pPr>
        <w:spacing w:after="0" w:line="215"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4"/>
          <w:szCs w:val="14"/>
          <w:u w:val="single" w:color="auto"/>
          <w:color w:val="auto"/>
        </w:rPr>
        <w:t>Successors and Assigns.</w:t>
      </w:r>
    </w:p>
    <w:p>
      <w:pPr>
        <w:spacing w:after="0" w:line="204" w:lineRule="exact"/>
        <w:rPr>
          <w:sz w:val="20"/>
          <w:szCs w:val="20"/>
          <w:color w:val="auto"/>
        </w:rPr>
      </w:pPr>
    </w:p>
    <w:p>
      <w:pPr>
        <w:ind w:right="20" w:firstLine="1063"/>
        <w:spacing w:after="0" w:line="260" w:lineRule="auto"/>
        <w:rPr>
          <w:sz w:val="20"/>
          <w:szCs w:val="20"/>
          <w:color w:val="auto"/>
        </w:rPr>
      </w:pPr>
      <w:r>
        <w:rPr>
          <w:rFonts w:ascii="Arial" w:cs="Arial" w:eastAsia="Arial" w:hAnsi="Arial"/>
          <w:sz w:val="16"/>
          <w:szCs w:val="16"/>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55"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4"/>
          <w:szCs w:val="14"/>
          <w:u w:val="single" w:color="auto"/>
          <w:color w:val="auto"/>
        </w:rPr>
        <w:t>Counterparts.</w:t>
      </w:r>
    </w:p>
    <w:p>
      <w:pPr>
        <w:spacing w:after="0" w:line="204" w:lineRule="exact"/>
        <w:rPr>
          <w:sz w:val="20"/>
          <w:szCs w:val="20"/>
          <w:color w:val="auto"/>
        </w:rPr>
      </w:pPr>
    </w:p>
    <w:p>
      <w:pPr>
        <w:ind w:right="220" w:firstLine="1063"/>
        <w:spacing w:after="0" w:line="260" w:lineRule="auto"/>
        <w:rPr>
          <w:sz w:val="20"/>
          <w:szCs w:val="20"/>
          <w:color w:val="auto"/>
        </w:rPr>
      </w:pPr>
      <w:r>
        <w:rPr>
          <w:rFonts w:ascii="Arial" w:cs="Arial" w:eastAsia="Arial" w:hAnsi="Arial"/>
          <w:sz w:val="16"/>
          <w:szCs w:val="16"/>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155"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4"/>
          <w:szCs w:val="14"/>
          <w:u w:val="single" w:color="auto"/>
          <w:color w:val="auto"/>
        </w:rPr>
        <w:t>Severability.</w:t>
      </w:r>
    </w:p>
    <w:p>
      <w:pPr>
        <w:spacing w:after="0" w:line="204" w:lineRule="exact"/>
        <w:rPr>
          <w:sz w:val="20"/>
          <w:szCs w:val="20"/>
          <w:color w:val="auto"/>
        </w:rPr>
      </w:pPr>
    </w:p>
    <w:p>
      <w:pPr>
        <w:ind w:right="300" w:firstLine="1063"/>
        <w:spacing w:after="0" w:line="260" w:lineRule="auto"/>
        <w:rPr>
          <w:sz w:val="20"/>
          <w:szCs w:val="20"/>
          <w:color w:val="auto"/>
        </w:rPr>
      </w:pPr>
      <w:r>
        <w:rPr>
          <w:rFonts w:ascii="Arial" w:cs="Arial" w:eastAsia="Arial" w:hAnsi="Arial"/>
          <w:sz w:val="16"/>
          <w:szCs w:val="16"/>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5"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6"/>
          <w:szCs w:val="16"/>
          <w:color w:val="auto"/>
        </w:rPr>
        <w:t>3.9</w:t>
      </w:r>
      <w:r>
        <w:rPr>
          <w:sz w:val="20"/>
          <w:szCs w:val="20"/>
          <w:color w:val="auto"/>
        </w:rPr>
        <w:tab/>
      </w:r>
      <w:r>
        <w:rPr>
          <w:rFonts w:ascii="Arial" w:cs="Arial" w:eastAsia="Arial" w:hAnsi="Arial"/>
          <w:sz w:val="14"/>
          <w:szCs w:val="14"/>
          <w:u w:val="single" w:color="auto"/>
          <w:color w:val="auto"/>
        </w:rPr>
        <w:t>Section Headings.</w:t>
      </w:r>
    </w:p>
    <w:p>
      <w:pPr>
        <w:spacing w:after="0" w:line="204" w:lineRule="exact"/>
        <w:rPr>
          <w:sz w:val="20"/>
          <w:szCs w:val="20"/>
          <w:color w:val="auto"/>
        </w:rPr>
      </w:pPr>
    </w:p>
    <w:p>
      <w:pPr>
        <w:ind w:right="100" w:firstLine="1063"/>
        <w:spacing w:after="0" w:line="275" w:lineRule="auto"/>
        <w:rPr>
          <w:sz w:val="20"/>
          <w:szCs w:val="20"/>
          <w:color w:val="auto"/>
        </w:rPr>
      </w:pPr>
      <w:r>
        <w:rPr>
          <w:rFonts w:ascii="Arial" w:cs="Arial" w:eastAsia="Arial" w:hAnsi="Arial"/>
          <w:sz w:val="16"/>
          <w:szCs w:val="16"/>
          <w:color w:val="auto"/>
        </w:rPr>
        <w:t>The Section headings used in this Agreement are for convenience of reference only and are not to affect the construction hereof or be taken into consideration in the interpretation hereof.</w:t>
      </w:r>
    </w:p>
    <w:p>
      <w:pPr>
        <w:spacing w:after="0" w:line="143" w:lineRule="exact"/>
        <w:rPr>
          <w:sz w:val="20"/>
          <w:szCs w:val="20"/>
          <w:color w:val="auto"/>
        </w:rPr>
      </w:pPr>
    </w:p>
    <w:p>
      <w:pPr>
        <w:ind w:left="540"/>
        <w:spacing w:after="0"/>
        <w:tabs>
          <w:tab w:leader="none" w:pos="1340" w:val="left"/>
        </w:tabs>
        <w:rPr>
          <w:sz w:val="20"/>
          <w:szCs w:val="20"/>
          <w:color w:val="auto"/>
        </w:rPr>
      </w:pPr>
      <w:r>
        <w:rPr>
          <w:rFonts w:ascii="Arial" w:cs="Arial" w:eastAsia="Arial" w:hAnsi="Arial"/>
          <w:sz w:val="16"/>
          <w:szCs w:val="16"/>
          <w:color w:val="auto"/>
        </w:rPr>
        <w:t>3.10</w:t>
      </w:r>
      <w:r>
        <w:rPr>
          <w:sz w:val="20"/>
          <w:szCs w:val="20"/>
          <w:color w:val="auto"/>
        </w:rPr>
        <w:tab/>
      </w:r>
      <w:r>
        <w:rPr>
          <w:rFonts w:ascii="Arial" w:cs="Arial" w:eastAsia="Arial" w:hAnsi="Arial"/>
          <w:sz w:val="14"/>
          <w:szCs w:val="14"/>
          <w:u w:val="single" w:color="auto"/>
          <w:color w:val="auto"/>
        </w:rPr>
        <w:t>Integration.</w:t>
      </w:r>
    </w:p>
    <w:p>
      <w:pPr>
        <w:spacing w:after="0" w:line="204" w:lineRule="exact"/>
        <w:rPr>
          <w:sz w:val="20"/>
          <w:szCs w:val="20"/>
          <w:color w:val="auto"/>
        </w:rPr>
      </w:pPr>
    </w:p>
    <w:p>
      <w:pPr>
        <w:jc w:val="both"/>
        <w:ind w:firstLine="1063"/>
        <w:spacing w:after="0" w:line="285" w:lineRule="auto"/>
        <w:rPr>
          <w:sz w:val="20"/>
          <w:szCs w:val="20"/>
          <w:color w:val="auto"/>
        </w:rPr>
      </w:pPr>
      <w:r>
        <w:rPr>
          <w:rFonts w:ascii="Arial" w:cs="Arial" w:eastAsia="Arial" w:hAnsi="Arial"/>
          <w:sz w:val="15"/>
          <w:szCs w:val="15"/>
          <w:color w:val="auto"/>
        </w:rPr>
        <w:t>This Agreement, the other Loan Documents and any Ancillary Facility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 or in any Ancillary Facility Documents.</w:t>
      </w:r>
    </w:p>
    <w:p>
      <w:pPr>
        <w:spacing w:after="0" w:line="135" w:lineRule="exact"/>
        <w:rPr>
          <w:sz w:val="20"/>
          <w:szCs w:val="20"/>
          <w:color w:val="auto"/>
        </w:rPr>
      </w:pPr>
    </w:p>
    <w:p>
      <w:pPr>
        <w:ind w:left="540"/>
        <w:spacing w:after="0"/>
        <w:tabs>
          <w:tab w:leader="none" w:pos="132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b w:val="1"/>
          <w:bCs w:val="1"/>
          <w:u w:val="single" w:color="auto"/>
          <w:color w:val="auto"/>
        </w:rPr>
        <w:t>GOVERNING LAW</w:t>
      </w:r>
    </w:p>
    <w:p>
      <w:pPr>
        <w:spacing w:after="0" w:line="204" w:lineRule="exact"/>
        <w:rPr>
          <w:sz w:val="20"/>
          <w:szCs w:val="20"/>
          <w:color w:val="auto"/>
        </w:rPr>
      </w:pPr>
    </w:p>
    <w:p>
      <w:pPr>
        <w:ind w:right="180" w:firstLine="1063"/>
        <w:spacing w:after="0" w:line="280" w:lineRule="auto"/>
        <w:rPr>
          <w:sz w:val="20"/>
          <w:szCs w:val="20"/>
          <w:color w:val="auto"/>
        </w:rPr>
      </w:pPr>
      <w:r>
        <w:rPr>
          <w:rFonts w:ascii="Arial" w:cs="Arial" w:eastAsia="Arial" w:hAnsi="Arial"/>
          <w:sz w:val="16"/>
          <w:szCs w:val="16"/>
          <w:b w:val="1"/>
          <w:bCs w:val="1"/>
          <w:color w:val="auto"/>
        </w:rPr>
        <w:t>THIS AGREEMENT AND THE RIGHTS AND OBLIGATIONS OF THE PARTIES UNDER THIS AGREEMENT SHALL BE GOVERNED BY, AND CONSTRUED AND INTERPRETED IN ACCORDANCE WITH, THE LAW OF THE STATE OF NEW YORK.</w:t>
      </w:r>
    </w:p>
    <w:p>
      <w:pPr>
        <w:spacing w:after="0" w:line="331"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20" w:top="512" w:right="259" w:bottom="1440" w:gutter="0" w:footer="0" w:header="0"/>
        </w:sectPr>
      </w:pPr>
    </w:p>
    <w:bookmarkStart w:id="140" w:name="page141"/>
    <w:bookmarkEnd w:id="140"/>
    <w:p>
      <w:pPr>
        <w:ind w:left="540"/>
        <w:spacing w:after="0"/>
        <w:tabs>
          <w:tab w:leader="none" w:pos="134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4"/>
          <w:szCs w:val="14"/>
          <w:u w:val="single" w:color="auto"/>
          <w:color w:val="auto"/>
        </w:rPr>
        <w:t>Submission To Jurisdiction; Waivers.</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Each Guarantor hereby irrevocably and unconditionally:</w:t>
      </w:r>
    </w:p>
    <w:p>
      <w:pPr>
        <w:spacing w:after="0" w:line="193" w:lineRule="exact"/>
        <w:rPr>
          <w:sz w:val="20"/>
          <w:szCs w:val="20"/>
          <w:color w:val="auto"/>
        </w:rPr>
      </w:pPr>
    </w:p>
    <w:p>
      <w:pPr>
        <w:ind w:right="140" w:firstLine="540"/>
        <w:spacing w:after="0" w:line="316" w:lineRule="auto"/>
        <w:tabs>
          <w:tab w:leader="none" w:pos="1243" w:val="left"/>
        </w:tabs>
        <w:numPr>
          <w:ilvl w:val="0"/>
          <w:numId w:val="118"/>
        </w:numPr>
        <w:rPr>
          <w:rFonts w:ascii="Arial" w:cs="Arial" w:eastAsia="Arial" w:hAnsi="Arial"/>
          <w:sz w:val="15"/>
          <w:szCs w:val="15"/>
          <w:color w:val="auto"/>
        </w:rPr>
      </w:pPr>
      <w:r>
        <w:rPr>
          <w:rFonts w:ascii="Arial" w:cs="Arial" w:eastAsia="Arial" w:hAnsi="Arial"/>
          <w:sz w:val="15"/>
          <w:szCs w:val="15"/>
          <w:color w:val="auto"/>
        </w:rPr>
        <w:t>submits for itself and its property in any legal action or proceeding relating to this Agreement, the other Loan Documents and the Ancillary Facility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38" w:lineRule="exact"/>
        <w:rPr>
          <w:rFonts w:ascii="Arial" w:cs="Arial" w:eastAsia="Arial" w:hAnsi="Arial"/>
          <w:sz w:val="15"/>
          <w:szCs w:val="15"/>
          <w:color w:val="auto"/>
        </w:rPr>
      </w:pPr>
    </w:p>
    <w:p>
      <w:pPr>
        <w:ind w:right="160" w:firstLine="540"/>
        <w:spacing w:after="0" w:line="340" w:lineRule="auto"/>
        <w:tabs>
          <w:tab w:leader="none" w:pos="1252" w:val="left"/>
        </w:tabs>
        <w:numPr>
          <w:ilvl w:val="0"/>
          <w:numId w:val="118"/>
        </w:numPr>
        <w:rPr>
          <w:rFonts w:ascii="Arial" w:cs="Arial" w:eastAsia="Arial" w:hAnsi="Arial"/>
          <w:sz w:val="15"/>
          <w:szCs w:val="15"/>
          <w:color w:val="auto"/>
        </w:rPr>
      </w:pPr>
      <w:r>
        <w:rPr>
          <w:rFonts w:ascii="Arial" w:cs="Arial" w:eastAsia="Arial" w:hAnsi="Arial"/>
          <w:sz w:val="15"/>
          <w:szCs w:val="15"/>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20" w:lineRule="exact"/>
        <w:rPr>
          <w:rFonts w:ascii="Arial" w:cs="Arial" w:eastAsia="Arial" w:hAnsi="Arial"/>
          <w:sz w:val="15"/>
          <w:szCs w:val="15"/>
          <w:color w:val="auto"/>
        </w:rPr>
      </w:pPr>
    </w:p>
    <w:p>
      <w:pPr>
        <w:ind w:firstLine="540"/>
        <w:spacing w:after="0" w:line="289" w:lineRule="auto"/>
        <w:tabs>
          <w:tab w:leader="none" w:pos="124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at such other address of which the Administrative Agent shall have been notified pursuant thereto;</w:t>
      </w:r>
    </w:p>
    <w:p>
      <w:pPr>
        <w:spacing w:after="0" w:line="154" w:lineRule="exact"/>
        <w:rPr>
          <w:rFonts w:ascii="Arial" w:cs="Arial" w:eastAsia="Arial" w:hAnsi="Arial"/>
          <w:sz w:val="16"/>
          <w:szCs w:val="16"/>
          <w:color w:val="auto"/>
        </w:rPr>
      </w:pPr>
    </w:p>
    <w:p>
      <w:pPr>
        <w:ind w:right="380" w:firstLine="540"/>
        <w:spacing w:after="0" w:line="304" w:lineRule="auto"/>
        <w:tabs>
          <w:tab w:leader="none" w:pos="12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42" w:lineRule="exact"/>
        <w:rPr>
          <w:rFonts w:ascii="Arial" w:cs="Arial" w:eastAsia="Arial" w:hAnsi="Arial"/>
          <w:sz w:val="16"/>
          <w:szCs w:val="16"/>
          <w:color w:val="auto"/>
        </w:rPr>
      </w:pPr>
    </w:p>
    <w:p>
      <w:pPr>
        <w:ind w:left="1260" w:hanging="720"/>
        <w:spacing w:after="0"/>
        <w:tabs>
          <w:tab w:leader="none" w:pos="12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agrees that nothing herein shall affect the right to effect service of process in any other manner permitted by law or shall limit the right to sue in any other</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jurisdiction; and</w:t>
      </w:r>
    </w:p>
    <w:p>
      <w:pPr>
        <w:spacing w:after="0" w:line="214" w:lineRule="exact"/>
        <w:rPr>
          <w:rFonts w:ascii="Arial" w:cs="Arial" w:eastAsia="Arial" w:hAnsi="Arial"/>
          <w:sz w:val="15"/>
          <w:szCs w:val="15"/>
          <w:color w:val="auto"/>
        </w:rPr>
      </w:pPr>
    </w:p>
    <w:p>
      <w:pPr>
        <w:ind w:right="140" w:firstLine="540"/>
        <w:spacing w:after="0" w:line="304" w:lineRule="auto"/>
        <w:tabs>
          <w:tab w:leader="none" w:pos="122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waives, to the maximum extent not prohibited by law, any right it may have to claim or recover in any legal action or proceeding referred to in this Section any special, exemplary, punitive or consequential damages.</w:t>
      </w:r>
    </w:p>
    <w:p>
      <w:pPr>
        <w:spacing w:after="0" w:line="143" w:lineRule="exact"/>
        <w:rPr>
          <w:sz w:val="20"/>
          <w:szCs w:val="20"/>
          <w:color w:val="auto"/>
        </w:rPr>
      </w:pPr>
    </w:p>
    <w:p>
      <w:pPr>
        <w:ind w:left="540"/>
        <w:spacing w:after="0"/>
        <w:tabs>
          <w:tab w:leader="none" w:pos="134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4"/>
          <w:szCs w:val="14"/>
          <w:u w:val="single" w:color="auto"/>
          <w:color w:val="auto"/>
        </w:rPr>
        <w:t>Judgment.</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The parties hereto agree that Section 10.13 of the Credit Agreement shall apply to the obligations of the Guarantors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93" w:lineRule="exact"/>
        <w:rPr>
          <w:sz w:val="20"/>
          <w:szCs w:val="20"/>
          <w:color w:val="auto"/>
        </w:rPr>
      </w:pPr>
    </w:p>
    <w:p>
      <w:pPr>
        <w:ind w:left="540"/>
        <w:spacing w:after="0"/>
        <w:tabs>
          <w:tab w:leader="none" w:pos="134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5"/>
          <w:szCs w:val="15"/>
          <w:u w:val="single" w:color="auto"/>
          <w:color w:val="auto"/>
        </w:rPr>
        <w:t>Additional Guarantors.</w:t>
      </w:r>
    </w:p>
    <w:p>
      <w:pPr>
        <w:spacing w:after="0" w:line="204" w:lineRule="exact"/>
        <w:rPr>
          <w:sz w:val="20"/>
          <w:szCs w:val="20"/>
          <w:color w:val="auto"/>
        </w:rPr>
      </w:pPr>
    </w:p>
    <w:p>
      <w:pPr>
        <w:ind w:right="20" w:firstLine="1063"/>
        <w:spacing w:after="0" w:line="255" w:lineRule="auto"/>
        <w:rPr>
          <w:sz w:val="20"/>
          <w:szCs w:val="20"/>
          <w:color w:val="auto"/>
        </w:rPr>
      </w:pPr>
      <w:r>
        <w:rPr>
          <w:rFonts w:ascii="Arial" w:cs="Arial" w:eastAsia="Arial" w:hAnsi="Arial"/>
          <w:sz w:val="16"/>
          <w:szCs w:val="16"/>
          <w:color w:val="auto"/>
        </w:rPr>
        <w:t xml:space="preserve">Each Subsidiary of the Company that is required to become a party to this Agreement pursuant to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of the Credit Agreement, and each other Person (whether or not a Subsidiary of the Company) that the Company desires to become a party to this Agreement pursuant to Section 10.1(b) of the Credit Agreement or otherwise, shall become a Guarantor for all purposes of this Agreement upon execution and delivery by such Subsidiary or other Person of a Joinder Agreement in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(a “</w:t>
      </w:r>
      <w:r>
        <w:rPr>
          <w:rFonts w:ascii="Arial" w:cs="Arial" w:eastAsia="Arial" w:hAnsi="Arial"/>
          <w:sz w:val="16"/>
          <w:szCs w:val="16"/>
          <w:u w:val="single" w:color="auto"/>
          <w:color w:val="auto"/>
        </w:rPr>
        <w:t>Joinder Agreement</w:t>
      </w:r>
      <w:r>
        <w:rPr>
          <w:rFonts w:ascii="Arial" w:cs="Arial" w:eastAsia="Arial" w:hAnsi="Arial"/>
          <w:sz w:val="16"/>
          <w:szCs w:val="16"/>
          <w:color w:val="auto"/>
        </w:rPr>
        <w:t>”).</w:t>
      </w:r>
    </w:p>
    <w:p>
      <w:pPr>
        <w:spacing w:after="0" w:line="159" w:lineRule="exact"/>
        <w:rPr>
          <w:sz w:val="20"/>
          <w:szCs w:val="20"/>
          <w:color w:val="auto"/>
        </w:rPr>
      </w:pPr>
    </w:p>
    <w:p>
      <w:pPr>
        <w:ind w:left="540"/>
        <w:spacing w:after="0"/>
        <w:tabs>
          <w:tab w:leader="none" w:pos="1340" w:val="left"/>
        </w:tabs>
        <w:rPr>
          <w:sz w:val="20"/>
          <w:szCs w:val="20"/>
          <w:color w:val="auto"/>
        </w:rPr>
      </w:pPr>
      <w:r>
        <w:rPr>
          <w:rFonts w:ascii="Arial" w:cs="Arial" w:eastAsia="Arial" w:hAnsi="Arial"/>
          <w:sz w:val="16"/>
          <w:szCs w:val="16"/>
          <w:color w:val="auto"/>
        </w:rPr>
        <w:t>3.15</w:t>
      </w:r>
      <w:r>
        <w:rPr>
          <w:sz w:val="20"/>
          <w:szCs w:val="20"/>
          <w:color w:val="auto"/>
        </w:rPr>
        <w:tab/>
      </w:r>
      <w:r>
        <w:rPr>
          <w:rFonts w:ascii="Arial" w:cs="Arial" w:eastAsia="Arial" w:hAnsi="Arial"/>
          <w:sz w:val="13"/>
          <w:szCs w:val="13"/>
          <w:u w:val="single" w:color="auto"/>
          <w:color w:val="auto"/>
        </w:rPr>
        <w:t>Releases.</w:t>
      </w:r>
    </w:p>
    <w:p>
      <w:pPr>
        <w:spacing w:after="0" w:line="215" w:lineRule="exact"/>
        <w:rPr>
          <w:sz w:val="20"/>
          <w:szCs w:val="20"/>
          <w:color w:val="auto"/>
        </w:rPr>
      </w:pPr>
    </w:p>
    <w:p>
      <w:pPr>
        <w:ind w:right="40" w:firstLine="540"/>
        <w:spacing w:after="0" w:line="289" w:lineRule="auto"/>
        <w:tabs>
          <w:tab w:leader="none" w:pos="124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Upon the satisfaction of the conditions set forth in Section 10.15(b)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54" w:lineRule="exact"/>
        <w:rPr>
          <w:rFonts w:ascii="Arial" w:cs="Arial" w:eastAsia="Arial" w:hAnsi="Arial"/>
          <w:sz w:val="16"/>
          <w:szCs w:val="16"/>
          <w:color w:val="auto"/>
        </w:rPr>
      </w:pPr>
    </w:p>
    <w:p>
      <w:pPr>
        <w:jc w:val="both"/>
        <w:ind w:right="200" w:firstLine="540"/>
        <w:spacing w:after="0" w:line="289" w:lineRule="auto"/>
        <w:tabs>
          <w:tab w:leader="none" w:pos="1235" w:val="left"/>
        </w:tabs>
        <w:numPr>
          <w:ilvl w:val="0"/>
          <w:numId w:val="119"/>
        </w:numPr>
        <w:rPr>
          <w:rFonts w:ascii="Arial" w:cs="Arial" w:eastAsia="Arial" w:hAnsi="Arial"/>
          <w:sz w:val="15"/>
          <w:szCs w:val="15"/>
          <w:color w:val="auto"/>
        </w:rPr>
      </w:pPr>
      <w:r>
        <w:rPr>
          <w:rFonts w:ascii="Arial" w:cs="Arial" w:eastAsia="Arial" w:hAnsi="Arial"/>
          <w:sz w:val="16"/>
          <w:szCs w:val="16"/>
          <w:color w:val="auto"/>
        </w:rPr>
        <w:t xml:space="preserve">Upon the satisfaction of the conditions set forth in </w:t>
      </w:r>
      <w:r>
        <w:rPr>
          <w:rFonts w:ascii="Arial" w:cs="Arial" w:eastAsia="Arial" w:hAnsi="Arial"/>
          <w:sz w:val="16"/>
          <w:szCs w:val="16"/>
          <w:u w:val="single" w:color="auto"/>
          <w:color w:val="auto"/>
        </w:rPr>
        <w:t>Section 10.15(d)</w:t>
      </w:r>
      <w:r>
        <w:rPr>
          <w:rFonts w:ascii="Arial" w:cs="Arial" w:eastAsia="Arial" w:hAnsi="Arial"/>
          <w:sz w:val="16"/>
          <w:szCs w:val="16"/>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346"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20" w:top="513" w:right="259" w:bottom="1440" w:gutter="0" w:footer="0" w:header="0"/>
        </w:sectPr>
      </w:pPr>
    </w:p>
    <w:bookmarkStart w:id="141" w:name="page142"/>
    <w:bookmarkEnd w:id="141"/>
    <w:p>
      <w:pPr>
        <w:ind w:right="120" w:firstLine="540"/>
        <w:spacing w:after="0" w:line="289" w:lineRule="auto"/>
        <w:tabs>
          <w:tab w:leader="none" w:pos="1227" w:val="left"/>
        </w:tabs>
        <w:numPr>
          <w:ilvl w:val="0"/>
          <w:numId w:val="120"/>
        </w:numPr>
        <w:rPr>
          <w:rFonts w:ascii="Arial" w:cs="Arial" w:eastAsia="Arial" w:hAnsi="Arial"/>
          <w:sz w:val="15"/>
          <w:szCs w:val="15"/>
          <w:color w:val="auto"/>
        </w:rPr>
      </w:pPr>
      <w:r>
        <w:rPr>
          <w:rFonts w:ascii="Arial" w:cs="Arial" w:eastAsia="Arial" w:hAnsi="Arial"/>
          <w:sz w:val="16"/>
          <w:szCs w:val="16"/>
          <w:color w:val="auto"/>
        </w:rPr>
        <w:t xml:space="preserve">Upon the satisfaction of the conditions set forth in </w:t>
      </w:r>
      <w:r>
        <w:rPr>
          <w:rFonts w:ascii="Arial" w:cs="Arial" w:eastAsia="Arial" w:hAnsi="Arial"/>
          <w:sz w:val="16"/>
          <w:szCs w:val="16"/>
          <w:u w:val="single" w:color="auto"/>
          <w:color w:val="auto"/>
        </w:rPr>
        <w:t>Section 10.15(e)</w:t>
      </w:r>
      <w:r>
        <w:rPr>
          <w:rFonts w:ascii="Arial" w:cs="Arial" w:eastAsia="Arial" w:hAnsi="Arial"/>
          <w:sz w:val="16"/>
          <w:szCs w:val="16"/>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54" w:lineRule="exact"/>
        <w:rPr>
          <w:rFonts w:ascii="Arial" w:cs="Arial" w:eastAsia="Arial" w:hAnsi="Arial"/>
          <w:sz w:val="15"/>
          <w:szCs w:val="15"/>
          <w:color w:val="auto"/>
        </w:rPr>
      </w:pPr>
    </w:p>
    <w:p>
      <w:pPr>
        <w:ind w:right="80" w:firstLine="540"/>
        <w:spacing w:after="0" w:line="289" w:lineRule="auto"/>
        <w:tabs>
          <w:tab w:leader="none" w:pos="1235" w:val="left"/>
        </w:tabs>
        <w:numPr>
          <w:ilvl w:val="0"/>
          <w:numId w:val="120"/>
        </w:numPr>
        <w:rPr>
          <w:rFonts w:ascii="Arial" w:cs="Arial" w:eastAsia="Arial" w:hAnsi="Arial"/>
          <w:sz w:val="15"/>
          <w:szCs w:val="15"/>
          <w:color w:val="auto"/>
        </w:rPr>
      </w:pPr>
      <w:r>
        <w:rPr>
          <w:rFonts w:ascii="Arial" w:cs="Arial" w:eastAsia="Arial" w:hAnsi="Arial"/>
          <w:sz w:val="16"/>
          <w:szCs w:val="16"/>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6"/>
          <w:szCs w:val="16"/>
          <w:u w:val="single" w:color="auto"/>
          <w:color w:val="auto"/>
        </w:rPr>
        <w:t>Section 3.15</w:t>
      </w:r>
      <w:r>
        <w:rPr>
          <w:rFonts w:ascii="Arial" w:cs="Arial" w:eastAsia="Arial" w:hAnsi="Arial"/>
          <w:sz w:val="16"/>
          <w:szCs w:val="16"/>
          <w:color w:val="auto"/>
        </w:rPr>
        <w:t>.</w:t>
      </w:r>
    </w:p>
    <w:p>
      <w:pPr>
        <w:spacing w:after="0" w:line="151" w:lineRule="exact"/>
        <w:rPr>
          <w:sz w:val="20"/>
          <w:szCs w:val="20"/>
          <w:color w:val="auto"/>
        </w:rPr>
      </w:pPr>
    </w:p>
    <w:p>
      <w:pPr>
        <w:ind w:left="540"/>
        <w:spacing w:after="0"/>
        <w:tabs>
          <w:tab w:leader="none" w:pos="1340" w:val="left"/>
        </w:tabs>
        <w:rPr>
          <w:sz w:val="20"/>
          <w:szCs w:val="20"/>
          <w:color w:val="auto"/>
        </w:rPr>
      </w:pPr>
      <w:r>
        <w:rPr>
          <w:rFonts w:ascii="Arial" w:cs="Arial" w:eastAsia="Arial" w:hAnsi="Arial"/>
          <w:sz w:val="16"/>
          <w:szCs w:val="16"/>
          <w:color w:val="auto"/>
        </w:rPr>
        <w:t>3.16</w:t>
      </w:r>
      <w:r>
        <w:rPr>
          <w:sz w:val="20"/>
          <w:szCs w:val="20"/>
          <w:color w:val="auto"/>
        </w:rPr>
        <w:tab/>
      </w:r>
      <w:r>
        <w:rPr>
          <w:rFonts w:ascii="Arial" w:cs="Arial" w:eastAsia="Arial" w:hAnsi="Arial"/>
          <w:sz w:val="16"/>
          <w:szCs w:val="16"/>
          <w:b w:val="1"/>
          <w:bCs w:val="1"/>
          <w:u w:val="single" w:color="auto"/>
          <w:color w:val="auto"/>
        </w:rPr>
        <w:t>WAIVER OF JURY TRIAL</w:t>
      </w:r>
    </w:p>
    <w:p>
      <w:pPr>
        <w:spacing w:after="0" w:line="204" w:lineRule="exact"/>
        <w:rPr>
          <w:sz w:val="20"/>
          <w:szCs w:val="20"/>
          <w:color w:val="auto"/>
        </w:rPr>
      </w:pPr>
    </w:p>
    <w:p>
      <w:pPr>
        <w:ind w:firstLine="1063"/>
        <w:spacing w:after="0" w:line="262" w:lineRule="auto"/>
        <w:rPr>
          <w:sz w:val="20"/>
          <w:szCs w:val="20"/>
          <w:color w:val="auto"/>
        </w:rPr>
      </w:pPr>
      <w:r>
        <w:rPr>
          <w:rFonts w:ascii="Arial" w:cs="Arial" w:eastAsia="Arial" w:hAnsi="Arial"/>
          <w:sz w:val="16"/>
          <w:szCs w:val="16"/>
          <w:b w:val="1"/>
          <w:bCs w:val="1"/>
          <w:color w:val="auto"/>
        </w:rPr>
        <w:t>EACH GUARANTOR AND THE ADMINISTRATIVE AGENT HEREBY IRREVOCABLY AND UNCONDITIONALLY WAIVE TRIAL BY JURY IN ANY LEGAL ACTION OR PROCEEDING RELATING TO THIS AGREEMENT, ANY OTHER LOAN DOCUMENT OR ANY ANCILLARY FACILITY DOCUMENT AND FOR ANY COUNTERCLAIM THEREIN.</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[Remainder of this page intentionally left blank.]</w:t>
      </w:r>
    </w:p>
    <w:p>
      <w:pPr>
        <w:spacing w:after="0" w:line="384"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20" w:top="512" w:right="25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color w:val="auto"/>
        </w:rPr>
        <w:t>IN WITNESS WHEREOF, each of the undersigned has caused this Agreement to be duly executed and delivered as of the date first above written.</w:t>
      </w:r>
    </w:p>
    <w:p>
      <w:pPr>
        <w:spacing w:after="0" w:line="314"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 xml:space="preserve">GENERAL MOTORS COMPANY, </w:t>
      </w:r>
      <w:r>
        <w:rPr>
          <w:rFonts w:ascii="Arial" w:cs="Arial" w:eastAsia="Arial" w:hAnsi="Arial"/>
          <w:sz w:val="15"/>
          <w:szCs w:val="15"/>
          <w:i w:val="1"/>
          <w:iCs w:val="1"/>
          <w:color w:val="auto"/>
        </w:rPr>
        <w:t>as the Company</w:t>
      </w:r>
    </w:p>
    <w:p>
      <w:pPr>
        <w:spacing w:after="0" w:line="326"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By:_______________________________</w:t>
      </w:r>
    </w:p>
    <w:p>
      <w:pPr>
        <w:spacing w:after="0" w:line="49"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Name:__________________________</w:t>
      </w:r>
    </w:p>
    <w:p>
      <w:pPr>
        <w:spacing w:after="0" w:line="49"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Title:___________________________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Signature Page to 3-Year Guarantee Agreement</w:t>
      </w:r>
    </w:p>
    <w:p>
      <w:pPr>
        <w:spacing w:after="0" w:line="399"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ectPr>
          <w:pgSz w:w="11900" w:h="16838" w:orient="portrait"/>
          <w:cols w:equalWidth="0" w:num="1">
            <w:col w:w="10600"/>
          </w:cols>
          <w:pgMar w:left="220" w:top="501" w:right="107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t>ACCEPTED AND AGREED TO</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SET FORTH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JPMORGAN CHASE BANK, N.A., </w:t>
      </w:r>
      <w:r>
        <w:rPr>
          <w:rFonts w:ascii="Arial" w:cs="Arial" w:eastAsia="Arial" w:hAnsi="Arial"/>
          <w:sz w:val="16"/>
          <w:szCs w:val="16"/>
          <w:i w:val="1"/>
          <w:iCs w:val="1"/>
          <w:color w:val="auto"/>
        </w:rPr>
        <w:t>as the Administrative Agent</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5"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Annex 1</w:t>
      </w:r>
    </w:p>
    <w:p>
      <w:pPr>
        <w:spacing w:after="0" w:line="49"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to</w:t>
      </w:r>
    </w:p>
    <w:p>
      <w:pPr>
        <w:spacing w:after="0" w:line="49"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Guarantee Agreement</w:t>
      </w:r>
    </w:p>
    <w:p>
      <w:pPr>
        <w:spacing w:after="0" w:line="39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JOINDER AGREEMENT, dated as of ________________, 20__ (the “</w:t>
      </w:r>
      <w:r>
        <w:rPr>
          <w:rFonts w:ascii="Arial" w:cs="Arial" w:eastAsia="Arial" w:hAnsi="Arial"/>
          <w:sz w:val="15"/>
          <w:szCs w:val="15"/>
          <w:u w:val="single" w:color="auto"/>
          <w:color w:val="auto"/>
        </w:rPr>
        <w:t>Joinder Agreement</w:t>
      </w:r>
      <w:r>
        <w:rPr>
          <w:rFonts w:ascii="Arial" w:cs="Arial" w:eastAsia="Arial" w:hAnsi="Arial"/>
          <w:sz w:val="15"/>
          <w:szCs w:val="15"/>
          <w:color w:val="auto"/>
        </w:rPr>
        <w:t>”), made by ______________________________ (the “</w:t>
      </w:r>
      <w:r>
        <w:rPr>
          <w:rFonts w:ascii="Arial" w:cs="Arial" w:eastAsia="Arial" w:hAnsi="Arial"/>
          <w:sz w:val="15"/>
          <w:szCs w:val="15"/>
          <w:u w:val="single" w:color="auto"/>
          <w:color w:val="auto"/>
        </w:rPr>
        <w:t>Additional</w:t>
      </w:r>
    </w:p>
    <w:p>
      <w:pPr>
        <w:spacing w:after="0" w:line="30"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u w:val="single" w:color="auto"/>
          <w:color w:val="auto"/>
        </w:rPr>
        <w:t>Guarantor</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W I T N E S S E T H</w:t>
      </w:r>
      <w:r>
        <w:rPr>
          <w:rFonts w:ascii="Arial" w:cs="Arial" w:eastAsia="Arial" w:hAnsi="Arial"/>
          <w:sz w:val="16"/>
          <w:szCs w:val="16"/>
          <w:color w:val="auto"/>
        </w:rPr>
        <w:t xml:space="preserve"> :</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WHEREAS, pursuant to the terms of the certain Amended and Restated Three Year Revolving Credit Agreement, dated as of October 17, 2014 (as amended,</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restated, amended and restated, renewed,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General Motors Company, a Delaware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Europe Treasury Company AB, a Swedish corporation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GMETC</w:t>
      </w:r>
      <w:r>
        <w:rPr>
          <w:rFonts w:ascii="Arial" w:cs="Arial" w:eastAsia="Arial" w:hAnsi="Arial"/>
          <w:sz w:val="15"/>
          <w:szCs w:val="15"/>
          <w:color w:val="auto"/>
        </w:rPr>
        <w:t>”), General Motors do Brasil Ltda., a Brazilian limited liability company (“</w:t>
      </w:r>
      <w:r>
        <w:rPr>
          <w:rFonts w:ascii="Arial" w:cs="Arial" w:eastAsia="Arial" w:hAnsi="Arial"/>
          <w:sz w:val="15"/>
          <w:szCs w:val="15"/>
          <w:u w:val="single" w:color="auto"/>
          <w:color w:val="auto"/>
        </w:rPr>
        <w:t>GMB</w:t>
      </w:r>
      <w:r>
        <w:rPr>
          <w:rFonts w:ascii="Arial" w:cs="Arial" w:eastAsia="Arial" w:hAnsi="Arial"/>
          <w:sz w:val="15"/>
          <w:szCs w:val="15"/>
          <w:color w:val="auto"/>
        </w:rPr>
        <w:t>”), the other Subsidiary Borrowers from time to time parties thereto, the Lenders, the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Administrative Agent, Banco do Brasil S.A., as Brazilian Administrative Agent, and the other agents named therein, the Company [has] [and certain of its Subsidiaries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(collectively, the “</w:t>
      </w:r>
      <w:r>
        <w:rPr>
          <w:rFonts w:ascii="Arial" w:cs="Arial" w:eastAsia="Arial" w:hAnsi="Arial"/>
          <w:sz w:val="15"/>
          <w:szCs w:val="15"/>
          <w:u w:val="single" w:color="auto"/>
          <w:color w:val="auto"/>
        </w:rPr>
        <w:t>Subsidiary Guarantors</w:t>
      </w:r>
      <w:r>
        <w:rPr>
          <w:rFonts w:ascii="Arial" w:cs="Arial" w:eastAsia="Arial" w:hAnsi="Arial"/>
          <w:sz w:val="15"/>
          <w:szCs w:val="15"/>
          <w:color w:val="auto"/>
        </w:rPr>
        <w:t>”; and, together with the Company and the other Persons party to the Guarantee Agreement (as defined below) as guarantors,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collectively, the “</w:t>
      </w:r>
      <w:r>
        <w:rPr>
          <w:rFonts w:ascii="Arial" w:cs="Arial" w:eastAsia="Arial" w:hAnsi="Arial"/>
          <w:sz w:val="14"/>
          <w:szCs w:val="14"/>
          <w:u w:val="single" w:color="auto"/>
          <w:color w:val="auto"/>
        </w:rPr>
        <w:t>Guarantors</w:t>
      </w:r>
      <w:r>
        <w:rPr>
          <w:rFonts w:ascii="Arial" w:cs="Arial" w:eastAsia="Arial" w:hAnsi="Arial"/>
          <w:sz w:val="14"/>
          <w:szCs w:val="14"/>
          <w:color w:val="auto"/>
        </w:rPr>
        <w:t>”) have] entered into the Guarantee Agreement, dated as of October 17, 2014 (as amended, restated, amended and restated, renewed, supplemented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or otherwise modified from time to time, the “</w:t>
      </w:r>
      <w:r>
        <w:rPr>
          <w:rFonts w:ascii="Arial" w:cs="Arial" w:eastAsia="Arial" w:hAnsi="Arial"/>
          <w:sz w:val="16"/>
          <w:szCs w:val="16"/>
          <w:u w:val="single" w:color="auto"/>
          <w:color w:val="auto"/>
        </w:rPr>
        <w:t>Guarantee Agreement</w:t>
      </w:r>
      <w:r>
        <w:rPr>
          <w:rFonts w:ascii="Arial" w:cs="Arial" w:eastAsia="Arial" w:hAnsi="Arial"/>
          <w:sz w:val="16"/>
          <w:szCs w:val="16"/>
          <w:color w:val="auto"/>
        </w:rPr>
        <w:t>”); and</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 xml:space="preserve">WHEREAS, the Additional Guarantor desires to become a party to the Guarantee Agreement in accordance with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of the Guarantee Agreement;</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NOW, THEREFORE, IT IS AGREED:</w:t>
      </w:r>
    </w:p>
    <w:p>
      <w:pPr>
        <w:spacing w:after="0" w:line="181" w:lineRule="exact"/>
        <w:rPr>
          <w:sz w:val="20"/>
          <w:szCs w:val="20"/>
          <w:color w:val="auto"/>
        </w:rPr>
      </w:pPr>
    </w:p>
    <w:p>
      <w:pPr>
        <w:ind w:right="260" w:firstLine="1072"/>
        <w:spacing w:after="0" w:line="285" w:lineRule="auto"/>
        <w:tabs>
          <w:tab w:leader="none" w:pos="1225"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Guarantee Agreement.</w:t>
      </w:r>
      <w:r>
        <w:rPr>
          <w:rFonts w:ascii="Arial" w:cs="Arial" w:eastAsia="Arial" w:hAnsi="Arial"/>
          <w:sz w:val="15"/>
          <w:szCs w:val="15"/>
          <w:color w:val="auto"/>
        </w:rPr>
        <w:t xml:space="preserve"> By executing and delivering this Joinder Agreement, the Additional Guarantor, as provided in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23" w:lineRule="exact"/>
        <w:rPr>
          <w:rFonts w:ascii="Arial" w:cs="Arial" w:eastAsia="Arial" w:hAnsi="Arial"/>
          <w:sz w:val="15"/>
          <w:szCs w:val="15"/>
          <w:color w:val="auto"/>
        </w:rPr>
      </w:pPr>
    </w:p>
    <w:p>
      <w:pPr>
        <w:ind w:right="480" w:firstLine="1072"/>
        <w:spacing w:after="0" w:line="280" w:lineRule="auto"/>
        <w:tabs>
          <w:tab w:leader="none" w:pos="1225" w:val="left"/>
        </w:tabs>
        <w:numPr>
          <w:ilvl w:val="0"/>
          <w:numId w:val="121"/>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THIS JOINDER AGREEMENT AND THE RIGHTS AND OBLIGATIONS OF THE PARTIES HEREUNDER SHALL BE GOVERNED BY, AND CONSTRUED AND INTERPRETED IN ACCORDANCE WITH, THE LAW OF THE STATE OF NEW YORK.</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ectPr>
          <w:pgSz w:w="11900" w:h="16838" w:orient="portrait"/>
          <w:cols w:equalWidth="0" w:num="1">
            <w:col w:w="11460"/>
          </w:cols>
          <w:pgMar w:left="220" w:top="689" w:right="219" w:bottom="1440" w:gutter="0" w:footer="0" w:header="0"/>
        </w:sectPr>
      </w:pPr>
    </w:p>
    <w:bookmarkStart w:id="144" w:name="page145"/>
    <w:bookmarkEnd w:id="144"/>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 WITNESS WHEREOF, the undersigned has caused this Joinder Agreement to be duly executed and delivered as of the date first above written.</w:t>
      </w:r>
    </w:p>
    <w:p>
      <w:pPr>
        <w:spacing w:after="0" w:line="314"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[ADDITIONAL GUARANTOR]</w:t>
      </w:r>
    </w:p>
    <w:p>
      <w:pPr>
        <w:spacing w:after="0" w:line="314"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By:________________________</w:t>
      </w:r>
    </w:p>
    <w:p>
      <w:pPr>
        <w:spacing w:after="0" w:line="49"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ectPr>
          <w:pgSz w:w="11900" w:h="16838" w:orient="portrait"/>
          <w:cols w:equalWidth="0" w:num="1">
            <w:col w:w="10600"/>
          </w:cols>
          <w:pgMar w:left="220" w:top="1440" w:right="107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t>ACCEPTED AND AGREED TO</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SET FORTH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JPMORGAN CHASE BANK, N.A., </w:t>
      </w:r>
      <w:r>
        <w:rPr>
          <w:rFonts w:ascii="Arial" w:cs="Arial" w:eastAsia="Arial" w:hAnsi="Arial"/>
          <w:sz w:val="16"/>
          <w:szCs w:val="16"/>
          <w:i w:val="1"/>
          <w:iCs w:val="1"/>
          <w:color w:val="auto"/>
        </w:rPr>
        <w:t>as the Administrative Agent</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EXHIBIT B</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6"/>
          <w:szCs w:val="16"/>
          <w:b w:val="1"/>
          <w:bCs w:val="1"/>
          <w:color w:val="auto"/>
        </w:rPr>
        <w:t>Credit Agreement</w:t>
      </w:r>
    </w:p>
    <w:p>
      <w:pPr>
        <w:spacing w:after="0" w:line="200" w:lineRule="exact"/>
        <w:rPr>
          <w:sz w:val="20"/>
          <w:szCs w:val="20"/>
          <w:color w:val="auto"/>
        </w:rPr>
      </w:pPr>
    </w:p>
    <w:p>
      <w:pPr>
        <w:spacing w:after="0" w:line="24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509265-1725-Active.16559963</w:t>
      </w:r>
    </w:p>
    <w:p>
      <w:pPr>
        <w:sectPr>
          <w:pgSz w:w="11900" w:h="16838" w:orient="portrait"/>
          <w:cols w:equalWidth="0" w:num="1">
            <w:col w:w="11020"/>
          </w:cols>
          <w:pgMar w:left="220" w:top="1066" w:right="659" w:bottom="1440" w:gutter="0" w:footer="0" w:header="0"/>
        </w:sectPr>
      </w:pPr>
    </w:p>
    <w:bookmarkStart w:id="146" w:name="page147"/>
    <w:bookmarkEnd w:id="146"/>
    <w:p>
      <w:pPr>
        <w:jc w:val="center"/>
        <w:ind w:left="9240"/>
        <w:spacing w:after="0"/>
        <w:rPr>
          <w:sz w:val="20"/>
          <w:szCs w:val="20"/>
          <w:color w:val="auto"/>
        </w:rPr>
      </w:pPr>
      <w:r>
        <w:rPr>
          <w:rFonts w:ascii="Arial" w:cs="Arial" w:eastAsia="Arial" w:hAnsi="Arial"/>
          <w:sz w:val="18"/>
          <w:szCs w:val="18"/>
          <w:b w:val="1"/>
          <w:bCs w:val="1"/>
          <w:color w:val="auto"/>
        </w:rPr>
        <w:t>EXHIBIT C</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 REQUEST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 North America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Emily.cousineau@jpmorgan.com</w:t>
      </w:r>
    </w:p>
    <w:p>
      <w:pPr>
        <w:spacing w:after="0" w:line="3" w:lineRule="exact"/>
        <w:rPr>
          <w:sz w:val="20"/>
          <w:szCs w:val="20"/>
          <w:color w:val="auto"/>
        </w:rPr>
      </w:pPr>
    </w:p>
    <w:p>
      <w:pPr>
        <w:ind w:right="9500" w:firstLine="9"/>
        <w:spacing w:after="0" w:line="274" w:lineRule="auto"/>
        <w:tabs>
          <w:tab w:leader="none" w:pos="42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634-8612 (telephone) Attn: Emily Cousineau</w:t>
      </w:r>
    </w:p>
    <w:p>
      <w:pPr>
        <w:spacing w:after="0" w:line="1" w:lineRule="exact"/>
        <w:rPr>
          <w:sz w:val="20"/>
          <w:szCs w:val="20"/>
          <w:color w:val="auto"/>
        </w:rPr>
      </w:pPr>
    </w:p>
    <w:p>
      <w:pPr>
        <w:ind w:left="10220"/>
        <w:spacing w:after="0"/>
        <w:rPr>
          <w:sz w:val="20"/>
          <w:szCs w:val="20"/>
          <w:color w:val="auto"/>
        </w:rPr>
      </w:pPr>
      <w:r>
        <w:rPr>
          <w:rFonts w:ascii="Arial" w:cs="Arial" w:eastAsia="Arial" w:hAnsi="Arial"/>
          <w:sz w:val="14"/>
          <w:szCs w:val="14"/>
          <w:color w:val="auto"/>
        </w:rPr>
        <w:t>_________, 20__</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36" w:lineRule="exact"/>
        <w:rPr>
          <w:sz w:val="20"/>
          <w:szCs w:val="20"/>
          <w:color w:val="auto"/>
        </w:rPr>
      </w:pPr>
    </w:p>
    <w:p>
      <w:pPr>
        <w:ind w:right="20" w:firstLine="1063"/>
        <w:spacing w:after="0" w:line="246"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w:t>
      </w:r>
      <w:r>
        <w:rPr>
          <w:rFonts w:ascii="Arial" w:cs="Arial" w:eastAsia="Arial" w:hAnsi="Arial"/>
          <w:sz w:val="17"/>
          <w:szCs w:val="17"/>
          <w:u w:val="single" w:color="auto"/>
          <w:color w:val="auto"/>
        </w:rPr>
        <w:t>Company/Applicable Borrower”)]</w:t>
      </w:r>
      <w:r>
        <w:rPr>
          <w:rFonts w:ascii="Arial" w:cs="Arial" w:eastAsia="Arial" w:hAnsi="Arial"/>
          <w:sz w:val="22"/>
          <w:szCs w:val="22"/>
          <w:color w:val="auto"/>
          <w:vertAlign w:val="superscript"/>
        </w:rPr>
        <w:t>1</w:t>
      </w:r>
      <w:r>
        <w:rPr>
          <w:rFonts w:ascii="Arial" w:cs="Arial" w:eastAsia="Arial" w:hAnsi="Arial"/>
          <w:sz w:val="17"/>
          <w:szCs w:val="17"/>
          <w:color w:val="auto"/>
        </w:rPr>
        <w:t>, refer[s] to the Amended and Restated Three Year Revolving Credit Agreement, dated as of October 17, 2014,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Company/the Applicable Borrower]</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named therein. Capitalized terms used herein and not otherwise defined herein shall have the meanings assigned to such terms in the Credit Agreement. The Applicable Borrower and the Company hereby give you notice pursuant to Section 2.12(a) of the Credit Agreement that it requests a Competitive Loan under the Credit Agreement, and in that connection sets forth below the terms on which such Competitive Loan is requested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460" w:right="219" w:bottom="1440" w:gutter="0" w:footer="0" w:header="0"/>
        </w:sectPr>
      </w:pPr>
    </w:p>
    <w:bookmarkStart w:id="147" w:name="page148"/>
    <w:bookmarkEnd w:id="147"/>
    <w:p>
      <w:pPr>
        <w:ind w:left="80"/>
        <w:spacing w:after="0"/>
        <w:tabs>
          <w:tab w:leader="none" w:pos="860" w:val="left"/>
          <w:tab w:leader="none" w:pos="112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Currency of Competitive Loan</w:t>
      </w:r>
      <w:r>
        <w:rPr>
          <w:sz w:val="20"/>
          <w:szCs w:val="20"/>
          <w:color w:val="auto"/>
        </w:rPr>
        <w:tab/>
      </w:r>
      <w:r>
        <w:rPr>
          <w:rFonts w:ascii="Arial" w:cs="Arial" w:eastAsia="Arial" w:hAnsi="Arial"/>
          <w:sz w:val="15"/>
          <w:szCs w:val="15"/>
          <w:color w:val="auto"/>
        </w:rPr>
        <w:t xml:space="preserve">] </w:t>
      </w:r>
      <w:r>
        <w:rPr>
          <w:rFonts w:ascii="Arial" w:cs="Arial" w:eastAsia="Arial" w:hAnsi="Arial"/>
          <w:sz w:val="19"/>
          <w:szCs w:val="19"/>
          <w:color w:val="auto"/>
          <w:vertAlign w:val="superscript"/>
        </w:rPr>
        <w:t>3</w:t>
      </w:r>
    </w:p>
    <w:p>
      <w:pPr>
        <w:spacing w:after="0" w:line="39" w:lineRule="exact"/>
        <w:rPr>
          <w:sz w:val="20"/>
          <w:szCs w:val="20"/>
          <w:color w:val="auto"/>
        </w:rPr>
      </w:pPr>
    </w:p>
    <w:p>
      <w:pPr>
        <w:ind w:left="880" w:hanging="799"/>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15" w:lineRule="exact"/>
        <w:rPr>
          <w:rFonts w:ascii="Arial" w:cs="Arial" w:eastAsia="Arial" w:hAnsi="Arial"/>
          <w:sz w:val="18"/>
          <w:szCs w:val="18"/>
          <w:color w:val="auto"/>
        </w:rPr>
      </w:pPr>
    </w:p>
    <w:p>
      <w:pPr>
        <w:ind w:left="880" w:hanging="799"/>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Principal Amount of Competitive Loan</w:t>
      </w:r>
      <w:r>
        <w:rPr>
          <w:rFonts w:ascii="Arial" w:cs="Arial" w:eastAsia="Arial" w:hAnsi="Arial"/>
          <w:sz w:val="23"/>
          <w:szCs w:val="23"/>
          <w:color w:val="auto"/>
          <w:vertAlign w:val="superscript"/>
        </w:rPr>
        <w:t>4</w:t>
      </w:r>
    </w:p>
    <w:p>
      <w:pPr>
        <w:ind w:left="880" w:hanging="799"/>
        <w:spacing w:after="0" w:line="221"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Interest rate basis Eurocurrency Competitive Loan or Fixed Rate Loan</w:t>
      </w:r>
      <w:r>
        <w:rPr>
          <w:rFonts w:ascii="Arial" w:cs="Arial" w:eastAsia="Arial" w:hAnsi="Arial"/>
          <w:sz w:val="23"/>
          <w:szCs w:val="23"/>
          <w:color w:val="auto"/>
          <w:vertAlign w:val="superscript"/>
        </w:rPr>
        <w:t>5</w:t>
      </w:r>
    </w:p>
    <w:p>
      <w:pPr>
        <w:ind w:left="880" w:hanging="799"/>
        <w:spacing w:after="0" w:line="221"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23"/>
          <w:szCs w:val="23"/>
          <w:color w:val="auto"/>
          <w:vertAlign w:val="superscript"/>
        </w:rPr>
        <w:t>6</w:t>
      </w:r>
    </w:p>
    <w:p>
      <w:pPr>
        <w:ind w:left="880" w:hanging="799"/>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5891530</wp:posOffset>
            </wp:positionH>
            <wp:positionV relativeFrom="paragraph">
              <wp:posOffset>10795</wp:posOffset>
            </wp:positionV>
            <wp:extent cx="13569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56995" cy="698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-142875</wp:posOffset>
            </wp:positionV>
            <wp:extent cx="13569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56995" cy="698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-297815</wp:posOffset>
            </wp:positionV>
            <wp:extent cx="13569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56995" cy="698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-452755</wp:posOffset>
            </wp:positionV>
            <wp:extent cx="13569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56995" cy="698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-607060</wp:posOffset>
            </wp:positionV>
            <wp:extent cx="13569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56995" cy="698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360" w:firstLine="1063"/>
        <w:spacing w:after="0" w:line="326" w:lineRule="auto"/>
        <w:rPr>
          <w:sz w:val="20"/>
          <w:szCs w:val="20"/>
          <w:color w:val="auto"/>
        </w:rPr>
      </w:pPr>
      <w:r>
        <w:rPr>
          <w:rFonts w:ascii="Arial" w:cs="Arial" w:eastAsia="Arial" w:hAnsi="Arial"/>
          <w:sz w:val="16"/>
          <w:szCs w:val="16"/>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39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Very truly yours,</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[INSERT NAME OF APPLICABLE BORROWER]</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By:_________________________________</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[GENERAL MOTORS COMPANY]</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By:_________________________________</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132" w:lineRule="exact"/>
        <w:rPr>
          <w:sz w:val="20"/>
          <w:szCs w:val="20"/>
          <w:color w:val="auto"/>
        </w:rPr>
      </w:pPr>
    </w:p>
    <w:p>
      <w:pPr>
        <w:ind w:left="100" w:hanging="91"/>
        <w:spacing w:after="0"/>
        <w:tabs>
          <w:tab w:leader="none" w:pos="100" w:val="left"/>
        </w:tabs>
        <w:numPr>
          <w:ilvl w:val="0"/>
          <w:numId w:val="124"/>
        </w:numPr>
        <w:rPr>
          <w:rFonts w:ascii="Arial" w:cs="Arial" w:eastAsia="Arial" w:hAnsi="Arial"/>
          <w:sz w:val="21"/>
          <w:szCs w:val="21"/>
          <w:color w:val="auto"/>
          <w:vertAlign w:val="superscript"/>
        </w:rPr>
      </w:pPr>
      <w:r>
        <w:rPr>
          <w:rFonts w:ascii="Arial" w:cs="Arial" w:eastAsia="Arial" w:hAnsi="Arial"/>
          <w:sz w:val="15"/>
          <w:szCs w:val="15"/>
          <w:color w:val="auto"/>
        </w:rPr>
        <w:t>Insert if the Company is not the Applicable Borrower.</w:t>
      </w:r>
    </w:p>
    <w:p>
      <w:pPr>
        <w:spacing w:after="0" w:line="113" w:lineRule="exact"/>
        <w:rPr>
          <w:sz w:val="20"/>
          <w:szCs w:val="20"/>
          <w:color w:val="auto"/>
        </w:rPr>
      </w:pPr>
    </w:p>
    <w:p>
      <w:pPr>
        <w:ind w:left="100" w:hanging="91"/>
        <w:spacing w:after="0"/>
        <w:tabs>
          <w:tab w:leader="none" w:pos="100" w:val="left"/>
        </w:tabs>
        <w:numPr>
          <w:ilvl w:val="0"/>
          <w:numId w:val="125"/>
        </w:numPr>
        <w:rPr>
          <w:rFonts w:ascii="Arial" w:cs="Arial" w:eastAsia="Arial" w:hAnsi="Arial"/>
          <w:sz w:val="21"/>
          <w:szCs w:val="21"/>
          <w:color w:val="auto"/>
          <w:vertAlign w:val="superscript"/>
        </w:rPr>
      </w:pPr>
      <w:r>
        <w:rPr>
          <w:rFonts w:ascii="Arial" w:cs="Arial" w:eastAsia="Arial" w:hAnsi="Arial"/>
          <w:sz w:val="15"/>
          <w:szCs w:val="15"/>
          <w:color w:val="auto"/>
        </w:rPr>
        <w:t>If Bid Requested from the Company, it is the “Applicable Borrower”.</w:t>
      </w:r>
    </w:p>
    <w:p>
      <w:pPr>
        <w:spacing w:after="0" w:line="113" w:lineRule="exact"/>
        <w:rPr>
          <w:sz w:val="20"/>
          <w:szCs w:val="20"/>
          <w:color w:val="auto"/>
        </w:rPr>
      </w:pPr>
    </w:p>
    <w:p>
      <w:pPr>
        <w:ind w:left="100" w:hanging="91"/>
        <w:spacing w:after="0"/>
        <w:tabs>
          <w:tab w:leader="none" w:pos="100" w:val="left"/>
        </w:tabs>
        <w:numPr>
          <w:ilvl w:val="0"/>
          <w:numId w:val="126"/>
        </w:numPr>
        <w:rPr>
          <w:rFonts w:ascii="Arial" w:cs="Arial" w:eastAsia="Arial" w:hAnsi="Arial"/>
          <w:sz w:val="21"/>
          <w:szCs w:val="21"/>
          <w:color w:val="auto"/>
          <w:vertAlign w:val="superscript"/>
        </w:rPr>
      </w:pPr>
      <w:r>
        <w:rPr>
          <w:rFonts w:ascii="Arial" w:cs="Arial" w:eastAsia="Arial" w:hAnsi="Arial"/>
          <w:sz w:val="15"/>
          <w:szCs w:val="15"/>
          <w:color w:val="auto"/>
        </w:rPr>
        <w:t>In the case of Multicurrency Competitive Loan only.</w:t>
      </w:r>
    </w:p>
    <w:p>
      <w:pPr>
        <w:spacing w:after="0" w:line="136" w:lineRule="exact"/>
        <w:rPr>
          <w:sz w:val="20"/>
          <w:szCs w:val="20"/>
          <w:color w:val="auto"/>
        </w:rPr>
      </w:pPr>
    </w:p>
    <w:p>
      <w:pPr>
        <w:ind w:left="80" w:hanging="71"/>
        <w:spacing w:after="0"/>
        <w:tabs>
          <w:tab w:leader="none" w:pos="80" w:val="left"/>
        </w:tabs>
        <w:numPr>
          <w:ilvl w:val="0"/>
          <w:numId w:val="127"/>
        </w:numPr>
        <w:rPr>
          <w:rFonts w:ascii="Arial" w:cs="Arial" w:eastAsia="Arial" w:hAnsi="Arial"/>
          <w:sz w:val="19"/>
          <w:szCs w:val="19"/>
          <w:color w:val="auto"/>
          <w:vertAlign w:val="superscript"/>
        </w:rPr>
      </w:pPr>
      <w:r>
        <w:rPr>
          <w:rFonts w:ascii="Arial" w:cs="Arial" w:eastAsia="Arial" w:hAnsi="Arial"/>
          <w:sz w:val="13"/>
          <w:szCs w:val="13"/>
          <w:color w:val="auto"/>
        </w:rPr>
        <w:t>Not less than $25,000,000 or Dollar Equivalent thereof.</w:t>
      </w:r>
    </w:p>
    <w:p>
      <w:pPr>
        <w:spacing w:after="0" w:line="113" w:lineRule="exact"/>
        <w:rPr>
          <w:sz w:val="20"/>
          <w:szCs w:val="20"/>
          <w:color w:val="auto"/>
        </w:rPr>
      </w:pPr>
    </w:p>
    <w:p>
      <w:pPr>
        <w:ind w:left="100" w:hanging="91"/>
        <w:spacing w:after="0"/>
        <w:tabs>
          <w:tab w:leader="none" w:pos="100" w:val="left"/>
        </w:tabs>
        <w:numPr>
          <w:ilvl w:val="0"/>
          <w:numId w:val="128"/>
        </w:numPr>
        <w:rPr>
          <w:rFonts w:ascii="Arial" w:cs="Arial" w:eastAsia="Arial" w:hAnsi="Arial"/>
          <w:sz w:val="21"/>
          <w:szCs w:val="21"/>
          <w:color w:val="auto"/>
          <w:vertAlign w:val="superscript"/>
        </w:rPr>
      </w:pPr>
      <w:r>
        <w:rPr>
          <w:rFonts w:ascii="Arial" w:cs="Arial" w:eastAsia="Arial" w:hAnsi="Arial"/>
          <w:sz w:val="15"/>
          <w:szCs w:val="15"/>
          <w:color w:val="auto"/>
        </w:rPr>
        <w:t>Eurocurrency Competitive Loan or Fixed Rate Loan.</w:t>
      </w:r>
    </w:p>
    <w:p>
      <w:pPr>
        <w:spacing w:after="0" w:line="136" w:lineRule="exact"/>
        <w:rPr>
          <w:sz w:val="20"/>
          <w:szCs w:val="20"/>
          <w:color w:val="auto"/>
        </w:rPr>
      </w:pPr>
    </w:p>
    <w:p>
      <w:pPr>
        <w:ind w:left="80" w:hanging="71"/>
        <w:spacing w:after="0"/>
        <w:tabs>
          <w:tab w:leader="none" w:pos="80" w:val="left"/>
        </w:tabs>
        <w:numPr>
          <w:ilvl w:val="0"/>
          <w:numId w:val="129"/>
        </w:numPr>
        <w:rPr>
          <w:rFonts w:ascii="Arial" w:cs="Arial" w:eastAsia="Arial" w:hAnsi="Arial"/>
          <w:sz w:val="19"/>
          <w:szCs w:val="19"/>
          <w:color w:val="auto"/>
          <w:vertAlign w:val="superscript"/>
        </w:rPr>
      </w:pPr>
      <w:r>
        <w:rPr>
          <w:rFonts w:ascii="Arial" w:cs="Arial" w:eastAsia="Arial" w:hAnsi="Arial"/>
          <w:sz w:val="13"/>
          <w:szCs w:val="13"/>
          <w:color w:val="auto"/>
        </w:rPr>
        <w:t>Which shall be subject to the definition of “Interest Period” and end on or before the Termination Date applicable to such Facility for such Lender.</w:t>
      </w:r>
    </w:p>
    <w:p>
      <w:pPr>
        <w:spacing w:after="0" w:line="365"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380"/>
          </w:cols>
          <w:pgMar w:left="220" w:top="610" w:right="299" w:bottom="1440" w:gutter="0" w:footer="0" w:header="0"/>
        </w:sectPr>
      </w:pPr>
    </w:p>
    <w:bookmarkStart w:id="148" w:name="page149"/>
    <w:bookmarkEnd w:id="148"/>
    <w:p>
      <w:pPr>
        <w:jc w:val="center"/>
        <w:ind w:left="9240"/>
        <w:spacing w:after="0"/>
        <w:rPr>
          <w:sz w:val="20"/>
          <w:szCs w:val="20"/>
          <w:color w:val="auto"/>
        </w:rPr>
      </w:pPr>
      <w:r>
        <w:rPr>
          <w:rFonts w:ascii="Arial" w:cs="Arial" w:eastAsia="Arial" w:hAnsi="Arial"/>
          <w:sz w:val="18"/>
          <w:szCs w:val="18"/>
          <w:b w:val="1"/>
          <w:bCs w:val="1"/>
          <w:color w:val="auto"/>
        </w:rPr>
        <w:t>EXHIBIT D</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 North America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Emily.cousineau@jpmorgan.com</w:t>
      </w:r>
    </w:p>
    <w:p>
      <w:pPr>
        <w:spacing w:after="0" w:line="3" w:lineRule="exact"/>
        <w:rPr>
          <w:sz w:val="20"/>
          <w:szCs w:val="20"/>
          <w:color w:val="auto"/>
        </w:rPr>
      </w:pPr>
    </w:p>
    <w:p>
      <w:pPr>
        <w:ind w:right="9500" w:firstLine="9"/>
        <w:spacing w:after="0" w:line="274" w:lineRule="auto"/>
        <w:tabs>
          <w:tab w:leader="none" w:pos="42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634-8612 (telephone) Attn: Emily Cousineau</w:t>
      </w:r>
    </w:p>
    <w:p>
      <w:pPr>
        <w:spacing w:after="0" w:line="1" w:lineRule="exact"/>
        <w:rPr>
          <w:sz w:val="20"/>
          <w:szCs w:val="20"/>
          <w:color w:val="auto"/>
        </w:rPr>
      </w:pPr>
    </w:p>
    <w:p>
      <w:pPr>
        <w:ind w:left="10220"/>
        <w:spacing w:after="0"/>
        <w:rPr>
          <w:sz w:val="20"/>
          <w:szCs w:val="20"/>
          <w:color w:val="auto"/>
        </w:rPr>
      </w:pPr>
      <w:r>
        <w:rPr>
          <w:rFonts w:ascii="Arial" w:cs="Arial" w:eastAsia="Arial" w:hAnsi="Arial"/>
          <w:sz w:val="14"/>
          <w:szCs w:val="14"/>
          <w:color w:val="auto"/>
        </w:rPr>
        <w:t>_________, 20__</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36" w:lineRule="exact"/>
        <w:rPr>
          <w:sz w:val="20"/>
          <w:szCs w:val="20"/>
          <w:color w:val="auto"/>
        </w:rPr>
      </w:pPr>
    </w:p>
    <w:p>
      <w:pPr>
        <w:ind w:right="40" w:firstLine="1063"/>
        <w:spacing w:after="0" w:line="280" w:lineRule="auto"/>
        <w:rPr>
          <w:sz w:val="20"/>
          <w:szCs w:val="20"/>
          <w:color w:val="auto"/>
        </w:rPr>
      </w:pPr>
      <w:r>
        <w:rPr>
          <w:rFonts w:ascii="Arial" w:cs="Arial" w:eastAsia="Arial" w:hAnsi="Arial"/>
          <w:sz w:val="16"/>
          <w:szCs w:val="16"/>
          <w:color w:val="auto"/>
        </w:rPr>
        <w:t>The undersigned, [Name of Lender], refers to the Amended and Restated Three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party thereto. Capitalized terms used herein and not otherwise defined herein shall have the meanings assigned to such terms in the Credit Agreement. The undersigned hereby makes a Competitive Bid pursuant to Section 2.12(c) of the Credit Agreement, in response to the Competitive Bid Request made by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on _________, 20__, and in that connection sets forth below the terms on which such Competitive Bid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460" w:right="219" w:bottom="1440" w:gutter="0" w:footer="0" w:header="0"/>
        </w:sectPr>
      </w:pPr>
    </w:p>
    <w:bookmarkStart w:id="149" w:name="page150"/>
    <w:bookmarkEnd w:id="149"/>
    <w:p>
      <w:pPr>
        <w:ind w:left="40"/>
        <w:spacing w:after="0"/>
        <w:tabs>
          <w:tab w:leader="none" w:pos="820" w:val="left"/>
          <w:tab w:leader="none" w:pos="112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Currency of Competitive Loan</w:t>
      </w:r>
      <w:r>
        <w:rPr>
          <w:sz w:val="20"/>
          <w:szCs w:val="20"/>
          <w:color w:val="auto"/>
        </w:rPr>
        <w:tab/>
      </w:r>
      <w:r>
        <w:rPr>
          <w:rFonts w:ascii="Arial" w:cs="Arial" w:eastAsia="Arial" w:hAnsi="Arial"/>
          <w:sz w:val="15"/>
          <w:szCs w:val="15"/>
          <w:u w:val="single" w:color="auto"/>
          <w:color w:val="auto"/>
        </w:rPr>
        <w:t xml:space="preserve">] </w:t>
      </w:r>
      <w:r>
        <w:rPr>
          <w:rFonts w:ascii="Arial" w:cs="Arial" w:eastAsia="Arial" w:hAnsi="Arial"/>
          <w:sz w:val="19"/>
          <w:szCs w:val="1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12700</wp:posOffset>
            </wp:positionV>
            <wp:extent cx="22574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57425" cy="6985"/>
                    </a:xfrm>
                    <a:prstGeom prst="rect">
                      <a:avLst/>
                    </a:prstGeom>
                    <a:noFill/>
                  </pic:spPr>
                </pic:pic>
              </a:graphicData>
            </a:graphic>
          </wp:anchor>
        </w:drawing>
      </w:r>
    </w:p>
    <w:p>
      <w:pPr>
        <w:spacing w:after="0" w:line="19" w:lineRule="exact"/>
        <w:rPr>
          <w:sz w:val="20"/>
          <w:szCs w:val="20"/>
          <w:color w:val="auto"/>
        </w:rPr>
      </w:pPr>
    </w:p>
    <w:p>
      <w:pPr>
        <w:ind w:left="840" w:hanging="809"/>
        <w:spacing w:after="0"/>
        <w:tabs>
          <w:tab w:leader="none" w:pos="8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Date of Competitive Loan</w:t>
      </w:r>
    </w:p>
    <w:p>
      <w:pPr>
        <w:spacing w:after="0" w:line="15" w:lineRule="exact"/>
        <w:rPr>
          <w:rFonts w:ascii="Arial" w:cs="Arial" w:eastAsia="Arial" w:hAnsi="Arial"/>
          <w:sz w:val="18"/>
          <w:szCs w:val="18"/>
          <w:color w:val="auto"/>
        </w:rPr>
      </w:pPr>
    </w:p>
    <w:p>
      <w:pPr>
        <w:ind w:left="840" w:hanging="809"/>
        <w:spacing w:after="0"/>
        <w:tabs>
          <w:tab w:leader="none" w:pos="8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Principal Amount</w:t>
      </w:r>
      <w:r>
        <w:rPr>
          <w:rFonts w:ascii="Arial" w:cs="Arial" w:eastAsia="Arial" w:hAnsi="Arial"/>
          <w:sz w:val="23"/>
          <w:szCs w:val="23"/>
          <w:color w:val="auto"/>
          <w:vertAlign w:val="superscript"/>
        </w:rPr>
        <w:t>8</w:t>
      </w:r>
    </w:p>
    <w:p>
      <w:pPr>
        <w:ind w:left="840" w:hanging="809"/>
        <w:spacing w:after="0" w:line="221" w:lineRule="auto"/>
        <w:tabs>
          <w:tab w:leader="none" w:pos="8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Competitive Bid Rate</w:t>
      </w:r>
      <w:r>
        <w:rPr>
          <w:rFonts w:ascii="Arial" w:cs="Arial" w:eastAsia="Arial" w:hAnsi="Arial"/>
          <w:sz w:val="23"/>
          <w:szCs w:val="23"/>
          <w:color w:val="auto"/>
          <w:vertAlign w:val="superscript"/>
        </w:rPr>
        <w:t>9</w:t>
      </w:r>
    </w:p>
    <w:p>
      <w:pPr>
        <w:ind w:left="840" w:hanging="809"/>
        <w:spacing w:after="0"/>
        <w:tabs>
          <w:tab w:leader="none" w:pos="8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Interest Period and the last day thereof</w:t>
      </w:r>
    </w:p>
    <w:p>
      <w:pPr>
        <w:spacing w:after="0" w:line="22" w:lineRule="exact"/>
        <w:rPr>
          <w:rFonts w:ascii="Arial" w:cs="Arial" w:eastAsia="Arial" w:hAnsi="Arial"/>
          <w:sz w:val="18"/>
          <w:szCs w:val="18"/>
          <w:color w:val="auto"/>
        </w:rPr>
      </w:pPr>
    </w:p>
    <w:p>
      <w:pPr>
        <w:ind w:left="840" w:hanging="809"/>
        <w:spacing w:after="0"/>
        <w:tabs>
          <w:tab w:leader="none" w:pos="8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19685</wp:posOffset>
            </wp:positionV>
            <wp:extent cx="22574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57425" cy="698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-133985</wp:posOffset>
            </wp:positionV>
            <wp:extent cx="22574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57425" cy="698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-288925</wp:posOffset>
            </wp:positionV>
            <wp:extent cx="22574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57425" cy="698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-443865</wp:posOffset>
            </wp:positionV>
            <wp:extent cx="22574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57425" cy="698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-598170</wp:posOffset>
            </wp:positionV>
            <wp:extent cx="22574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57425" cy="6985"/>
                    </a:xfrm>
                    <a:prstGeom prst="rect">
                      <a:avLst/>
                    </a:prstGeom>
                    <a:noFill/>
                  </pic:spPr>
                </pic:pic>
              </a:graphicData>
            </a:graphic>
          </wp:anchor>
        </w:drawing>
      </w:r>
    </w:p>
    <w:p>
      <w:pPr>
        <w:spacing w:after="0" w:line="371" w:lineRule="exact"/>
        <w:rPr>
          <w:sz w:val="20"/>
          <w:szCs w:val="20"/>
          <w:color w:val="auto"/>
        </w:rPr>
      </w:pPr>
    </w:p>
    <w:p>
      <w:pPr>
        <w:ind w:right="580" w:firstLine="532"/>
        <w:spacing w:after="0" w:line="293" w:lineRule="auto"/>
        <w:rPr>
          <w:sz w:val="20"/>
          <w:szCs w:val="20"/>
          <w:color w:val="auto"/>
        </w:rPr>
      </w:pPr>
      <w:r>
        <w:rPr>
          <w:rFonts w:ascii="Arial" w:cs="Arial" w:eastAsia="Arial" w:hAnsi="Arial"/>
          <w:sz w:val="17"/>
          <w:szCs w:val="17"/>
          <w:color w:val="auto"/>
        </w:rPr>
        <w:t>The undersigned hereby confirms that it is prepared, subject to the conditions set forth in the Credit Agreement, to extend credit to the Applicable Borrower upon acceptance by the Applicable Borrower of this bid in accordance with Section 2.12(c) of the Credit Agreement.</w:t>
      </w:r>
    </w:p>
    <w:p>
      <w:pPr>
        <w:spacing w:after="0" w:line="200" w:lineRule="exact"/>
        <w:rPr>
          <w:sz w:val="20"/>
          <w:szCs w:val="20"/>
          <w:color w:val="auto"/>
        </w:rPr>
      </w:pPr>
    </w:p>
    <w:p>
      <w:pPr>
        <w:spacing w:after="0" w:line="34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Very truly yours,</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OF LENDER]</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By:__________________________</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45" w:lineRule="exact"/>
        <w:rPr>
          <w:sz w:val="20"/>
          <w:szCs w:val="20"/>
          <w:color w:val="auto"/>
        </w:rPr>
      </w:pPr>
    </w:p>
    <w:p>
      <w:pPr>
        <w:ind w:left="80" w:hanging="71"/>
        <w:spacing w:after="0"/>
        <w:tabs>
          <w:tab w:leader="none" w:pos="80" w:val="left"/>
        </w:tabs>
        <w:numPr>
          <w:ilvl w:val="0"/>
          <w:numId w:val="132"/>
        </w:numPr>
        <w:rPr>
          <w:rFonts w:ascii="Arial" w:cs="Arial" w:eastAsia="Arial" w:hAnsi="Arial"/>
          <w:sz w:val="19"/>
          <w:szCs w:val="19"/>
          <w:color w:val="auto"/>
          <w:vertAlign w:val="superscript"/>
        </w:rPr>
      </w:pPr>
      <w:r>
        <w:rPr>
          <w:rFonts w:ascii="Arial" w:cs="Arial" w:eastAsia="Arial" w:hAnsi="Arial"/>
          <w:sz w:val="13"/>
          <w:szCs w:val="13"/>
          <w:color w:val="auto"/>
        </w:rPr>
        <w:t>In the case of Multicurrency Competitive Loan only.</w:t>
      </w:r>
    </w:p>
    <w:p>
      <w:pPr>
        <w:spacing w:after="0" w:line="178" w:lineRule="exact"/>
        <w:rPr>
          <w:sz w:val="20"/>
          <w:szCs w:val="20"/>
          <w:color w:val="auto"/>
        </w:rPr>
      </w:pPr>
    </w:p>
    <w:p>
      <w:pPr>
        <w:ind w:right="160" w:firstLine="9"/>
        <w:spacing w:after="0" w:line="217" w:lineRule="auto"/>
        <w:tabs>
          <w:tab w:leader="none" w:pos="92" w:val="left"/>
        </w:tabs>
        <w:numPr>
          <w:ilvl w:val="0"/>
          <w:numId w:val="133"/>
        </w:numPr>
        <w:rPr>
          <w:rFonts w:ascii="Arial" w:cs="Arial" w:eastAsia="Arial" w:hAnsi="Arial"/>
          <w:sz w:val="21"/>
          <w:szCs w:val="21"/>
          <w:color w:val="auto"/>
          <w:vertAlign w:val="superscript"/>
        </w:rPr>
      </w:pPr>
      <w:r>
        <w:rPr>
          <w:rFonts w:ascii="Arial" w:cs="Arial" w:eastAsia="Arial" w:hAnsi="Arial"/>
          <w:sz w:val="15"/>
          <w:szCs w:val="15"/>
          <w:color w:val="auto"/>
        </w:rPr>
        <w:t>Not less than $5,000,000 or the Dollar Equivalent thereof (or greater than the requested Competitive Bid). Multiple bids will be accepted by the Administrative Agent (including up to 5 bids from any single Lender).</w:t>
      </w:r>
    </w:p>
    <w:p>
      <w:pPr>
        <w:spacing w:after="0" w:line="179" w:lineRule="exact"/>
        <w:rPr>
          <w:sz w:val="20"/>
          <w:szCs w:val="20"/>
          <w:color w:val="auto"/>
        </w:rPr>
      </w:pPr>
    </w:p>
    <w:p>
      <w:pPr>
        <w:ind w:right="360" w:firstLine="9"/>
        <w:spacing w:after="0" w:line="217" w:lineRule="auto"/>
        <w:tabs>
          <w:tab w:leader="none" w:pos="92" w:val="left"/>
        </w:tabs>
        <w:numPr>
          <w:ilvl w:val="0"/>
          <w:numId w:val="134"/>
        </w:numPr>
        <w:rPr>
          <w:rFonts w:ascii="Arial" w:cs="Arial" w:eastAsia="Arial" w:hAnsi="Arial"/>
          <w:sz w:val="21"/>
          <w:szCs w:val="21"/>
          <w:color w:val="auto"/>
          <w:vertAlign w:val="superscript"/>
        </w:rPr>
      </w:pPr>
      <w:r>
        <w:rPr>
          <w:rFonts w:ascii="Arial" w:cs="Arial" w:eastAsia="Arial" w:hAnsi="Arial"/>
          <w:sz w:val="15"/>
          <w:szCs w:val="15"/>
          <w:i w:val="1"/>
          <w:iCs w:val="1"/>
          <w:color w:val="auto"/>
        </w:rPr>
        <w:t>i.e.</w:t>
      </w:r>
      <w:r>
        <w:rPr>
          <w:rFonts w:ascii="Arial" w:cs="Arial" w:eastAsia="Arial" w:hAnsi="Arial"/>
          <w:sz w:val="15"/>
          <w:szCs w:val="15"/>
          <w:color w:val="auto"/>
        </w:rPr>
        <w:t>, Eurocurrency Rate + or - __%, in the case of Eurocurrency Competitive Loans or __%, in the case of Fixed Rate Loans, in each expressed as a percentage per annum in the form of a</w:t>
      </w:r>
      <w:r>
        <w:rPr>
          <w:rFonts w:ascii="Arial" w:cs="Arial" w:eastAsia="Arial" w:hAnsi="Arial"/>
          <w:sz w:val="15"/>
          <w:szCs w:val="15"/>
          <w:i w:val="1"/>
          <w:iCs w:val="1"/>
          <w:color w:val="auto"/>
        </w:rPr>
        <w:t xml:space="preserve"> </w:t>
      </w:r>
      <w:r>
        <w:rPr>
          <w:rFonts w:ascii="Arial" w:cs="Arial" w:eastAsia="Arial" w:hAnsi="Arial"/>
          <w:sz w:val="15"/>
          <w:szCs w:val="15"/>
          <w:color w:val="auto"/>
        </w:rPr>
        <w:t>decimal to no more than four decimal places.</w:t>
      </w:r>
    </w:p>
    <w:p>
      <w:pPr>
        <w:spacing w:after="0" w:line="36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40"/>
          </w:cols>
          <w:pgMar w:left="220" w:top="433" w:right="239" w:bottom="1440" w:gutter="0" w:footer="0" w:header="0"/>
        </w:sectPr>
      </w:pPr>
    </w:p>
    <w:bookmarkStart w:id="150" w:name="page151"/>
    <w:bookmarkEnd w:id="150"/>
    <w:p>
      <w:pPr>
        <w:jc w:val="center"/>
        <w:ind w:left="9240"/>
        <w:spacing w:after="0"/>
        <w:rPr>
          <w:sz w:val="20"/>
          <w:szCs w:val="20"/>
          <w:color w:val="auto"/>
        </w:rPr>
      </w:pPr>
      <w:r>
        <w:rPr>
          <w:rFonts w:ascii="Arial" w:cs="Arial" w:eastAsia="Arial" w:hAnsi="Arial"/>
          <w:sz w:val="18"/>
          <w:szCs w:val="18"/>
          <w:b w:val="1"/>
          <w:bCs w:val="1"/>
          <w:color w:val="auto"/>
        </w:rPr>
        <w:t>EXHIBIT E</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1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 North America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Emily.cousineau@jpmorgan.com</w:t>
      </w:r>
    </w:p>
    <w:p>
      <w:pPr>
        <w:spacing w:after="0" w:line="3" w:lineRule="exact"/>
        <w:rPr>
          <w:sz w:val="20"/>
          <w:szCs w:val="20"/>
          <w:color w:val="auto"/>
        </w:rPr>
      </w:pPr>
    </w:p>
    <w:p>
      <w:pPr>
        <w:ind w:right="9500" w:firstLine="9"/>
        <w:spacing w:after="0" w:line="274" w:lineRule="auto"/>
        <w:tabs>
          <w:tab w:leader="none" w:pos="42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634-8612 (telephone) Attn: Emily Cousineau</w:t>
      </w:r>
    </w:p>
    <w:p>
      <w:pPr>
        <w:spacing w:after="0" w:line="1" w:lineRule="exact"/>
        <w:rPr>
          <w:sz w:val="20"/>
          <w:szCs w:val="20"/>
          <w:color w:val="auto"/>
        </w:rPr>
      </w:pPr>
    </w:p>
    <w:p>
      <w:pPr>
        <w:ind w:left="10220"/>
        <w:spacing w:after="0"/>
        <w:rPr>
          <w:sz w:val="20"/>
          <w:szCs w:val="20"/>
          <w:color w:val="auto"/>
        </w:rPr>
      </w:pPr>
      <w:r>
        <w:rPr>
          <w:rFonts w:ascii="Arial" w:cs="Arial" w:eastAsia="Arial" w:hAnsi="Arial"/>
          <w:sz w:val="14"/>
          <w:szCs w:val="14"/>
          <w:color w:val="auto"/>
        </w:rPr>
        <w:t>_________, 20__</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14" w:lineRule="exact"/>
        <w:rPr>
          <w:sz w:val="20"/>
          <w:szCs w:val="20"/>
          <w:color w:val="auto"/>
        </w:rPr>
      </w:pPr>
    </w:p>
    <w:p>
      <w:pPr>
        <w:ind w:right="40" w:firstLine="1063"/>
        <w:spacing w:after="0" w:line="242"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xml:space="preserve">”) [and General Motors Company, a Delaware corporation (the “Company/Applicable Borrower”)] </w:t>
      </w:r>
      <w:r>
        <w:rPr>
          <w:rFonts w:ascii="Arial" w:cs="Arial" w:eastAsia="Arial" w:hAnsi="Arial"/>
          <w:sz w:val="22"/>
          <w:szCs w:val="22"/>
          <w:color w:val="auto"/>
          <w:vertAlign w:val="superscript"/>
        </w:rPr>
        <w:t>10</w:t>
      </w:r>
      <w:r>
        <w:rPr>
          <w:rFonts w:ascii="Arial" w:cs="Arial" w:eastAsia="Arial" w:hAnsi="Arial"/>
          <w:sz w:val="17"/>
          <w:szCs w:val="17"/>
          <w:color w:val="auto"/>
        </w:rPr>
        <w:t>, refer[s] to the Amended and Restated Three Year Revolving Credit Agreement, dated as of October 17, 2014,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[Company/Applicable Borrower]</w:t>
      </w:r>
      <w:r>
        <w:rPr>
          <w:rFonts w:ascii="Arial" w:cs="Arial" w:eastAsia="Arial" w:hAnsi="Arial"/>
          <w:sz w:val="22"/>
          <w:szCs w:val="22"/>
          <w:color w:val="auto"/>
          <w:vertAlign w:val="superscript"/>
        </w:rPr>
        <w:t>11</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named therein. Unless otherwise defined herein, terms defined in the Credit Agreement and used herein shall have the meanings given to them therein.</w:t>
      </w:r>
    </w:p>
    <w:p>
      <w:pPr>
        <w:spacing w:after="0" w:line="168" w:lineRule="exact"/>
        <w:rPr>
          <w:sz w:val="20"/>
          <w:szCs w:val="20"/>
          <w:color w:val="auto"/>
        </w:rPr>
      </w:pPr>
    </w:p>
    <w:p>
      <w:pPr>
        <w:ind w:right="600" w:firstLine="1063"/>
        <w:spacing w:after="0" w:line="326" w:lineRule="auto"/>
        <w:rPr>
          <w:sz w:val="20"/>
          <w:szCs w:val="20"/>
          <w:color w:val="auto"/>
        </w:rPr>
      </w:pPr>
      <w:r>
        <w:rPr>
          <w:rFonts w:ascii="Arial" w:cs="Arial" w:eastAsia="Arial" w:hAnsi="Arial"/>
          <w:sz w:val="16"/>
          <w:szCs w:val="16"/>
          <w:color w:val="auto"/>
        </w:rPr>
        <w:t>In accordance with Section 2.12(d) of the Credit Agreement, we have received a summary of bids in connection with our Competitive Bid Request dated _________, 20__ and in accordance with Section 2.12(e) of the Credit Agreement, we hereby accept the following bids: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w:t>
      </w:r>
    </w:p>
    <w:p>
      <w:pPr>
        <w:spacing w:after="0" w:line="209" w:lineRule="exact"/>
        <w:rPr>
          <w:sz w:val="20"/>
          <w:szCs w:val="20"/>
          <w:color w:val="auto"/>
        </w:rPr>
      </w:pPr>
    </w:p>
    <w:p>
      <w:pPr>
        <w:ind w:left="140" w:hanging="131"/>
        <w:spacing w:after="0"/>
        <w:tabs>
          <w:tab w:leader="none" w:pos="140" w:val="left"/>
        </w:tabs>
        <w:numPr>
          <w:ilvl w:val="0"/>
          <w:numId w:val="136"/>
        </w:numPr>
        <w:rPr>
          <w:rFonts w:ascii="Arial" w:cs="Arial" w:eastAsia="Arial" w:hAnsi="Arial"/>
          <w:sz w:val="16"/>
          <w:szCs w:val="16"/>
          <w:color w:val="auto"/>
          <w:vertAlign w:val="superscript"/>
        </w:rPr>
      </w:pPr>
      <w:r>
        <w:rPr>
          <w:rFonts w:ascii="Arial" w:cs="Arial" w:eastAsia="Arial" w:hAnsi="Arial"/>
          <w:sz w:val="12"/>
          <w:szCs w:val="12"/>
          <w:color w:val="auto"/>
        </w:rPr>
        <w:t>Insert if the Company is not the Applicable Borrower.</w:t>
      </w:r>
    </w:p>
    <w:p>
      <w:pPr>
        <w:spacing w:after="0" w:line="170" w:lineRule="exact"/>
        <w:rPr>
          <w:rFonts w:ascii="Arial" w:cs="Arial" w:eastAsia="Arial" w:hAnsi="Arial"/>
          <w:sz w:val="16"/>
          <w:szCs w:val="16"/>
          <w:color w:val="auto"/>
          <w:vertAlign w:val="superscript"/>
        </w:rPr>
      </w:pPr>
    </w:p>
    <w:p>
      <w:pPr>
        <w:ind w:left="140" w:hanging="131"/>
        <w:spacing w:after="0"/>
        <w:tabs>
          <w:tab w:leader="none" w:pos="140" w:val="left"/>
        </w:tabs>
        <w:numPr>
          <w:ilvl w:val="0"/>
          <w:numId w:val="136"/>
        </w:numPr>
        <w:rPr>
          <w:rFonts w:ascii="Arial" w:cs="Arial" w:eastAsia="Arial" w:hAnsi="Arial"/>
          <w:sz w:val="16"/>
          <w:szCs w:val="16"/>
          <w:color w:val="auto"/>
          <w:vertAlign w:val="superscript"/>
        </w:rPr>
      </w:pPr>
      <w:r>
        <w:rPr>
          <w:rFonts w:ascii="Arial" w:cs="Arial" w:eastAsia="Arial" w:hAnsi="Arial"/>
          <w:sz w:val="12"/>
          <w:szCs w:val="12"/>
          <w:color w:val="auto"/>
        </w:rPr>
        <w:t>If Bid Requested by the Company, it is the “Applicable Borrower”.</w:t>
      </w:r>
    </w:p>
    <w:p>
      <w:pPr>
        <w:spacing w:after="0" w:line="192"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814" w:right="2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auto"/>
        </w:rPr>
        <w:t>Borrowing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hereby reject the following bids: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 should be made available to the Applicable Borrower in immediately available funds by crediting the following account:</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[Bank Name]</w:t>
      </w:r>
    </w:p>
    <w:p>
      <w:pPr>
        <w:spacing w:after="0" w:line="17"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8"/>
          <w:szCs w:val="18"/>
          <w:color w:val="auto"/>
        </w:rPr>
        <w:t>ABA #:</w:t>
      </w:r>
      <w:r>
        <w:rPr>
          <w:sz w:val="20"/>
          <w:szCs w:val="20"/>
          <w:color w:val="auto"/>
        </w:rPr>
        <w:tab/>
      </w:r>
      <w:r>
        <w:rPr>
          <w:rFonts w:ascii="Arial" w:cs="Arial" w:eastAsia="Arial" w:hAnsi="Arial"/>
          <w:sz w:val="14"/>
          <w:szCs w:val="14"/>
          <w:color w:val="auto"/>
        </w:rPr>
        <w:t>_________________________</w:t>
      </w:r>
    </w:p>
    <w:p>
      <w:pPr>
        <w:spacing w:after="0" w:line="3" w:lineRule="exact"/>
        <w:rPr>
          <w:sz w:val="20"/>
          <w:szCs w:val="20"/>
          <w:color w:val="auto"/>
        </w:rPr>
      </w:pPr>
    </w:p>
    <w:p>
      <w:pPr>
        <w:ind w:left="540"/>
        <w:spacing w:after="0"/>
        <w:tabs>
          <w:tab w:leader="none" w:pos="1480" w:val="left"/>
        </w:tabs>
        <w:rPr>
          <w:sz w:val="20"/>
          <w:szCs w:val="20"/>
          <w:color w:val="auto"/>
        </w:rPr>
      </w:pPr>
      <w:r>
        <w:rPr>
          <w:rFonts w:ascii="Arial" w:cs="Arial" w:eastAsia="Arial" w:hAnsi="Arial"/>
          <w:sz w:val="18"/>
          <w:szCs w:val="18"/>
          <w:color w:val="auto"/>
        </w:rPr>
        <w:t>Account #:</w:t>
      </w:r>
      <w:r>
        <w:rPr>
          <w:sz w:val="20"/>
          <w:szCs w:val="20"/>
          <w:color w:val="auto"/>
        </w:rPr>
        <w:tab/>
      </w:r>
      <w:r>
        <w:rPr>
          <w:rFonts w:ascii="Arial" w:cs="Arial" w:eastAsia="Arial" w:hAnsi="Arial"/>
          <w:sz w:val="14"/>
          <w:szCs w:val="14"/>
          <w:color w:val="auto"/>
        </w:rPr>
        <w:t>_________________________</w:t>
      </w:r>
    </w:p>
    <w:p>
      <w:pPr>
        <w:spacing w:after="0" w:line="3"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4"/>
          <w:szCs w:val="14"/>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Very truly yours,</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[INSERT NAME OF APPLICABLE BORROWER]</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By:____________________________________</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[GENERAL MOTORS COMPANY]</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By:_________________________________</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w:t>
      </w:r>
    </w:p>
    <w:p>
      <w:pPr>
        <w:spacing w:after="0" w:line="18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239"/>
          </w:cols>
          <w:pgMar w:left="220" w:top="522" w:right="1440" w:bottom="1440" w:gutter="0" w:footer="0" w:header="0"/>
        </w:sectPr>
      </w:pPr>
    </w:p>
    <w:bookmarkStart w:id="152" w:name="page153"/>
    <w:bookmarkEnd w:id="152"/>
    <w:p>
      <w:pPr>
        <w:jc w:val="center"/>
        <w:ind w:left="9220"/>
        <w:spacing w:after="0"/>
        <w:rPr>
          <w:sz w:val="20"/>
          <w:szCs w:val="20"/>
          <w:color w:val="auto"/>
        </w:rPr>
      </w:pPr>
      <w:r>
        <w:rPr>
          <w:rFonts w:ascii="Arial" w:cs="Arial" w:eastAsia="Arial" w:hAnsi="Arial"/>
          <w:sz w:val="18"/>
          <w:szCs w:val="18"/>
          <w:b w:val="1"/>
          <w:bCs w:val="1"/>
          <w:color w:val="auto"/>
        </w:rPr>
        <w:t>EXHIBIT F</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6"/>
          <w:szCs w:val="16"/>
          <w:b w:val="1"/>
          <w:bCs w:val="1"/>
          <w:color w:val="auto"/>
        </w:rPr>
        <w:t>Credit Agreement</w:t>
      </w:r>
    </w:p>
    <w:p>
      <w:pPr>
        <w:spacing w:after="0" w:line="200" w:lineRule="exact"/>
        <w:rPr>
          <w:sz w:val="20"/>
          <w:szCs w:val="20"/>
          <w:color w:val="auto"/>
        </w:rPr>
      </w:pPr>
    </w:p>
    <w:p>
      <w:pPr>
        <w:spacing w:after="0" w:line="24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020"/>
          </w:cols>
          <w:pgMar w:left="220" w:top="670" w:right="659" w:bottom="1440" w:gutter="0" w:footer="0" w:header="0"/>
        </w:sectPr>
      </w:pPr>
    </w:p>
    <w:bookmarkStart w:id="153" w:name="page154"/>
    <w:bookmarkEnd w:id="153"/>
    <w:p>
      <w:pPr>
        <w:jc w:val="center"/>
        <w:ind w:left="9240"/>
        <w:spacing w:after="0"/>
        <w:rPr>
          <w:sz w:val="20"/>
          <w:szCs w:val="20"/>
          <w:color w:val="auto"/>
        </w:rPr>
      </w:pPr>
      <w:r>
        <w:rPr>
          <w:rFonts w:ascii="Arial" w:cs="Arial" w:eastAsia="Arial" w:hAnsi="Arial"/>
          <w:sz w:val="18"/>
          <w:szCs w:val="18"/>
          <w:b w:val="1"/>
          <w:bCs w:val="1"/>
          <w:color w:val="auto"/>
        </w:rPr>
        <w:t>EXHIBIT G</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1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FORM OF INCREMENTAL LOAN ACTIVATION NOTICE</w:t>
      </w:r>
    </w:p>
    <w:p>
      <w:pPr>
        <w:spacing w:after="0" w:line="22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JPMorgan Chase Bank, N.A., as Administrative Agent</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under the Credit Agreement referred to below</w:t>
      </w:r>
    </w:p>
    <w:p>
      <w:pPr>
        <w:spacing w:after="0" w:line="200" w:lineRule="exact"/>
        <w:rPr>
          <w:sz w:val="20"/>
          <w:szCs w:val="20"/>
          <w:color w:val="auto"/>
        </w:rPr>
      </w:pPr>
    </w:p>
    <w:p>
      <w:pPr>
        <w:ind w:firstLine="532"/>
        <w:spacing w:after="0" w:line="264" w:lineRule="auto"/>
        <w:rPr>
          <w:sz w:val="20"/>
          <w:szCs w:val="20"/>
          <w:color w:val="auto"/>
        </w:rPr>
      </w:pPr>
      <w:r>
        <w:rPr>
          <w:rFonts w:ascii="Arial" w:cs="Arial" w:eastAsia="Arial" w:hAnsi="Arial"/>
          <w:sz w:val="17"/>
          <w:szCs w:val="17"/>
          <w:color w:val="auto"/>
        </w:rPr>
        <w:t>Reference is made to the Amended and Restated Three Year Revolving Credit Agreement, dated as of October 17, 2014,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party thereto. Unless otherwise defined herein, terms defined in the Credit Agreement and used herein shall have the meanings given to them in the Credit Agreement.</w:t>
      </w:r>
    </w:p>
    <w:p>
      <w:pPr>
        <w:spacing w:after="0" w:line="178" w:lineRule="exact"/>
        <w:rPr>
          <w:sz w:val="20"/>
          <w:szCs w:val="20"/>
          <w:color w:val="auto"/>
        </w:rPr>
      </w:pPr>
    </w:p>
    <w:p>
      <w:pPr>
        <w:ind w:right="80" w:firstLine="1063"/>
        <w:spacing w:after="0" w:line="263" w:lineRule="auto"/>
        <w:rPr>
          <w:sz w:val="20"/>
          <w:szCs w:val="20"/>
          <w:color w:val="auto"/>
        </w:rPr>
      </w:pPr>
      <w:r>
        <w:rPr>
          <w:rFonts w:ascii="Arial" w:cs="Arial" w:eastAsia="Arial" w:hAnsi="Arial"/>
          <w:sz w:val="18"/>
          <w:szCs w:val="18"/>
          <w:color w:val="auto"/>
        </w:rPr>
        <w:t>This notice is an Incremental Loan Activation Notice referred to in the Credit Agreement, and the Company and each of the lenders party hereto (each,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hereby notify you that:</w:t>
      </w:r>
    </w:p>
    <w:p>
      <w:pPr>
        <w:spacing w:after="0" w:line="178" w:lineRule="exact"/>
        <w:rPr>
          <w:sz w:val="20"/>
          <w:szCs w:val="20"/>
          <w:color w:val="auto"/>
        </w:rPr>
      </w:pPr>
    </w:p>
    <w:p>
      <w:pPr>
        <w:ind w:right="140" w:firstLine="1072"/>
        <w:spacing w:after="0" w:line="253" w:lineRule="auto"/>
        <w:tabs>
          <w:tab w:leader="none" w:pos="137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Incremental Lender party hereto agrees to commit to an Incremental Facility or increase the amount of its existing [Brazilian] [Domestic] [L/C Tranche] [Multicurrency] Commitment in the amount set forth opposite such Incremental Lender’s name on the signature pages hereof under the caption “Incremental Commitment”.</w:t>
      </w:r>
    </w:p>
    <w:p>
      <w:pPr>
        <w:spacing w:after="0" w:line="187" w:lineRule="exact"/>
        <w:rPr>
          <w:rFonts w:ascii="Arial" w:cs="Arial" w:eastAsia="Arial" w:hAnsi="Arial"/>
          <w:sz w:val="18"/>
          <w:szCs w:val="18"/>
          <w:color w:val="auto"/>
        </w:rPr>
      </w:pPr>
    </w:p>
    <w:p>
      <w:pPr>
        <w:ind w:left="1380" w:hanging="308"/>
        <w:spacing w:after="0"/>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[Incremental Facility Closing Date][Commitment Increase Date] is ___________________.</w:t>
      </w:r>
    </w:p>
    <w:p>
      <w:pPr>
        <w:spacing w:after="0" w:line="213" w:lineRule="exact"/>
        <w:rPr>
          <w:rFonts w:ascii="Arial" w:cs="Arial" w:eastAsia="Arial" w:hAnsi="Arial"/>
          <w:sz w:val="18"/>
          <w:szCs w:val="18"/>
          <w:color w:val="auto"/>
        </w:rPr>
      </w:pPr>
    </w:p>
    <w:p>
      <w:pPr>
        <w:ind w:left="1380" w:hanging="308"/>
        <w:spacing w:after="0"/>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Incremental Loan Maturity Date is _____________.</w:t>
      </w:r>
    </w:p>
    <w:p>
      <w:pPr>
        <w:spacing w:after="0" w:line="213" w:lineRule="exact"/>
        <w:rPr>
          <w:rFonts w:ascii="Arial" w:cs="Arial" w:eastAsia="Arial" w:hAnsi="Arial"/>
          <w:sz w:val="18"/>
          <w:szCs w:val="18"/>
          <w:color w:val="auto"/>
        </w:rPr>
      </w:pPr>
    </w:p>
    <w:p>
      <w:pPr>
        <w:ind w:left="1380" w:hanging="308"/>
        <w:spacing w:after="0"/>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[Currency] [Currencies] available under the Incremental Facility [is][are] _______________________.</w:t>
      </w:r>
    </w:p>
    <w:p>
      <w:pPr>
        <w:spacing w:after="0" w:line="213" w:lineRule="exact"/>
        <w:rPr>
          <w:rFonts w:ascii="Arial" w:cs="Arial" w:eastAsia="Arial" w:hAnsi="Arial"/>
          <w:sz w:val="18"/>
          <w:szCs w:val="18"/>
          <w:color w:val="auto"/>
        </w:rPr>
      </w:pPr>
    </w:p>
    <w:p>
      <w:pPr>
        <w:ind w:left="1380" w:hanging="308"/>
        <w:spacing w:after="0"/>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borrower[s] under the Incremental Facility [is][are] ____________.</w:t>
      </w:r>
    </w:p>
    <w:p>
      <w:pPr>
        <w:spacing w:after="0" w:line="213" w:lineRule="exact"/>
        <w:rPr>
          <w:rFonts w:ascii="Arial" w:cs="Arial" w:eastAsia="Arial" w:hAnsi="Arial"/>
          <w:sz w:val="18"/>
          <w:szCs w:val="18"/>
          <w:color w:val="auto"/>
        </w:rPr>
      </w:pPr>
    </w:p>
    <w:p>
      <w:pPr>
        <w:ind w:right="300" w:firstLine="1072"/>
        <w:spacing w:after="0" w:line="263" w:lineRule="auto"/>
        <w:tabs>
          <w:tab w:leader="none" w:pos="137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Applicable Margin and other fees applicable to the Incremental Loans and other extensions of credit to be made available under the Incremental Facility are:-______________________________________________________.]</w:t>
      </w:r>
    </w:p>
    <w:p>
      <w:pPr>
        <w:spacing w:after="0" w:line="177" w:lineRule="exact"/>
        <w:rPr>
          <w:rFonts w:ascii="Arial" w:cs="Arial" w:eastAsia="Arial" w:hAnsi="Arial"/>
          <w:sz w:val="18"/>
          <w:szCs w:val="18"/>
          <w:color w:val="auto"/>
        </w:rPr>
      </w:pPr>
    </w:p>
    <w:p>
      <w:pPr>
        <w:ind w:right="380" w:firstLine="1072"/>
        <w:spacing w:after="0" w:line="263" w:lineRule="auto"/>
        <w:tabs>
          <w:tab w:leader="none" w:pos="137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[Insert other additional terms applicable to the Incremental Facility, including the borrowing procedures related thereto (in each case, as agreed between the Company and the Incremental Lenders providing such Incremental Loans).]</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380"/>
          </w:cols>
          <w:pgMar w:left="220" w:top="460" w:right="299" w:bottom="1440" w:gutter="0" w:footer="0" w:header="0"/>
        </w:sectPr>
      </w:pPr>
    </w:p>
    <w:bookmarkStart w:id="154" w:name="page155"/>
    <w:bookmarkEnd w:id="154"/>
    <w:p>
      <w:pPr>
        <w:ind w:firstLine="1072"/>
        <w:spacing w:after="0" w:line="253" w:lineRule="auto"/>
        <w:tabs>
          <w:tab w:leader="none" w:pos="141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187" w:lineRule="exact"/>
        <w:rPr>
          <w:rFonts w:ascii="Arial" w:cs="Arial" w:eastAsia="Arial" w:hAnsi="Arial"/>
          <w:sz w:val="18"/>
          <w:szCs w:val="18"/>
          <w:color w:val="auto"/>
        </w:rPr>
      </w:pPr>
    </w:p>
    <w:p>
      <w:pPr>
        <w:ind w:left="1880" w:hanging="243"/>
        <w:spacing w:after="0"/>
        <w:tabs>
          <w:tab w:leader="none" w:pos="188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Administrative Agent shall have received this notice, executed and delivered by the Company and each Incremental Lender party</w:t>
      </w:r>
    </w:p>
    <w:p>
      <w:pPr>
        <w:spacing w:after="0" w:line="39"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00" w:lineRule="exact"/>
        <w:rPr>
          <w:rFonts w:ascii="Arial" w:cs="Arial" w:eastAsia="Arial" w:hAnsi="Arial"/>
          <w:sz w:val="16"/>
          <w:szCs w:val="16"/>
          <w:color w:val="auto"/>
        </w:rPr>
      </w:pPr>
    </w:p>
    <w:p>
      <w:pPr>
        <w:jc w:val="both"/>
        <w:ind w:left="560" w:right="280" w:firstLine="1077"/>
        <w:spacing w:after="0" w:line="266" w:lineRule="auto"/>
        <w:tabs>
          <w:tab w:leader="none" w:pos="1896"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(ii) the sum of the Total Commitments in effect (including, for the avoidance of doubt, Incremental Commitments), the 5-Year Total Commitments (including, for the avoidance of doubt, any commitments under incremental facilities under the 5-Year Revolving Credit Agreement in effect) and the aggregate amount of all Ancillary Commitments in effect shall not exceed $15.5 billion.</w:t>
      </w:r>
    </w:p>
    <w:p>
      <w:pPr>
        <w:spacing w:after="0" w:line="179" w:lineRule="exact"/>
        <w:rPr>
          <w:rFonts w:ascii="Arial" w:cs="Arial" w:eastAsia="Arial" w:hAnsi="Arial"/>
          <w:sz w:val="16"/>
          <w:szCs w:val="16"/>
          <w:color w:val="auto"/>
        </w:rPr>
      </w:pPr>
    </w:p>
    <w:p>
      <w:pPr>
        <w:ind w:right="160" w:firstLine="1072"/>
        <w:spacing w:after="0" w:line="263" w:lineRule="auto"/>
        <w:tabs>
          <w:tab w:leader="none" w:pos="137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45" w:lineRule="exact"/>
        <w:rPr>
          <w:sz w:val="20"/>
          <w:szCs w:val="20"/>
          <w:color w:val="auto"/>
        </w:rPr>
      </w:pPr>
    </w:p>
    <w:p>
      <w:pPr>
        <w:ind w:left="80" w:hanging="71"/>
        <w:spacing w:after="0"/>
        <w:tabs>
          <w:tab w:leader="none" w:pos="80" w:val="left"/>
        </w:tabs>
        <w:numPr>
          <w:ilvl w:val="0"/>
          <w:numId w:val="139"/>
        </w:numPr>
        <w:rPr>
          <w:rFonts w:ascii="Arial" w:cs="Arial" w:eastAsia="Arial" w:hAnsi="Arial"/>
          <w:sz w:val="19"/>
          <w:szCs w:val="19"/>
          <w:color w:val="auto"/>
          <w:vertAlign w:val="superscript"/>
        </w:rPr>
      </w:pPr>
      <w:r>
        <w:rPr>
          <w:rFonts w:ascii="Arial" w:cs="Arial" w:eastAsia="Arial" w:hAnsi="Arial"/>
          <w:sz w:val="13"/>
          <w:szCs w:val="13"/>
          <w:color w:val="auto"/>
        </w:rPr>
        <w:t>To be deleted if agreed by the Lenders providing such Incremental Facility.</w:t>
      </w:r>
    </w:p>
    <w:p>
      <w:pPr>
        <w:spacing w:after="0" w:line="18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20"/>
          </w:cols>
          <w:pgMar w:left="220" w:top="555" w:right="259" w:bottom="1440" w:gutter="0" w:footer="0" w:header="0"/>
        </w:sectPr>
      </w:pPr>
    </w:p>
    <w:bookmarkStart w:id="155" w:name="page156"/>
    <w:bookmarkEnd w:id="155"/>
    <w:p>
      <w:pPr>
        <w:ind w:left="3200"/>
        <w:spacing w:after="0"/>
        <w:rPr>
          <w:sz w:val="20"/>
          <w:szCs w:val="20"/>
          <w:color w:val="auto"/>
        </w:rPr>
      </w:pPr>
      <w:r>
        <w:rPr>
          <w:rFonts w:ascii="Arial" w:cs="Arial" w:eastAsia="Arial" w:hAnsi="Arial"/>
          <w:sz w:val="18"/>
          <w:szCs w:val="18"/>
          <w:color w:val="auto"/>
        </w:rPr>
        <w:t>GENERAL MOTORS COMPANY</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By:______________________________</w:t>
      </w:r>
    </w:p>
    <w:p>
      <w:pPr>
        <w:spacing w:after="0" w:line="4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159"/>
        <w:spacing w:after="0" w:line="251" w:lineRule="auto"/>
        <w:rPr>
          <w:sz w:val="20"/>
          <w:szCs w:val="20"/>
          <w:color w:val="auto"/>
        </w:rPr>
      </w:pPr>
      <w:r>
        <w:rPr>
          <w:rFonts w:ascii="Arial" w:cs="Arial" w:eastAsia="Arial" w:hAnsi="Arial"/>
          <w:sz w:val="18"/>
          <w:szCs w:val="18"/>
          <w:color w:val="auto"/>
        </w:rPr>
        <w:t>Incremental Loan Commitment [NAME OF EACH INCREMENTAL LENDER] $</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By:______________________________</w:t>
      </w:r>
    </w:p>
    <w:p>
      <w:pPr>
        <w:spacing w:after="0" w:line="2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RECEIVED BY: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239"/>
          </w:cols>
          <w:pgMar w:left="220" w:top="555" w:right="1440" w:bottom="1440" w:gutter="0" w:footer="0" w:header="0"/>
        </w:sectPr>
      </w:pPr>
    </w:p>
    <w:bookmarkStart w:id="156" w:name="page157"/>
    <w:bookmarkEnd w:id="156"/>
    <w:p>
      <w:pPr>
        <w:jc w:val="center"/>
        <w:ind w:left="9240"/>
        <w:spacing w:after="0"/>
        <w:rPr>
          <w:sz w:val="20"/>
          <w:szCs w:val="20"/>
          <w:color w:val="auto"/>
        </w:rPr>
      </w:pPr>
      <w:r>
        <w:rPr>
          <w:rFonts w:ascii="Arial" w:cs="Arial" w:eastAsia="Arial" w:hAnsi="Arial"/>
          <w:sz w:val="18"/>
          <w:szCs w:val="18"/>
          <w:b w:val="1"/>
          <w:bCs w:val="1"/>
          <w:color w:val="auto"/>
        </w:rPr>
        <w:t>EXHIBIT H</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CLOSING CERTIFICATE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LOAN PARTY]</w:t>
      </w:r>
    </w:p>
    <w:p>
      <w:pPr>
        <w:spacing w:after="0" w:line="378"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__________, 20__</w:t>
      </w:r>
    </w:p>
    <w:p>
      <w:pPr>
        <w:spacing w:after="0" w:line="200" w:lineRule="exact"/>
        <w:rPr>
          <w:sz w:val="20"/>
          <w:szCs w:val="20"/>
          <w:color w:val="auto"/>
        </w:rPr>
      </w:pPr>
    </w:p>
    <w:p>
      <w:pPr>
        <w:spacing w:after="0" w:line="292" w:lineRule="exact"/>
        <w:rPr>
          <w:sz w:val="20"/>
          <w:szCs w:val="20"/>
          <w:color w:val="auto"/>
        </w:rPr>
      </w:pPr>
    </w:p>
    <w:p>
      <w:pPr>
        <w:ind w:right="100" w:firstLine="532"/>
        <w:spacing w:after="0" w:line="278" w:lineRule="auto"/>
        <w:rPr>
          <w:sz w:val="20"/>
          <w:szCs w:val="20"/>
          <w:color w:val="auto"/>
        </w:rPr>
      </w:pPr>
      <w:r>
        <w:rPr>
          <w:rFonts w:ascii="Arial" w:cs="Arial" w:eastAsia="Arial" w:hAnsi="Arial"/>
          <w:sz w:val="16"/>
          <w:szCs w:val="16"/>
          <w:color w:val="auto"/>
        </w:rPr>
        <w:t xml:space="preserve">This Certificate is furnished pursuant to (i)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of that certain Amended and Restated Three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3-Year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Europe Treasury Company AB, a Swedish corporation, General Motors do Brasil Ltda., a Brazilian limited liability company (“</w:t>
      </w:r>
      <w:r>
        <w:rPr>
          <w:rFonts w:ascii="Arial" w:cs="Arial" w:eastAsia="Arial" w:hAnsi="Arial"/>
          <w:sz w:val="16"/>
          <w:szCs w:val="16"/>
          <w:u w:val="single" w:color="auto"/>
          <w:color w:val="auto"/>
        </w:rPr>
        <w:t>GM Brazil</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Banco do Brasil S.A., as Brazilian administrative agent, and the other agents party thereto and (ii) Section 5.1(d) of that certain Amended and Restated Five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5-Year Credit Agreement</w:t>
      </w:r>
      <w:r>
        <w:rPr>
          <w:rFonts w:ascii="Arial" w:cs="Arial" w:eastAsia="Arial" w:hAnsi="Arial"/>
          <w:sz w:val="16"/>
          <w:szCs w:val="16"/>
          <w:color w:val="auto"/>
        </w:rPr>
        <w:t>” and together with the 3-Year Credit Agreement, the “</w:t>
      </w:r>
      <w:r>
        <w:rPr>
          <w:rFonts w:ascii="Arial" w:cs="Arial" w:eastAsia="Arial" w:hAnsi="Arial"/>
          <w:sz w:val="16"/>
          <w:szCs w:val="16"/>
          <w:u w:val="single" w:color="auto"/>
          <w:color w:val="auto"/>
        </w:rPr>
        <w:t>Credit 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 Brazil, the Subsidiary Borrowers from time to time party thereto, the lenders from time to time party thereto, as lenders (the “</w:t>
      </w:r>
      <w:r>
        <w:rPr>
          <w:rFonts w:ascii="Arial" w:cs="Arial" w:eastAsia="Arial" w:hAnsi="Arial"/>
          <w:sz w:val="16"/>
          <w:szCs w:val="16"/>
          <w:u w:val="single" w:color="auto"/>
          <w:color w:val="auto"/>
        </w:rPr>
        <w:t>5-Year</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Lenders</w:t>
      </w:r>
      <w:r>
        <w:rPr>
          <w:rFonts w:ascii="Arial" w:cs="Arial" w:eastAsia="Arial" w:hAnsi="Arial"/>
          <w:sz w:val="16"/>
          <w:szCs w:val="16"/>
          <w:color w:val="auto"/>
        </w:rPr>
        <w:t>” and together with the 3-Year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administrative agent for the 5-Year Lenders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and together with the 3-Year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as Brazilian administrative agent, and the other agents party thereto. Unless otherwise defined herein, capitalized terms used in this Certificate have the meanings assigned to such terms in each Credit Agreement.</w:t>
      </w:r>
    </w:p>
    <w:p>
      <w:pPr>
        <w:spacing w:after="0" w:line="142" w:lineRule="exact"/>
        <w:rPr>
          <w:sz w:val="20"/>
          <w:szCs w:val="20"/>
          <w:color w:val="auto"/>
        </w:rPr>
      </w:pPr>
    </w:p>
    <w:p>
      <w:pPr>
        <w:ind w:firstLine="532"/>
        <w:spacing w:after="0" w:line="263" w:lineRule="auto"/>
        <w:rPr>
          <w:sz w:val="20"/>
          <w:szCs w:val="20"/>
          <w:color w:val="auto"/>
        </w:rPr>
      </w:pPr>
      <w:r>
        <w:rPr>
          <w:rFonts w:ascii="Arial" w:cs="Arial" w:eastAsia="Arial" w:hAnsi="Arial"/>
          <w:sz w:val="18"/>
          <w:szCs w:val="18"/>
          <w:color w:val="auto"/>
        </w:rPr>
        <w:t>I, the undersigned, [Assistant] Secretary of [the Company] [Name of Loan Party], a Delaware [corporation][limited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in the name and on behalf of the Company, and without assuming any personal liability, that:</w:t>
      </w:r>
    </w:p>
    <w:p>
      <w:pPr>
        <w:spacing w:after="0" w:line="144" w:lineRule="exact"/>
        <w:rPr>
          <w:sz w:val="20"/>
          <w:szCs w:val="20"/>
          <w:color w:val="auto"/>
        </w:rPr>
      </w:pPr>
    </w:p>
    <w:p>
      <w:pPr>
        <w:jc w:val="both"/>
        <w:ind w:firstLine="540"/>
        <w:spacing w:after="0" w:line="250" w:lineRule="auto"/>
        <w:tabs>
          <w:tab w:leader="none" w:pos="119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460" w:right="219" w:bottom="1440" w:gutter="0" w:footer="0" w:header="0"/>
        </w:sectPr>
      </w:pPr>
    </w:p>
    <w:bookmarkStart w:id="157" w:name="page158"/>
    <w:bookmarkEnd w:id="157"/>
    <w:p>
      <w:pPr>
        <w:ind w:firstLine="540"/>
        <w:spacing w:after="0" w:line="217" w:lineRule="exact"/>
        <w:tabs>
          <w:tab w:leader="none" w:pos="119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w:t>
      </w:r>
      <w:r>
        <w:rPr>
          <w:rFonts w:ascii="MS PGothic" w:cs="MS PGothic" w:eastAsia="MS PGothic" w:hAnsi="MS PGothic"/>
          <w:sz w:val="18"/>
          <w:szCs w:val="18"/>
          <w:color w:val="auto"/>
        </w:rPr>
        <w:t>‑</w:t>
      </w:r>
      <w:r>
        <w:rPr>
          <w:rFonts w:ascii="Arial" w:cs="Arial" w:eastAsia="Arial" w:hAnsi="Arial"/>
          <w:sz w:val="18"/>
          <w:szCs w:val="18"/>
          <w:color w:val="auto"/>
        </w:rPr>
        <w:t>laws][Limited Liability Company Agreement][Operating Agreement] of the Company as in effect on the date hereof.</w:t>
      </w:r>
    </w:p>
    <w:p>
      <w:pPr>
        <w:spacing w:after="0" w:line="198" w:lineRule="exact"/>
        <w:rPr>
          <w:rFonts w:ascii="Arial" w:cs="Arial" w:eastAsia="Arial" w:hAnsi="Arial"/>
          <w:sz w:val="18"/>
          <w:szCs w:val="18"/>
          <w:color w:val="auto"/>
        </w:rPr>
      </w:pPr>
    </w:p>
    <w:p>
      <w:pPr>
        <w:jc w:val="both"/>
        <w:ind w:firstLine="540"/>
        <w:spacing w:after="0" w:line="247" w:lineRule="auto"/>
        <w:tabs>
          <w:tab w:leader="none" w:pos="119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Attached hereto as Annex III is a true, correct and complete copy of resolutions duly adopted by the Board of [Directors] [Managers] of the Company [at a meeting thereof] [by written consent] as of the ___ day of ____________, 2014;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194" w:lineRule="exact"/>
        <w:rPr>
          <w:rFonts w:ascii="Arial" w:cs="Arial" w:eastAsia="Arial" w:hAnsi="Arial"/>
          <w:sz w:val="18"/>
          <w:szCs w:val="18"/>
          <w:color w:val="auto"/>
        </w:rPr>
      </w:pPr>
    </w:p>
    <w:p>
      <w:pPr>
        <w:ind w:right="20" w:firstLine="540"/>
        <w:spacing w:after="0" w:line="263" w:lineRule="auto"/>
        <w:tabs>
          <w:tab w:leader="none" w:pos="119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344" w:right="219" w:bottom="1440" w:gutter="0" w:footer="0" w:header="0"/>
        </w:sectPr>
      </w:pPr>
    </w:p>
    <w:bookmarkStart w:id="158" w:name="page159"/>
    <w:bookmarkEnd w:id="158"/>
    <w:p>
      <w:pPr>
        <w:ind w:left="540"/>
        <w:spacing w:after="0"/>
        <w:rPr>
          <w:sz w:val="20"/>
          <w:szCs w:val="20"/>
          <w:color w:val="auto"/>
        </w:rPr>
      </w:pPr>
      <w:r>
        <w:rPr>
          <w:rFonts w:ascii="Arial" w:cs="Arial" w:eastAsia="Arial" w:hAnsi="Arial"/>
          <w:sz w:val="18"/>
          <w:szCs w:val="18"/>
          <w:color w:val="auto"/>
        </w:rPr>
        <w:t>Witness my hand as of the first date written above.</w:t>
      </w:r>
    </w:p>
    <w:p>
      <w:pPr>
        <w:spacing w:after="0" w:line="18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_________________________________</w:t>
      </w:r>
    </w:p>
    <w:p>
      <w:pPr>
        <w:spacing w:after="0" w:line="1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532"/>
        <w:spacing w:after="0" w:line="263"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144" w:lineRule="exact"/>
        <w:rPr>
          <w:sz w:val="20"/>
          <w:szCs w:val="20"/>
          <w:color w:val="auto"/>
        </w:rPr>
      </w:pPr>
    </w:p>
    <w:p>
      <w:pPr>
        <w:ind w:firstLine="540"/>
        <w:spacing w:after="0" w:line="263" w:lineRule="auto"/>
        <w:tabs>
          <w:tab w:leader="none" w:pos="119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___________________ is [a] [the] duly elected and qualified [Assistant] Secretary of the Company and the signature above is [his][her] genuine signature.</w:t>
      </w:r>
    </w:p>
    <w:p>
      <w:pPr>
        <w:spacing w:after="0" w:line="177" w:lineRule="exact"/>
        <w:rPr>
          <w:rFonts w:ascii="Arial" w:cs="Arial" w:eastAsia="Arial" w:hAnsi="Arial"/>
          <w:sz w:val="18"/>
          <w:szCs w:val="18"/>
          <w:color w:val="auto"/>
        </w:rPr>
      </w:pPr>
    </w:p>
    <w:p>
      <w:pPr>
        <w:jc w:val="both"/>
        <w:ind w:firstLine="9"/>
        <w:spacing w:after="0" w:line="255" w:lineRule="auto"/>
        <w:tabs>
          <w:tab w:leader="none" w:pos="6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23"/>
          <w:szCs w:val="23"/>
          <w:color w:val="auto"/>
          <w:vertAlign w:val="superscript"/>
        </w:rPr>
        <w:t>13</w:t>
      </w:r>
    </w:p>
    <w:p>
      <w:pPr>
        <w:spacing w:after="0" w:line="101" w:lineRule="exact"/>
        <w:rPr>
          <w:rFonts w:ascii="Arial" w:cs="Arial" w:eastAsia="Arial" w:hAnsi="Arial"/>
          <w:sz w:val="18"/>
          <w:szCs w:val="18"/>
          <w:color w:val="auto"/>
        </w:rPr>
      </w:pPr>
    </w:p>
    <w:p>
      <w:pPr>
        <w:ind w:left="680" w:hanging="671"/>
        <w:spacing w:after="0"/>
        <w:tabs>
          <w:tab w:leader="none" w:pos="6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as of the date hereof.] </w:t>
      </w:r>
      <w:r>
        <w:rPr>
          <w:rFonts w:ascii="Arial" w:cs="Arial" w:eastAsia="Arial" w:hAnsi="Arial"/>
          <w:sz w:val="23"/>
          <w:szCs w:val="23"/>
          <w:color w:val="auto"/>
          <w:vertAlign w:val="superscript"/>
        </w:rPr>
        <w:t>14</w:t>
      </w:r>
    </w:p>
    <w:p>
      <w:pPr>
        <w:spacing w:after="0" w:line="166"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_______________________________</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[[Assistant] Secretary][Responsible Officer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22" w:lineRule="exact"/>
        <w:rPr>
          <w:sz w:val="20"/>
          <w:szCs w:val="20"/>
          <w:color w:val="auto"/>
        </w:rPr>
      </w:pPr>
    </w:p>
    <w:p>
      <w:pPr>
        <w:ind w:left="240" w:hanging="231"/>
        <w:spacing w:after="0"/>
        <w:tabs>
          <w:tab w:leader="none" w:pos="240" w:val="left"/>
        </w:tabs>
        <w:numPr>
          <w:ilvl w:val="0"/>
          <w:numId w:val="144"/>
        </w:numPr>
        <w:rPr>
          <w:rFonts w:ascii="Arial" w:cs="Arial" w:eastAsia="Arial" w:hAnsi="Arial"/>
          <w:sz w:val="21"/>
          <w:szCs w:val="21"/>
          <w:color w:val="auto"/>
          <w:vertAlign w:val="superscript"/>
        </w:rPr>
      </w:pPr>
      <w:r>
        <w:rPr>
          <w:rFonts w:ascii="Arial" w:cs="Arial" w:eastAsia="Arial" w:hAnsi="Arial"/>
          <w:sz w:val="15"/>
          <w:szCs w:val="15"/>
          <w:color w:val="auto"/>
        </w:rPr>
        <w:t>To be included in Certificate relating to General Motors Company only.</w:t>
      </w:r>
    </w:p>
    <w:p>
      <w:pPr>
        <w:spacing w:after="0" w:line="200" w:lineRule="exact"/>
        <w:rPr>
          <w:rFonts w:ascii="Arial" w:cs="Arial" w:eastAsia="Arial" w:hAnsi="Arial"/>
          <w:sz w:val="21"/>
          <w:szCs w:val="21"/>
          <w:color w:val="auto"/>
          <w:vertAlign w:val="superscript"/>
        </w:rPr>
      </w:pPr>
    </w:p>
    <w:p>
      <w:pPr>
        <w:spacing w:after="0" w:line="267" w:lineRule="exact"/>
        <w:rPr>
          <w:rFonts w:ascii="Arial" w:cs="Arial" w:eastAsia="Arial" w:hAnsi="Arial"/>
          <w:sz w:val="21"/>
          <w:szCs w:val="21"/>
          <w:color w:val="auto"/>
          <w:vertAlign w:val="superscript"/>
        </w:rPr>
      </w:pPr>
    </w:p>
    <w:p>
      <w:pPr>
        <w:ind w:left="240" w:hanging="231"/>
        <w:spacing w:after="0"/>
        <w:tabs>
          <w:tab w:leader="none" w:pos="240" w:val="left"/>
        </w:tabs>
        <w:numPr>
          <w:ilvl w:val="0"/>
          <w:numId w:val="144"/>
        </w:numPr>
        <w:rPr>
          <w:rFonts w:ascii="Arial" w:cs="Arial" w:eastAsia="Arial" w:hAnsi="Arial"/>
          <w:sz w:val="21"/>
          <w:szCs w:val="21"/>
          <w:color w:val="auto"/>
          <w:vertAlign w:val="superscript"/>
        </w:rPr>
      </w:pPr>
      <w:r>
        <w:rPr>
          <w:rFonts w:ascii="Arial" w:cs="Arial" w:eastAsia="Arial" w:hAnsi="Arial"/>
          <w:sz w:val="15"/>
          <w:szCs w:val="15"/>
          <w:color w:val="auto"/>
        </w:rPr>
        <w:t>To be included in Certificate relating to General Motors Company only.</w:t>
      </w:r>
    </w:p>
    <w:p>
      <w:pPr>
        <w:spacing w:after="0" w:line="18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344" w:right="219" w:bottom="1440" w:gutter="0" w:footer="0" w:header="0"/>
        </w:sectPr>
      </w:pPr>
    </w:p>
    <w:bookmarkStart w:id="159" w:name="page160"/>
    <w:bookmarkEnd w:id="159"/>
    <w:p>
      <w:pPr>
        <w:jc w:val="center"/>
        <w:ind w:left="9240"/>
        <w:spacing w:after="0"/>
        <w:rPr>
          <w:sz w:val="20"/>
          <w:szCs w:val="20"/>
          <w:color w:val="auto"/>
        </w:rPr>
      </w:pPr>
      <w:r>
        <w:rPr>
          <w:rFonts w:ascii="Arial" w:cs="Arial" w:eastAsia="Arial" w:hAnsi="Arial"/>
          <w:sz w:val="18"/>
          <w:szCs w:val="18"/>
          <w:color w:val="auto"/>
        </w:rPr>
        <w:t>ANNEX I</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6"/>
          <w:szCs w:val="16"/>
          <w:color w:val="auto"/>
        </w:rPr>
        <w:t>Certificate</w:t>
      </w:r>
    </w:p>
    <w:p>
      <w:pPr>
        <w:spacing w:after="0" w:line="259"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[Copy of the Certificate of [Incorporation][Formation]]</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of</w:t>
      </w:r>
    </w:p>
    <w:p>
      <w:pPr>
        <w:spacing w:after="0" w:line="3"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[NAME OF LOAN PARTY]]</w:t>
      </w:r>
    </w:p>
    <w:p>
      <w:pPr>
        <w:spacing w:after="0" w:line="18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720"/>
          </w:cols>
          <w:pgMar w:left="220" w:top="676" w:right="959" w:bottom="1440" w:gutter="0" w:footer="0" w:header="0"/>
        </w:sectPr>
      </w:pPr>
    </w:p>
    <w:bookmarkStart w:id="160" w:name="page161"/>
    <w:bookmarkEnd w:id="160"/>
    <w:p>
      <w:pPr>
        <w:jc w:val="center"/>
        <w:ind w:left="9240"/>
        <w:spacing w:after="0"/>
        <w:rPr>
          <w:sz w:val="20"/>
          <w:szCs w:val="20"/>
          <w:color w:val="auto"/>
        </w:rPr>
      </w:pPr>
      <w:r>
        <w:rPr>
          <w:rFonts w:ascii="Arial" w:cs="Arial" w:eastAsia="Arial" w:hAnsi="Arial"/>
          <w:sz w:val="18"/>
          <w:szCs w:val="18"/>
          <w:color w:val="auto"/>
        </w:rPr>
        <w:t>ANNEX II</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7"/>
          <w:szCs w:val="17"/>
          <w:color w:val="auto"/>
        </w:rPr>
        <w:t>Certificate</w:t>
      </w:r>
    </w:p>
    <w:p>
      <w:pPr>
        <w:spacing w:after="0" w:line="24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[Copy of the [by-laws] [Limited Liability Company Agreement][Operating Agreement]</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of</w:t>
      </w:r>
    </w:p>
    <w:p>
      <w:pPr>
        <w:spacing w:after="0" w:line="3"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[NAME OF LOAN PARTY]]</w:t>
      </w: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740"/>
          </w:cols>
          <w:pgMar w:left="220" w:top="466" w:right="939" w:bottom="1440" w:gutter="0" w:footer="0" w:header="0"/>
        </w:sectPr>
      </w:pPr>
    </w:p>
    <w:bookmarkStart w:id="161" w:name="page162"/>
    <w:bookmarkEnd w:id="161"/>
    <w:p>
      <w:pPr>
        <w:jc w:val="center"/>
        <w:ind w:left="9220"/>
        <w:spacing w:after="0"/>
        <w:rPr>
          <w:sz w:val="20"/>
          <w:szCs w:val="20"/>
          <w:color w:val="auto"/>
        </w:rPr>
      </w:pPr>
      <w:r>
        <w:rPr>
          <w:rFonts w:ascii="Arial" w:cs="Arial" w:eastAsia="Arial" w:hAnsi="Arial"/>
          <w:sz w:val="18"/>
          <w:szCs w:val="18"/>
          <w:color w:val="auto"/>
        </w:rPr>
        <w:t>ANNEX III</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color w:val="auto"/>
        </w:rPr>
        <w:t>Certificate</w:t>
      </w:r>
    </w:p>
    <w:p>
      <w:pPr>
        <w:spacing w:after="0" w:line="23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Resolutions of the Board of [Directors] [Managers] of [Name of Loan Party]</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760"/>
          </w:cols>
          <w:pgMar w:left="220" w:top="466" w:right="919" w:bottom="1440" w:gutter="0" w:footer="0" w:header="0"/>
        </w:sectPr>
      </w:pPr>
    </w:p>
    <w:bookmarkStart w:id="162" w:name="page163"/>
    <w:bookmarkEnd w:id="162"/>
    <w:p>
      <w:pPr>
        <w:jc w:val="center"/>
        <w:ind w:left="9240"/>
        <w:spacing w:after="0"/>
        <w:rPr>
          <w:sz w:val="20"/>
          <w:szCs w:val="20"/>
          <w:color w:val="auto"/>
        </w:rPr>
      </w:pPr>
      <w:r>
        <w:rPr>
          <w:rFonts w:ascii="Arial" w:cs="Arial" w:eastAsia="Arial" w:hAnsi="Arial"/>
          <w:sz w:val="18"/>
          <w:szCs w:val="18"/>
          <w:color w:val="auto"/>
        </w:rPr>
        <w:t>ANNEX IV</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Certificate</w:t>
      </w:r>
    </w:p>
    <w:p>
      <w:pPr>
        <w:spacing w:after="0" w:line="358" w:lineRule="exact"/>
        <w:rPr>
          <w:sz w:val="20"/>
          <w:szCs w:val="20"/>
          <w:color w:val="auto"/>
        </w:rPr>
      </w:pPr>
    </w:p>
    <w:p>
      <w:pPr>
        <w:ind w:left="1700"/>
        <w:spacing w:after="0"/>
        <w:tabs>
          <w:tab w:leader="none" w:pos="5480" w:val="left"/>
          <w:tab w:leader="none" w:pos="8820" w:val="left"/>
        </w:tabs>
        <w:rPr>
          <w:sz w:val="20"/>
          <w:szCs w:val="20"/>
          <w:color w:val="auto"/>
        </w:rPr>
      </w:pPr>
      <w:r>
        <w:rPr>
          <w:rFonts w:ascii="Arial" w:cs="Arial" w:eastAsia="Arial" w:hAnsi="Arial"/>
          <w:sz w:val="18"/>
          <w:szCs w:val="18"/>
          <w:u w:val="single" w:color="auto"/>
          <w:color w:val="auto"/>
        </w:rPr>
        <w:t>Name of Officer</w:t>
      </w:r>
      <w:r>
        <w:rPr>
          <w:sz w:val="20"/>
          <w:szCs w:val="20"/>
          <w:color w:val="auto"/>
        </w:rPr>
        <w:tab/>
      </w:r>
      <w:r>
        <w:rPr>
          <w:rFonts w:ascii="Arial" w:cs="Arial" w:eastAsia="Arial" w:hAnsi="Arial"/>
          <w:sz w:val="18"/>
          <w:szCs w:val="18"/>
          <w:u w:val="single" w:color="auto"/>
          <w:color w:val="auto"/>
        </w:rPr>
        <w:t>Office</w:t>
      </w:r>
      <w:r>
        <w:rPr>
          <w:sz w:val="20"/>
          <w:szCs w:val="20"/>
          <w:color w:val="auto"/>
        </w:rPr>
        <w:tab/>
      </w:r>
      <w:r>
        <w:rPr>
          <w:rFonts w:ascii="Arial" w:cs="Arial" w:eastAsia="Arial" w:hAnsi="Arial"/>
          <w:sz w:val="14"/>
          <w:szCs w:val="14"/>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780"/>
          </w:cols>
          <w:pgMar w:left="220" w:top="643" w:right="899" w:bottom="1440" w:gutter="0" w:footer="0" w:header="0"/>
        </w:sectPr>
      </w:pPr>
    </w:p>
    <w:bookmarkStart w:id="163" w:name="page164"/>
    <w:bookmarkEnd w:id="163"/>
    <w:p>
      <w:pPr>
        <w:jc w:val="center"/>
        <w:ind w:left="9240"/>
        <w:spacing w:after="0"/>
        <w:rPr>
          <w:sz w:val="20"/>
          <w:szCs w:val="20"/>
          <w:color w:val="auto"/>
        </w:rPr>
      </w:pPr>
      <w:r>
        <w:rPr>
          <w:rFonts w:ascii="Arial" w:cs="Arial" w:eastAsia="Arial" w:hAnsi="Arial"/>
          <w:sz w:val="18"/>
          <w:szCs w:val="18"/>
          <w:b w:val="1"/>
          <w:bCs w:val="1"/>
          <w:color w:val="auto"/>
        </w:rPr>
        <w:t>EXHIBIT I</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AND ASSUMPTION</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ASSIGNMENT AND ASSUMPTION, dated as of _____________, 20__ (as amended, supplemented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between [NAME OF ASSIGNOR], a Lender under the Credit Agreement referred to below (the “</w:t>
      </w:r>
      <w:r>
        <w:rPr>
          <w:rFonts w:ascii="Arial" w:cs="Arial" w:eastAsia="Arial" w:hAnsi="Arial"/>
          <w:sz w:val="16"/>
          <w:szCs w:val="16"/>
          <w:u w:val="single" w:color="auto"/>
          <w:color w:val="auto"/>
        </w:rPr>
        <w:t>Assignor</w:t>
      </w:r>
      <w:r>
        <w:rPr>
          <w:rFonts w:ascii="Arial" w:cs="Arial" w:eastAsia="Arial" w:hAnsi="Arial"/>
          <w:sz w:val="16"/>
          <w:szCs w:val="16"/>
          <w:color w:val="auto"/>
        </w:rPr>
        <w:t>”), and [NAME OF ASSIGNEE] (the “</w:t>
      </w:r>
      <w:r>
        <w:rPr>
          <w:rFonts w:ascii="Arial" w:cs="Arial" w:eastAsia="Arial" w:hAnsi="Arial"/>
          <w:sz w:val="16"/>
          <w:szCs w:val="16"/>
          <w:u w:val="single" w:color="auto"/>
          <w:color w:val="auto"/>
        </w:rPr>
        <w:t>Assignee</w:t>
      </w:r>
      <w:r>
        <w:rPr>
          <w:rFonts w:ascii="Arial" w:cs="Arial" w:eastAsia="Arial" w:hAnsi="Arial"/>
          <w:sz w:val="16"/>
          <w:szCs w:val="16"/>
          <w:color w:val="auto"/>
        </w:rPr>
        <w:t>”).</w:t>
      </w:r>
    </w:p>
    <w:p>
      <w:pPr>
        <w:spacing w:after="0" w:line="190" w:lineRule="exact"/>
        <w:rPr>
          <w:sz w:val="20"/>
          <w:szCs w:val="20"/>
          <w:color w:val="auto"/>
        </w:rPr>
      </w:pPr>
    </w:p>
    <w:p>
      <w:pPr>
        <w:jc w:val="both"/>
        <w:ind w:firstLine="532"/>
        <w:spacing w:after="0" w:line="264" w:lineRule="auto"/>
        <w:rPr>
          <w:sz w:val="20"/>
          <w:szCs w:val="20"/>
          <w:color w:val="auto"/>
        </w:rPr>
      </w:pPr>
      <w:r>
        <w:rPr>
          <w:rFonts w:ascii="Arial" w:cs="Arial" w:eastAsia="Arial" w:hAnsi="Arial"/>
          <w:sz w:val="17"/>
          <w:szCs w:val="17"/>
          <w:color w:val="auto"/>
        </w:rPr>
        <w:t>Reference is made to the Amended and Restated Three Year Revolving Credit Agreement, dated as of October 17, 2014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party thereto. Unless otherwise defined herein, terms used herein have the meanings assigned to such terms in the Credit Agreement.</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Assignor and the Assignee hereby agree as follows:</w:t>
      </w:r>
    </w:p>
    <w:p>
      <w:pPr>
        <w:spacing w:after="0" w:line="181" w:lineRule="exact"/>
        <w:rPr>
          <w:sz w:val="20"/>
          <w:szCs w:val="20"/>
          <w:color w:val="auto"/>
        </w:rPr>
      </w:pPr>
    </w:p>
    <w:p>
      <w:pPr>
        <w:ind w:right="60" w:firstLine="540"/>
        <w:spacing w:after="0" w:line="270" w:lineRule="auto"/>
        <w:tabs>
          <w:tab w:leader="none" w:pos="84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For an agreed consideration, the Assignor hereby irrevocably sells and assigns to the Assignee, without recourse to, or (except as otherwise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warranty by, the Assignor, as of the Trade Date (as defined below), the interest described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in and to the Assignor’s rights and obligations under the Credit Agreement with respect to its [Commitment [and all outstanding Letters of Credit issued by an Issuing Lender other than the Assignor]</w:t>
      </w:r>
      <w:r>
        <w:rPr>
          <w:rFonts w:ascii="Arial" w:cs="Arial" w:eastAsia="Arial" w:hAnsi="Arial"/>
          <w:sz w:val="21"/>
          <w:szCs w:val="21"/>
          <w:color w:val="auto"/>
          <w:vertAlign w:val="superscript"/>
        </w:rPr>
        <w:t>1</w:t>
      </w:r>
      <w:r>
        <w:rPr>
          <w:rFonts w:ascii="Arial" w:cs="Arial" w:eastAsia="Arial" w:hAnsi="Arial"/>
          <w:sz w:val="16"/>
          <w:szCs w:val="16"/>
          <w:color w:val="auto"/>
        </w:rPr>
        <w:t xml:space="preserve">][and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22" w:lineRule="exact"/>
        <w:rPr>
          <w:sz w:val="20"/>
          <w:szCs w:val="20"/>
          <w:color w:val="auto"/>
        </w:rPr>
      </w:pPr>
    </w:p>
    <w:p>
      <w:pPr>
        <w:ind w:left="540" w:hanging="531"/>
        <w:spacing w:after="0"/>
        <w:tabs>
          <w:tab w:leader="none" w:pos="540" w:val="left"/>
        </w:tabs>
        <w:numPr>
          <w:ilvl w:val="0"/>
          <w:numId w:val="146"/>
        </w:numPr>
        <w:rPr>
          <w:rFonts w:ascii="Arial" w:cs="Arial" w:eastAsia="Arial" w:hAnsi="Arial"/>
          <w:sz w:val="21"/>
          <w:szCs w:val="21"/>
          <w:color w:val="auto"/>
          <w:vertAlign w:val="superscript"/>
        </w:rPr>
      </w:pPr>
      <w:r>
        <w:rPr>
          <w:rFonts w:ascii="Arial" w:cs="Arial" w:eastAsia="Arial" w:hAnsi="Arial"/>
          <w:sz w:val="15"/>
          <w:szCs w:val="15"/>
          <w:color w:val="auto"/>
        </w:rPr>
        <w:t>Insert bracketed text if the Assignor is an L/C Participant and Letters of Credit issued by another Issuing Lender are outstanding.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460" w:right="219" w:bottom="1440" w:gutter="0" w:footer="0" w:header="0"/>
        </w:sectPr>
      </w:pPr>
    </w:p>
    <w:bookmarkStart w:id="164" w:name="page165"/>
    <w:bookmarkEnd w:id="164"/>
    <w:p>
      <w:pPr>
        <w:ind w:right="40"/>
        <w:spacing w:after="0" w:line="247" w:lineRule="auto"/>
        <w:rPr>
          <w:sz w:val="20"/>
          <w:szCs w:val="20"/>
          <w:color w:val="auto"/>
        </w:rPr>
      </w:pPr>
      <w:r>
        <w:rPr>
          <w:rFonts w:ascii="Arial" w:cs="Arial" w:eastAsia="Arial" w:hAnsi="Arial"/>
          <w:sz w:val="18"/>
          <w:szCs w:val="18"/>
          <w:color w:val="auto"/>
        </w:rPr>
        <w:t xml:space="preserve">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it is expressly understood and agreed that (i) the Assignor is not assigning to the Assignee and the Assignor shall retain (A) all of the Assignor’s rights under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from and after the Trade Date.</w:t>
      </w:r>
    </w:p>
    <w:p>
      <w:pPr>
        <w:spacing w:after="0" w:line="159" w:lineRule="exact"/>
        <w:rPr>
          <w:sz w:val="20"/>
          <w:szCs w:val="20"/>
          <w:color w:val="auto"/>
        </w:rPr>
      </w:pPr>
    </w:p>
    <w:p>
      <w:pPr>
        <w:jc w:val="both"/>
        <w:ind w:firstLine="540"/>
        <w:spacing w:after="0" w:line="278" w:lineRule="auto"/>
        <w:tabs>
          <w:tab w:leader="none" w:pos="87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42" w:lineRule="exact"/>
        <w:rPr>
          <w:rFonts w:ascii="Arial" w:cs="Arial" w:eastAsia="Arial" w:hAnsi="Arial"/>
          <w:sz w:val="16"/>
          <w:szCs w:val="16"/>
          <w:color w:val="auto"/>
        </w:rPr>
      </w:pPr>
    </w:p>
    <w:p>
      <w:pPr>
        <w:jc w:val="both"/>
        <w:ind w:firstLine="540"/>
        <w:spacing w:after="0" w:line="267" w:lineRule="auto"/>
        <w:tabs>
          <w:tab w:leader="none" w:pos="8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 statements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thereof (or, if none of such financial statements shall have then been delivered or deemed delivered, then copies of the financial statements referred to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thereof)[, the L/C Fee Letter]</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such other documents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143" w:lineRule="exact"/>
        <w:rPr>
          <w:sz w:val="20"/>
          <w:szCs w:val="20"/>
          <w:color w:val="auto"/>
        </w:rPr>
      </w:pPr>
    </w:p>
    <w:p>
      <w:pPr>
        <w:ind w:left="100" w:hanging="91"/>
        <w:spacing w:after="0"/>
        <w:tabs>
          <w:tab w:leader="none" w:pos="100" w:val="left"/>
        </w:tabs>
        <w:numPr>
          <w:ilvl w:val="0"/>
          <w:numId w:val="148"/>
        </w:numPr>
        <w:rPr>
          <w:rFonts w:ascii="Arial" w:cs="Arial" w:eastAsia="Arial" w:hAnsi="Arial"/>
          <w:sz w:val="21"/>
          <w:szCs w:val="21"/>
          <w:color w:val="auto"/>
          <w:vertAlign w:val="superscript"/>
        </w:rPr>
      </w:pPr>
      <w:r>
        <w:rPr>
          <w:rFonts w:ascii="Arial" w:cs="Arial" w:eastAsia="Arial" w:hAnsi="Arial"/>
          <w:sz w:val="15"/>
          <w:szCs w:val="15"/>
          <w:color w:val="auto"/>
        </w:rPr>
        <w:t>Include for assignments of the L/C Tranche only.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521" w:right="219" w:bottom="1440" w:gutter="0" w:footer="0" w:header="0"/>
        </w:sectPr>
      </w:pPr>
    </w:p>
    <w:bookmarkStart w:id="165" w:name="page166"/>
    <w:bookmarkEnd w:id="165"/>
    <w:p>
      <w:pPr>
        <w:jc w:val="both"/>
        <w:spacing w:after="0" w:line="254" w:lineRule="auto"/>
        <w:rPr>
          <w:sz w:val="20"/>
          <w:szCs w:val="20"/>
          <w:color w:val="auto"/>
        </w:rPr>
      </w:pPr>
      <w:r>
        <w:rPr>
          <w:rFonts w:ascii="Arial" w:cs="Arial" w:eastAsia="Arial" w:hAnsi="Arial"/>
          <w:sz w:val="17"/>
          <w:szCs w:val="17"/>
          <w:color w:val="auto"/>
        </w:rPr>
        <w:t>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 to the Administrative Agent by the terms thereof, together with such powers as are incidental thereto; and (e) agrees that it will be bound by the provisions of [the L/C Fee Letter and]</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2.24(d) of the Credit Agreement, duly completed and executed by the Assignee.</w:t>
      </w:r>
    </w:p>
    <w:p>
      <w:pPr>
        <w:spacing w:after="0" w:line="155" w:lineRule="exact"/>
        <w:rPr>
          <w:sz w:val="20"/>
          <w:szCs w:val="20"/>
          <w:color w:val="auto"/>
        </w:rPr>
      </w:pPr>
    </w:p>
    <w:p>
      <w:pPr>
        <w:jc w:val="both"/>
        <w:ind w:firstLine="540"/>
        <w:spacing w:after="0" w:line="284" w:lineRule="auto"/>
        <w:tabs>
          <w:tab w:leader="none" w:pos="93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The effective date of this Agreement shall be the Trade Date of assignment described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Trade Date</w:t>
      </w:r>
      <w:r>
        <w:rPr>
          <w:rFonts w:ascii="Arial" w:cs="Arial" w:eastAsia="Arial" w:hAnsi="Arial"/>
          <w:sz w:val="16"/>
          <w:szCs w:val="16"/>
          <w:color w:val="auto"/>
        </w:rPr>
        <w:t xml:space="preserve">”). Following the 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33" w:lineRule="exact"/>
        <w:rPr>
          <w:rFonts w:ascii="Arial" w:cs="Arial" w:eastAsia="Arial" w:hAnsi="Arial"/>
          <w:sz w:val="16"/>
          <w:szCs w:val="16"/>
          <w:color w:val="auto"/>
        </w:rPr>
      </w:pPr>
    </w:p>
    <w:p>
      <w:pPr>
        <w:jc w:val="both"/>
        <w:ind w:firstLine="540"/>
        <w:spacing w:after="0" w:line="253" w:lineRule="auto"/>
        <w:tabs>
          <w:tab w:leader="none" w:pos="8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44" w:lineRule="exact"/>
        <w:rPr>
          <w:rFonts w:ascii="Arial" w:cs="Arial" w:eastAsia="Arial" w:hAnsi="Arial"/>
          <w:sz w:val="18"/>
          <w:szCs w:val="18"/>
          <w:color w:val="auto"/>
        </w:rPr>
      </w:pPr>
    </w:p>
    <w:p>
      <w:pPr>
        <w:jc w:val="both"/>
        <w:ind w:firstLine="540"/>
        <w:spacing w:after="0" w:line="249" w:lineRule="auto"/>
        <w:tabs>
          <w:tab w:leader="none" w:pos="85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L/C Fee Letter and]</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w:t>
      </w:r>
    </w:p>
    <w:p>
      <w:pPr>
        <w:spacing w:after="0" w:line="197" w:lineRule="exact"/>
        <w:rPr>
          <w:sz w:val="20"/>
          <w:szCs w:val="20"/>
          <w:color w:val="auto"/>
        </w:rPr>
      </w:pPr>
    </w:p>
    <w:p>
      <w:pPr>
        <w:ind w:left="100" w:hanging="91"/>
        <w:spacing w:after="0"/>
        <w:tabs>
          <w:tab w:leader="none" w:pos="100" w:val="left"/>
        </w:tabs>
        <w:numPr>
          <w:ilvl w:val="0"/>
          <w:numId w:val="150"/>
        </w:numPr>
        <w:rPr>
          <w:rFonts w:ascii="Arial" w:cs="Arial" w:eastAsia="Arial" w:hAnsi="Arial"/>
          <w:sz w:val="21"/>
          <w:szCs w:val="21"/>
          <w:color w:val="auto"/>
          <w:vertAlign w:val="superscript"/>
        </w:rPr>
      </w:pPr>
      <w:r>
        <w:rPr>
          <w:rFonts w:ascii="Arial" w:cs="Arial" w:eastAsia="Arial" w:hAnsi="Arial"/>
          <w:sz w:val="15"/>
          <w:szCs w:val="15"/>
          <w:color w:val="auto"/>
        </w:rPr>
        <w:t>Include for assignments of the L/C Tranche only.</w:t>
      </w:r>
    </w:p>
    <w:p>
      <w:pPr>
        <w:spacing w:after="0" w:line="113" w:lineRule="exact"/>
        <w:rPr>
          <w:sz w:val="20"/>
          <w:szCs w:val="20"/>
          <w:color w:val="auto"/>
        </w:rPr>
      </w:pPr>
    </w:p>
    <w:p>
      <w:pPr>
        <w:ind w:left="100" w:hanging="91"/>
        <w:spacing w:after="0"/>
        <w:tabs>
          <w:tab w:leader="none" w:pos="100" w:val="left"/>
        </w:tabs>
        <w:numPr>
          <w:ilvl w:val="0"/>
          <w:numId w:val="151"/>
        </w:numPr>
        <w:rPr>
          <w:rFonts w:ascii="Arial" w:cs="Arial" w:eastAsia="Arial" w:hAnsi="Arial"/>
          <w:sz w:val="21"/>
          <w:szCs w:val="21"/>
          <w:color w:val="auto"/>
          <w:vertAlign w:val="superscript"/>
        </w:rPr>
      </w:pPr>
      <w:r>
        <w:rPr>
          <w:rFonts w:ascii="Arial" w:cs="Arial" w:eastAsia="Arial" w:hAnsi="Arial"/>
          <w:sz w:val="15"/>
          <w:szCs w:val="15"/>
          <w:color w:val="auto"/>
        </w:rPr>
        <w:t>Include for assignments of the L/C Tranche only.</w:t>
      </w:r>
    </w:p>
    <w:p>
      <w:pPr>
        <w:spacing w:after="0" w:line="365"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522" w:right="219" w:bottom="1440" w:gutter="0" w:footer="0" w:header="0"/>
        </w:sectPr>
      </w:pPr>
    </w:p>
    <w:bookmarkStart w:id="166" w:name="page167"/>
    <w:bookmarkEnd w:id="166"/>
    <w:p>
      <w:pPr>
        <w:ind w:firstLine="540"/>
        <w:spacing w:after="0" w:line="263" w:lineRule="auto"/>
        <w:tabs>
          <w:tab w:leader="none" w:pos="85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44" w:lineRule="exact"/>
        <w:rPr>
          <w:rFonts w:ascii="Arial" w:cs="Arial" w:eastAsia="Arial" w:hAnsi="Arial"/>
          <w:sz w:val="18"/>
          <w:szCs w:val="18"/>
          <w:color w:val="auto"/>
        </w:rPr>
      </w:pPr>
    </w:p>
    <w:p>
      <w:pPr>
        <w:jc w:val="both"/>
        <w:ind w:firstLine="540"/>
        <w:spacing w:after="0" w:line="253" w:lineRule="auto"/>
        <w:tabs>
          <w:tab w:leader="none" w:pos="9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34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522" w:right="219" w:bottom="1440" w:gutter="0" w:footer="0" w:header="0"/>
        </w:sectPr>
      </w:pPr>
    </w:p>
    <w:bookmarkStart w:id="167" w:name="page168"/>
    <w:bookmarkEnd w:id="167"/>
    <w:p>
      <w:pPr>
        <w:ind w:firstLine="532"/>
        <w:spacing w:after="0" w:line="263" w:lineRule="auto"/>
        <w:rPr>
          <w:sz w:val="20"/>
          <w:szCs w:val="20"/>
          <w:color w:val="auto"/>
        </w:rPr>
      </w:pPr>
      <w:r>
        <w:rPr>
          <w:rFonts w:ascii="Arial" w:cs="Arial" w:eastAsia="Arial" w:hAnsi="Arial"/>
          <w:sz w:val="18"/>
          <w:szCs w:val="18"/>
          <w:color w:val="auto"/>
        </w:rPr>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411480</wp:posOffset>
            </wp:positionV>
            <wp:extent cx="6793230" cy="1793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3230" cy="179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_________________________, as Assignor</w:t>
      </w:r>
    </w:p>
    <w:p>
      <w:pPr>
        <w:spacing w:after="0" w:line="21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By:___________________________________</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w:t>
      </w:r>
    </w:p>
    <w:p>
      <w:pPr>
        <w:spacing w:after="0" w:line="4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________________________, as Assignee</w:t>
      </w:r>
    </w:p>
    <w:p>
      <w:pPr>
        <w:spacing w:after="0" w:line="21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By:___________________________________</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521" w:right="21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u w:val="single" w:color="auto"/>
          <w:color w:val="auto"/>
        </w:rPr>
        <w:t>Accepted and Consented to</w:t>
      </w:r>
      <w:r>
        <w:rPr>
          <w:rFonts w:ascii="Arial" w:cs="Arial" w:eastAsia="Arial" w:hAnsi="Arial"/>
          <w:sz w:val="18"/>
          <w:szCs w:val="18"/>
          <w:color w:val="auto"/>
        </w:rPr>
        <w:t xml:space="preserve"> </w:t>
      </w:r>
      <w:r>
        <w:rPr>
          <w:rFonts w:ascii="Arial" w:cs="Arial" w:eastAsia="Arial" w:hAnsi="Arial"/>
          <w:sz w:val="23"/>
          <w:szCs w:val="23"/>
          <w:color w:val="auto"/>
          <w:vertAlign w:val="superscript"/>
        </w:rPr>
        <w:t>5</w:t>
      </w:r>
      <w:r>
        <w:rPr>
          <w:rFonts w:ascii="Arial" w:cs="Arial" w:eastAsia="Arial" w:hAnsi="Arial"/>
          <w:sz w:val="18"/>
          <w:szCs w:val="18"/>
          <w:color w:val="auto"/>
        </w:rPr>
        <w:t>.</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[JPMORGAN CHASE BANK, N.A.], as Administrative Agent</w:t>
      </w:r>
    </w:p>
    <w:p>
      <w:pPr>
        <w:spacing w:after="0" w:line="3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By:___________________________________</w:t>
      </w:r>
    </w:p>
    <w:p>
      <w:pPr>
        <w:ind w:left="420"/>
        <w:spacing w:after="0" w:line="238" w:lineRule="auto"/>
        <w:rPr>
          <w:sz w:val="20"/>
          <w:szCs w:val="20"/>
          <w:color w:val="auto"/>
        </w:rPr>
      </w:pPr>
      <w:r>
        <w:rPr>
          <w:rFonts w:ascii="Arial" w:cs="Arial" w:eastAsia="Arial" w:hAnsi="Arial"/>
          <w:sz w:val="18"/>
          <w:szCs w:val="18"/>
          <w:color w:val="auto"/>
        </w:rPr>
        <w:t>Name:</w:t>
      </w:r>
    </w:p>
    <w:p>
      <w:pPr>
        <w:ind w:left="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[BANCO DO BRASIL S.A., as Brazilian Administrative Agent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By:___________________________________</w:t>
      </w:r>
    </w:p>
    <w:p>
      <w:pPr>
        <w:ind w:left="420"/>
        <w:spacing w:after="0" w:line="238" w:lineRule="auto"/>
        <w:rPr>
          <w:sz w:val="20"/>
          <w:szCs w:val="20"/>
          <w:color w:val="auto"/>
        </w:rPr>
      </w:pPr>
      <w:r>
        <w:rPr>
          <w:rFonts w:ascii="Arial" w:cs="Arial" w:eastAsia="Arial" w:hAnsi="Arial"/>
          <w:sz w:val="18"/>
          <w:szCs w:val="18"/>
          <w:color w:val="auto"/>
        </w:rPr>
        <w:t>Name:</w:t>
      </w:r>
    </w:p>
    <w:p>
      <w:pPr>
        <w:ind w:left="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Consented to:</w:t>
      </w:r>
    </w:p>
    <w:p>
      <w:pPr>
        <w:spacing w:after="0" w:line="3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 MOTORS COMPANY</w:t>
      </w:r>
    </w:p>
    <w:p>
      <w:pPr>
        <w:spacing w:after="0" w:line="3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By:___________________________________</w:t>
      </w:r>
    </w:p>
    <w:p>
      <w:pPr>
        <w:ind w:left="420"/>
        <w:spacing w:after="0" w:line="238" w:lineRule="auto"/>
        <w:rPr>
          <w:sz w:val="20"/>
          <w:szCs w:val="20"/>
          <w:color w:val="auto"/>
        </w:rPr>
      </w:pPr>
      <w:r>
        <w:rPr>
          <w:rFonts w:ascii="Arial" w:cs="Arial" w:eastAsia="Arial" w:hAnsi="Arial"/>
          <w:sz w:val="18"/>
          <w:szCs w:val="18"/>
          <w:color w:val="auto"/>
        </w:rPr>
        <w:t>Name:</w:t>
      </w:r>
    </w:p>
    <w:p>
      <w:pPr>
        <w:ind w:left="420"/>
        <w:spacing w:after="0"/>
        <w:rPr>
          <w:sz w:val="20"/>
          <w:szCs w:val="20"/>
          <w:color w:val="auto"/>
        </w:rPr>
      </w:pPr>
      <w:r>
        <w:rPr>
          <w:rFonts w:ascii="Arial" w:cs="Arial" w:eastAsia="Arial" w:hAnsi="Arial"/>
          <w:sz w:val="18"/>
          <w:szCs w:val="18"/>
          <w:color w:val="auto"/>
        </w:rPr>
        <w:t>Title:</w:t>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Material Issuing Lender]</w:t>
      </w:r>
    </w:p>
    <w:p>
      <w:pPr>
        <w:spacing w:after="0" w:line="3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By:___________________________________</w:t>
      </w:r>
    </w:p>
    <w:p>
      <w:pPr>
        <w:ind w:left="420"/>
        <w:spacing w:after="0" w:line="238" w:lineRule="auto"/>
        <w:rPr>
          <w:sz w:val="20"/>
          <w:szCs w:val="20"/>
          <w:color w:val="auto"/>
        </w:rPr>
      </w:pPr>
      <w:r>
        <w:rPr>
          <w:rFonts w:ascii="Arial" w:cs="Arial" w:eastAsia="Arial" w:hAnsi="Arial"/>
          <w:sz w:val="18"/>
          <w:szCs w:val="18"/>
          <w:color w:val="auto"/>
        </w:rPr>
        <w:t>Name:</w:t>
      </w:r>
    </w:p>
    <w:p>
      <w:pPr>
        <w:ind w:left="420"/>
        <w:spacing w:after="0"/>
        <w:rPr>
          <w:sz w:val="20"/>
          <w:szCs w:val="20"/>
          <w:color w:val="auto"/>
        </w:rPr>
      </w:pPr>
      <w:r>
        <w:rPr>
          <w:rFonts w:ascii="Arial" w:cs="Arial" w:eastAsia="Arial" w:hAnsi="Arial"/>
          <w:sz w:val="18"/>
          <w:szCs w:val="18"/>
          <w:color w:val="auto"/>
        </w:rPr>
        <w:t>Title: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9" w:lineRule="exact"/>
        <w:rPr>
          <w:sz w:val="20"/>
          <w:szCs w:val="20"/>
          <w:color w:val="auto"/>
        </w:rPr>
      </w:pPr>
    </w:p>
    <w:p>
      <w:pPr>
        <w:ind w:left="540" w:hanging="531"/>
        <w:spacing w:after="0" w:line="268" w:lineRule="auto"/>
        <w:tabs>
          <w:tab w:leader="none" w:pos="540" w:val="left"/>
        </w:tabs>
        <w:numPr>
          <w:ilvl w:val="0"/>
          <w:numId w:val="153"/>
        </w:numPr>
        <w:rPr>
          <w:rFonts w:ascii="Arial" w:cs="Arial" w:eastAsia="Arial" w:hAnsi="Arial"/>
          <w:sz w:val="19"/>
          <w:szCs w:val="19"/>
          <w:color w:val="auto"/>
          <w:vertAlign w:val="superscript"/>
        </w:rPr>
      </w:pPr>
      <w:r>
        <w:rPr>
          <w:rFonts w:ascii="Arial" w:cs="Arial" w:eastAsia="Arial" w:hAnsi="Arial"/>
          <w:sz w:val="13"/>
          <w:szCs w:val="13"/>
          <w:color w:val="auto"/>
        </w:rPr>
        <w:t>Prior written consent of the Company, the Administrative Agent, each Material Issuing Lender at such time (with respect to assignments under the L/C Tranche Facility only), and the Brazilian Administrative Agent (in the case of any assignment of Brazilian commitments only) is required unless, (w) in the case of the Administrative Agent, the Assignee is a Lender or affiliate thereof, (x) in the case of each Material Issuing Lender, the Assignee is an L/C Tranche Lender and (y) in the case of the Company only, (i) an Event of Default under Section 8(a) or (f)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pacing w:after="0" w:line="350"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380"/>
          </w:cols>
          <w:pgMar w:left="220" w:top="512" w:right="299" w:bottom="1440" w:gutter="0" w:footer="0" w:header="0"/>
        </w:sectPr>
      </w:pPr>
    </w:p>
    <w:bookmarkStart w:id="169" w:name="page170"/>
    <w:bookmarkEnd w:id="169"/>
    <w:p>
      <w:pPr>
        <w:jc w:val="center"/>
        <w:ind w:left="7660"/>
        <w:spacing w:after="0"/>
        <w:rPr>
          <w:sz w:val="20"/>
          <w:szCs w:val="20"/>
          <w:color w:val="auto"/>
        </w:rPr>
      </w:pPr>
      <w:r>
        <w:rPr>
          <w:rFonts w:ascii="Arial" w:cs="Arial" w:eastAsia="Arial" w:hAnsi="Arial"/>
          <w:sz w:val="18"/>
          <w:szCs w:val="18"/>
          <w:color w:val="auto"/>
        </w:rPr>
        <w:t>SCHEDULE 1</w:t>
      </w:r>
    </w:p>
    <w:p>
      <w:pPr>
        <w:spacing w:after="0" w:line="37" w:lineRule="exact"/>
        <w:rPr>
          <w:sz w:val="20"/>
          <w:szCs w:val="20"/>
          <w:color w:val="auto"/>
        </w:rPr>
      </w:pPr>
    </w:p>
    <w:p>
      <w:pPr>
        <w:jc w:val="center"/>
        <w:ind w:left="766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7660"/>
        <w:spacing w:after="0"/>
        <w:rPr>
          <w:sz w:val="20"/>
          <w:szCs w:val="20"/>
          <w:color w:val="auto"/>
        </w:rPr>
      </w:pPr>
      <w:r>
        <w:rPr>
          <w:rFonts w:ascii="Arial" w:cs="Arial" w:eastAsia="Arial" w:hAnsi="Arial"/>
          <w:sz w:val="18"/>
          <w:szCs w:val="18"/>
          <w:color w:val="auto"/>
        </w:rPr>
        <w:t>Assignment and Assumption</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is attached to and incorporated in the Assignment and Assumption, dated as of ________________, 20__ (as amended, supplemented or</w:t>
      </w:r>
    </w:p>
    <w:p>
      <w:pPr>
        <w:spacing w:after="0" w:line="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59" w:lineRule="exact"/>
        <w:rPr>
          <w:sz w:val="20"/>
          <w:szCs w:val="20"/>
          <w:color w:val="auto"/>
        </w:rPr>
      </w:pPr>
    </w:p>
    <w:p>
      <w:pPr>
        <w:jc w:val="both"/>
        <w:ind w:firstLine="532"/>
        <w:spacing w:after="0" w:line="264" w:lineRule="auto"/>
        <w:rPr>
          <w:sz w:val="20"/>
          <w:szCs w:val="20"/>
          <w:color w:val="auto"/>
        </w:rPr>
      </w:pPr>
      <w:r>
        <w:rPr>
          <w:rFonts w:ascii="Arial" w:cs="Arial" w:eastAsia="Arial" w:hAnsi="Arial"/>
          <w:sz w:val="17"/>
          <w:szCs w:val="17"/>
          <w:color w:val="auto"/>
        </w:rPr>
        <w:t>Reference is made to the Amended and Restated Three Year Revolving Credit Agreement, dated as of October 17, 2014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party thereto. Unless otherwise defined herein, terms used herein have the meanings assigned to such terms in the Credit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Assignor: ______________________</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Assignee: ______________________</w:t>
      </w:r>
    </w:p>
    <w:p>
      <w:pPr>
        <w:spacing w:after="0" w:line="181" w:lineRule="exact"/>
        <w:rPr>
          <w:sz w:val="20"/>
          <w:szCs w:val="20"/>
          <w:color w:val="auto"/>
        </w:rPr>
      </w:pPr>
    </w:p>
    <w:p>
      <w:pPr>
        <w:ind w:left="1600" w:hanging="528"/>
        <w:spacing w:after="0"/>
        <w:tabs>
          <w:tab w:leader="none" w:pos="16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80" w:lineRule="exact"/>
        <w:rPr>
          <w:rFonts w:ascii="Arial" w:cs="Arial" w:eastAsia="Arial" w:hAnsi="Arial"/>
          <w:sz w:val="18"/>
          <w:szCs w:val="18"/>
          <w:color w:val="auto"/>
        </w:rPr>
      </w:pPr>
    </w:p>
    <w:p>
      <w:pPr>
        <w:ind w:left="1600" w:right="400" w:hanging="528"/>
        <w:spacing w:after="0" w:line="263" w:lineRule="auto"/>
        <w:tabs>
          <w:tab w:leader="none" w:pos="16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144" w:lineRule="exact"/>
        <w:rPr>
          <w:rFonts w:ascii="Arial" w:cs="Arial" w:eastAsia="Arial" w:hAnsi="Arial"/>
          <w:sz w:val="18"/>
          <w:szCs w:val="18"/>
          <w:color w:val="auto"/>
        </w:rPr>
      </w:pPr>
    </w:p>
    <w:p>
      <w:pPr>
        <w:ind w:left="1600" w:right="40" w:hanging="528"/>
        <w:spacing w:after="0" w:line="263" w:lineRule="auto"/>
        <w:tabs>
          <w:tab w:leader="none" w:pos="16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241" w:lineRule="exact"/>
        <w:rPr>
          <w:sz w:val="20"/>
          <w:szCs w:val="20"/>
          <w:color w:val="auto"/>
        </w:rPr>
      </w:pPr>
    </w:p>
    <w:tbl>
      <w:tblPr>
        <w:tblLayout w:type="fixed"/>
        <w:tblInd w:w="810" w:type="dxa"/>
        <w:tblCellMar>
          <w:top w:w="0" w:type="dxa"/>
          <w:left w:w="0" w:type="dxa"/>
          <w:bottom w:w="0" w:type="dxa"/>
          <w:right w:w="0" w:type="dxa"/>
        </w:tblCellMar>
      </w:tblPr>
      <w:tr>
        <w:trPr>
          <w:trHeight w:val="216"/>
        </w:trPr>
        <w:tc>
          <w:tcPr>
            <w:tcW w:w="236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Facility Assigned</w:t>
            </w: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Aggregate Amount of</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Amount of Commitment/Loans</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Percentage Assigned of</w:t>
            </w:r>
          </w:p>
        </w:tc>
      </w:tr>
      <w:tr>
        <w:trPr>
          <w:trHeight w:val="199"/>
        </w:trPr>
        <w:tc>
          <w:tcPr>
            <w:tcW w:w="2360" w:type="dxa"/>
            <w:vAlign w:val="bottom"/>
            <w:tcBorders>
              <w:left w:val="single" w:sz="8" w:color="auto"/>
              <w:right w:val="single" w:sz="8" w:color="auto"/>
            </w:tcBorders>
          </w:tcPr>
          <w:p>
            <w:pPr>
              <w:spacing w:after="0"/>
              <w:rPr>
                <w:sz w:val="17"/>
                <w:szCs w:val="17"/>
                <w:color w:val="auto"/>
              </w:rPr>
            </w:pPr>
          </w:p>
        </w:tc>
        <w:tc>
          <w:tcPr>
            <w:tcW w:w="236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1"/>
              </w:rPr>
              <w:t>Commitment/Loans for all</w:t>
            </w:r>
          </w:p>
        </w:tc>
        <w:tc>
          <w:tcPr>
            <w:tcW w:w="238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89"/>
              </w:rPr>
              <w:t>Assigned</w:t>
            </w:r>
          </w:p>
        </w:tc>
        <w:tc>
          <w:tcPr>
            <w:tcW w:w="278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0"/>
              </w:rPr>
              <w:t>Commitment/Loans</w:t>
            </w:r>
          </w:p>
        </w:tc>
      </w:tr>
      <w:tr>
        <w:trPr>
          <w:trHeight w:val="231"/>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Lenders under such Facility</w:t>
            </w:r>
          </w:p>
        </w:tc>
        <w:tc>
          <w:tcPr>
            <w:tcW w:w="238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r>
      <w:tr>
        <w:trPr>
          <w:trHeight w:val="419"/>
        </w:trPr>
        <w:tc>
          <w:tcPr>
            <w:tcW w:w="236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466" w:right="219" w:bottom="1440" w:gutter="0" w:footer="0" w:header="0"/>
        </w:sectPr>
      </w:pPr>
    </w:p>
    <w:bookmarkStart w:id="170" w:name="page171"/>
    <w:bookmarkEnd w:id="170"/>
    <w:p>
      <w:pPr>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Trade Date of Assignment (the “</w:t>
      </w:r>
      <w:r>
        <w:rPr>
          <w:rFonts w:ascii="Arial" w:cs="Arial" w:eastAsia="Arial" w:hAnsi="Arial"/>
          <w:sz w:val="16"/>
          <w:szCs w:val="16"/>
          <w:u w:val="single" w:color="auto"/>
          <w:color w:val="auto"/>
        </w:rPr>
        <w:t>Trade Date</w:t>
      </w:r>
      <w:r>
        <w:rPr>
          <w:rFonts w:ascii="Arial" w:cs="Arial" w:eastAsia="Arial" w:hAnsi="Arial"/>
          <w:sz w:val="16"/>
          <w:szCs w:val="16"/>
          <w:color w:val="auto"/>
        </w:rPr>
        <w:t>”): __________, 20_.</w:t>
      </w:r>
      <w:r>
        <w:rPr>
          <w:rFonts w:ascii="Arial" w:cs="Arial" w:eastAsia="Arial" w:hAnsi="Arial"/>
          <w:sz w:val="21"/>
          <w:szCs w:val="21"/>
          <w:color w:val="auto"/>
          <w:vertAlign w:val="superscript"/>
        </w:rPr>
        <w:t>1</w:t>
      </w:r>
    </w:p>
    <w:p>
      <w:pPr>
        <w:spacing w:after="0" w:line="156" w:lineRule="exact"/>
        <w:rPr>
          <w:sz w:val="20"/>
          <w:szCs w:val="20"/>
          <w:color w:val="auto"/>
        </w:rPr>
      </w:pPr>
    </w:p>
    <w:p>
      <w:pPr>
        <w:jc w:val="both"/>
        <w:ind w:firstLine="532"/>
        <w:spacing w:after="0" w:line="269" w:lineRule="auto"/>
        <w:rPr>
          <w:sz w:val="20"/>
          <w:szCs w:val="20"/>
          <w:color w:val="auto"/>
        </w:rPr>
      </w:pPr>
      <w:r>
        <w:rPr>
          <w:rFonts w:ascii="Arial" w:cs="Arial" w:eastAsia="Arial" w:hAnsi="Arial"/>
          <w:sz w:val="17"/>
          <w:szCs w:val="17"/>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2" w:lineRule="exact"/>
        <w:rPr>
          <w:sz w:val="20"/>
          <w:szCs w:val="20"/>
          <w:color w:val="auto"/>
        </w:rPr>
      </w:pPr>
    </w:p>
    <w:p>
      <w:pPr>
        <w:ind w:left="540" w:hanging="531"/>
        <w:spacing w:after="0"/>
        <w:tabs>
          <w:tab w:leader="none" w:pos="540" w:val="left"/>
        </w:tabs>
        <w:numPr>
          <w:ilvl w:val="0"/>
          <w:numId w:val="155"/>
        </w:numPr>
        <w:rPr>
          <w:rFonts w:ascii="Arial" w:cs="Arial" w:eastAsia="Arial" w:hAnsi="Arial"/>
          <w:sz w:val="21"/>
          <w:szCs w:val="21"/>
          <w:color w:val="auto"/>
          <w:vertAlign w:val="superscript"/>
        </w:rPr>
      </w:pPr>
      <w:r>
        <w:rPr>
          <w:rFonts w:ascii="Arial" w:cs="Arial" w:eastAsia="Arial" w:hAnsi="Arial"/>
          <w:sz w:val="15"/>
          <w:szCs w:val="15"/>
          <w:color w:val="auto"/>
        </w:rPr>
        <w:t>To be inserted by Administrative Agent and which shall be the effective date of recordation of transfer in the Register therefor.</w:t>
      </w:r>
    </w:p>
    <w:p>
      <w:pPr>
        <w:spacing w:after="0" w:line="365"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512" w:right="219" w:bottom="1440" w:gutter="0" w:footer="0" w:header="0"/>
        </w:sectPr>
      </w:pPr>
    </w:p>
    <w:bookmarkStart w:id="171" w:name="page172"/>
    <w:bookmarkEnd w:id="171"/>
    <w:p>
      <w:pPr>
        <w:jc w:val="center"/>
        <w:ind w:left="9240"/>
        <w:spacing w:after="0"/>
        <w:rPr>
          <w:sz w:val="20"/>
          <w:szCs w:val="20"/>
          <w:color w:val="auto"/>
        </w:rPr>
      </w:pPr>
      <w:r>
        <w:rPr>
          <w:rFonts w:ascii="Arial" w:cs="Arial" w:eastAsia="Arial" w:hAnsi="Arial"/>
          <w:sz w:val="18"/>
          <w:szCs w:val="18"/>
          <w:b w:val="1"/>
          <w:bCs w:val="1"/>
          <w:color w:val="auto"/>
        </w:rPr>
        <w:t>EXHIBIT J</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OF JOINDER AGREEMENT</w:t>
      </w:r>
    </w:p>
    <w:p>
      <w:pPr>
        <w:spacing w:after="0" w:line="364" w:lineRule="exact"/>
        <w:rPr>
          <w:sz w:val="20"/>
          <w:szCs w:val="20"/>
          <w:color w:val="auto"/>
        </w:rPr>
      </w:pPr>
    </w:p>
    <w:p>
      <w:pPr>
        <w:ind w:right="80" w:firstLine="1063"/>
        <w:spacing w:after="0" w:line="262" w:lineRule="auto"/>
        <w:rPr>
          <w:sz w:val="20"/>
          <w:szCs w:val="20"/>
          <w:color w:val="auto"/>
        </w:rPr>
      </w:pPr>
      <w:r>
        <w:rPr>
          <w:rFonts w:ascii="Arial" w:cs="Arial" w:eastAsia="Arial" w:hAnsi="Arial"/>
          <w:sz w:val="17"/>
          <w:szCs w:val="17"/>
          <w:color w:val="auto"/>
        </w:rPr>
        <w:t>JOINDER AGREEMENT, dated as of ___, 20__, made by each signatory hereto (each a “</w:t>
      </w:r>
      <w:r>
        <w:rPr>
          <w:rFonts w:ascii="Arial" w:cs="Arial" w:eastAsia="Arial" w:hAnsi="Arial"/>
          <w:sz w:val="17"/>
          <w:szCs w:val="17"/>
          <w:u w:val="single" w:color="auto"/>
          <w:color w:val="auto"/>
        </w:rPr>
        <w:t>Subsidiary Borrower</w:t>
      </w:r>
      <w:r>
        <w:rPr>
          <w:rFonts w:ascii="Arial" w:cs="Arial" w:eastAsia="Arial" w:hAnsi="Arial"/>
          <w:sz w:val="17"/>
          <w:szCs w:val="17"/>
          <w:color w:val="auto"/>
        </w:rPr>
        <w:t>”), in favor of JPMorgan Chase Bank, N.A.,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or, in the case of any additional Brazilian Subsidiary Borrower, Banco do Brasil S.A., as administrative agent for the Brazilian Lenders (in such capacity, the “</w:t>
      </w:r>
      <w:r>
        <w:rPr>
          <w:rFonts w:ascii="Arial" w:cs="Arial" w:eastAsia="Arial" w:hAnsi="Arial"/>
          <w:sz w:val="17"/>
          <w:szCs w:val="17"/>
          <w:u w:val="single" w:color="auto"/>
          <w:color w:val="auto"/>
        </w:rPr>
        <w:t>Brazilian Administrative Agent</w:t>
      </w:r>
      <w:r>
        <w:rPr>
          <w:rFonts w:ascii="Arial" w:cs="Arial" w:eastAsia="Arial" w:hAnsi="Arial"/>
          <w:sz w:val="17"/>
          <w:szCs w:val="17"/>
          <w:color w:val="auto"/>
        </w:rPr>
        <w:t>”) referred to in the Amended and Restated Three Year Revolving Credit Agreement, dated as of October 17, 2014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Lenders referred to therein, the Administrative Agent, the Brazilian Administrative Agent and the other agents party thereto. Unless otherwise defined herein, terms used but not defined herein shall have the meanings given to them in the Credit Agreement.</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 I T N E S S E T H:</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WHEREAS, the parties to this Joinder Agreement wish to add the Subsidiary Borrower to the Credit Agreement in the manner hereinafter set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forth; and</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WHEREAS, this Joinder Agreement is entered into pursuant to Section 10.1(d)(i) of the Credit Agreement;</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214" w:lineRule="exact"/>
        <w:rPr>
          <w:sz w:val="20"/>
          <w:szCs w:val="20"/>
          <w:color w:val="auto"/>
        </w:rPr>
      </w:pPr>
    </w:p>
    <w:p>
      <w:pPr>
        <w:ind w:firstLine="1072"/>
        <w:spacing w:after="0" w:line="300" w:lineRule="auto"/>
        <w:tabs>
          <w:tab w:leader="none" w:pos="12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Subsidiary Borrower, hereby acknowledges that it has received and reviewed a copy of the Credit Agreement, and acknowledges and agrees to: join the Credit Agreement as a Subsidiary Borrower, as indicated with its signature below; be bound by all covenants, agreements and acknowledgments attributable to a Subsidiary Borrower in the Credit Agreement; and perform all obligations and duties required of it by the Credit Agreement.</w:t>
      </w:r>
    </w:p>
    <w:p>
      <w:pPr>
        <w:spacing w:after="0" w:line="151" w:lineRule="exact"/>
        <w:rPr>
          <w:rFonts w:ascii="Arial" w:cs="Arial" w:eastAsia="Arial" w:hAnsi="Arial"/>
          <w:sz w:val="16"/>
          <w:szCs w:val="16"/>
          <w:color w:val="auto"/>
        </w:rPr>
      </w:pPr>
    </w:p>
    <w:p>
      <w:pPr>
        <w:ind w:right="80" w:firstLine="1072"/>
        <w:spacing w:after="0" w:line="263" w:lineRule="auto"/>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address, taxpayer identification number (if any) and jurisdiction of organization of the Subsidiary Borrower is set forth in Annex I to this Joinder Agreement.</w:t>
      </w:r>
    </w:p>
    <w:p>
      <w:pPr>
        <w:spacing w:after="0" w:line="171" w:lineRule="exact"/>
        <w:rPr>
          <w:rFonts w:ascii="Arial" w:cs="Arial" w:eastAsia="Arial" w:hAnsi="Arial"/>
          <w:sz w:val="18"/>
          <w:szCs w:val="18"/>
          <w:color w:val="auto"/>
        </w:rPr>
      </w:pPr>
    </w:p>
    <w:p>
      <w:pPr>
        <w:ind w:right="100" w:firstLine="1072"/>
        <w:spacing w:after="0" w:line="270" w:lineRule="auto"/>
        <w:tabs>
          <w:tab w:leader="none" w:pos="12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AND THE RIGHTS AND OBLIGATIONS OF THE PARTIES HEREUNDER SHALL BE GOVERNED BY, AND CONSTRUED AND INTERPRETED IN ACCORDANCE WITH, THE LAW OF THE STATE OF NEW YORK.</w:t>
      </w:r>
    </w:p>
    <w:p>
      <w:pPr>
        <w:spacing w:after="0" w:line="365"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340"/>
          </w:cols>
          <w:pgMar w:left="220" w:top="460" w:right="339" w:bottom="1440" w:gutter="0" w:footer="0" w:header="0"/>
        </w:sectPr>
      </w:pPr>
    </w:p>
    <w:bookmarkStart w:id="172" w:name="page173"/>
    <w:bookmarkEnd w:id="172"/>
    <w:p>
      <w:pPr>
        <w:ind w:firstLine="1063"/>
        <w:spacing w:after="0" w:line="263" w:lineRule="auto"/>
        <w:rPr>
          <w:sz w:val="20"/>
          <w:szCs w:val="20"/>
          <w:color w:val="auto"/>
        </w:rPr>
      </w:pPr>
      <w:r>
        <w:rPr>
          <w:rFonts w:ascii="Arial" w:cs="Arial" w:eastAsia="Arial" w:hAnsi="Arial"/>
          <w:sz w:val="18"/>
          <w:szCs w:val="18"/>
          <w:color w:val="auto"/>
        </w:rPr>
        <w:t>IN WITNESS WHEREOF, each of the undersigned has caused this Joinder Agreement to be duly executed and delivered by its proper and duly authorized officer as of the day and year first above written.</w:t>
      </w:r>
    </w:p>
    <w:p>
      <w:pPr>
        <w:spacing w:after="0" w:line="38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[EACH SUBSIDIARY BORROWER],</w:t>
      </w:r>
    </w:p>
    <w:p>
      <w:pPr>
        <w:spacing w:after="0" w:line="1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By:__________________________</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as Brazilian Administrative Agent]</w:t>
      </w:r>
      <w:r>
        <w:rPr>
          <w:rFonts w:ascii="Arial" w:cs="Arial" w:eastAsia="Arial" w:hAnsi="Arial"/>
          <w:sz w:val="23"/>
          <w:szCs w:val="23"/>
          <w:color w:val="auto"/>
          <w:vertAlign w:val="superscript"/>
        </w:rPr>
        <w:t>21</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w:t>
      </w:r>
    </w:p>
    <w:p>
      <w:pPr>
        <w:spacing w:after="0" w:line="240" w:lineRule="exact"/>
        <w:rPr>
          <w:sz w:val="20"/>
          <w:szCs w:val="20"/>
          <w:color w:val="auto"/>
        </w:rPr>
      </w:pPr>
    </w:p>
    <w:p>
      <w:pPr>
        <w:ind w:left="140" w:hanging="131"/>
        <w:spacing w:after="0"/>
        <w:tabs>
          <w:tab w:leader="none" w:pos="140" w:val="left"/>
        </w:tabs>
        <w:numPr>
          <w:ilvl w:val="0"/>
          <w:numId w:val="157"/>
        </w:numPr>
        <w:rPr>
          <w:rFonts w:ascii="Arial" w:cs="Arial" w:eastAsia="Arial" w:hAnsi="Arial"/>
          <w:sz w:val="16"/>
          <w:szCs w:val="16"/>
          <w:color w:val="auto"/>
          <w:vertAlign w:val="superscript"/>
        </w:rPr>
      </w:pPr>
      <w:r>
        <w:rPr>
          <w:rFonts w:ascii="Arial" w:cs="Arial" w:eastAsia="Arial" w:hAnsi="Arial"/>
          <w:sz w:val="12"/>
          <w:szCs w:val="12"/>
          <w:color w:val="auto"/>
        </w:rPr>
        <w:t>Only if for a Brazilian Borrower.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260"/>
          </w:cols>
          <w:pgMar w:left="220" w:top="134" w:right="419" w:bottom="1440" w:gutter="0" w:footer="0" w:header="0"/>
        </w:sectPr>
      </w:pPr>
    </w:p>
    <w:bookmarkStart w:id="173" w:name="page174"/>
    <w:bookmarkEnd w:id="173"/>
    <w:p>
      <w:pPr>
        <w:jc w:val="center"/>
        <w:ind w:left="9240"/>
        <w:spacing w:after="0"/>
        <w:rPr>
          <w:sz w:val="20"/>
          <w:szCs w:val="20"/>
          <w:color w:val="auto"/>
        </w:rPr>
      </w:pPr>
      <w:r>
        <w:rPr>
          <w:rFonts w:ascii="Arial" w:cs="Arial" w:eastAsia="Arial" w:hAnsi="Arial"/>
          <w:sz w:val="18"/>
          <w:szCs w:val="18"/>
          <w:b w:val="1"/>
          <w:bCs w:val="1"/>
          <w:color w:val="auto"/>
        </w:rPr>
        <w:t>EXHIBIT K-1</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158" w:lineRule="exact"/>
        <w:rPr>
          <w:sz w:val="20"/>
          <w:szCs w:val="20"/>
          <w:color w:val="auto"/>
        </w:rPr>
      </w:pPr>
    </w:p>
    <w:p>
      <w:pPr>
        <w:ind w:right="80" w:firstLine="532"/>
        <w:spacing w:after="0" w:line="264" w:lineRule="auto"/>
        <w:rPr>
          <w:sz w:val="20"/>
          <w:szCs w:val="20"/>
          <w:color w:val="auto"/>
        </w:rPr>
      </w:pPr>
      <w:r>
        <w:rPr>
          <w:rFonts w:ascii="Arial" w:cs="Arial" w:eastAsia="Arial" w:hAnsi="Arial"/>
          <w:sz w:val="17"/>
          <w:szCs w:val="17"/>
          <w:color w:val="auto"/>
        </w:rPr>
        <w:t>Reference is hereby made to the Amended and Restated Three Year Revolving Credit Agreement dated as of October 17, 2014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45" w:lineRule="exact"/>
        <w:rPr>
          <w:sz w:val="20"/>
          <w:szCs w:val="20"/>
          <w:color w:val="auto"/>
        </w:rPr>
      </w:pPr>
    </w:p>
    <w:p>
      <w:pPr>
        <w:ind w:right="100" w:firstLine="532"/>
        <w:spacing w:after="0" w:line="287" w:lineRule="auto"/>
        <w:rPr>
          <w:sz w:val="20"/>
          <w:szCs w:val="20"/>
          <w:color w:val="auto"/>
        </w:rPr>
      </w:pPr>
      <w:r>
        <w:rPr>
          <w:rFonts w:ascii="Arial" w:cs="Arial" w:eastAsia="Arial" w:hAnsi="Arial"/>
          <w:sz w:val="16"/>
          <w:szCs w:val="16"/>
          <w:color w:val="auto"/>
        </w:rPr>
        <w:t>Pursuant to the provisions of Section 2.24 of the Credit Agreement, the undersigned hereby certifies that (i) it is the sole record and beneficial owner of the Commitment, the Loan(s) (as well as any Note(s) evidencing such Loan(s)), and the L/C Obligations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29" w:lineRule="exact"/>
        <w:rPr>
          <w:sz w:val="20"/>
          <w:szCs w:val="20"/>
          <w:color w:val="auto"/>
        </w:rPr>
      </w:pPr>
    </w:p>
    <w:p>
      <w:pPr>
        <w:ind w:firstLine="532"/>
        <w:spacing w:after="0" w:line="280" w:lineRule="auto"/>
        <w:rPr>
          <w:sz w:val="20"/>
          <w:szCs w:val="20"/>
          <w:color w:val="auto"/>
        </w:rPr>
      </w:pPr>
      <w:r>
        <w:rPr>
          <w:rFonts w:ascii="Arial" w:cs="Arial" w:eastAsia="Arial" w:hAnsi="Arial"/>
          <w:sz w:val="16"/>
          <w:szCs w:val="16"/>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w:t>
      </w:r>
    </w:p>
    <w:p>
      <w:pPr>
        <w:spacing w:after="0" w:line="1" w:lineRule="exact"/>
        <w:rPr>
          <w:sz w:val="20"/>
          <w:szCs w:val="20"/>
          <w:color w:val="auto"/>
        </w:rPr>
      </w:pPr>
    </w:p>
    <w:p>
      <w:pPr>
        <w:ind w:right="20" w:firstLine="9"/>
        <w:spacing w:after="0" w:line="245" w:lineRule="auto"/>
        <w:tabs>
          <w:tab w:leader="none" w:pos="25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848" w:right="21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[NAME OF LENDER]</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w:t>
      </w:r>
    </w:p>
    <w:p>
      <w:pPr>
        <w:spacing w:after="0" w:line="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 20__</w:t>
      </w:r>
    </w:p>
    <w:p>
      <w:pPr>
        <w:spacing w:after="0" w:line="19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239"/>
          </w:cols>
          <w:pgMar w:left="220" w:top="1197" w:right="1440" w:bottom="1440" w:gutter="0" w:footer="0" w:header="0"/>
        </w:sectPr>
      </w:pPr>
    </w:p>
    <w:bookmarkStart w:id="175" w:name="page176"/>
    <w:bookmarkEnd w:id="175"/>
    <w:p>
      <w:pPr>
        <w:jc w:val="center"/>
        <w:ind w:left="9240"/>
        <w:spacing w:after="0"/>
        <w:rPr>
          <w:sz w:val="20"/>
          <w:szCs w:val="20"/>
          <w:color w:val="auto"/>
        </w:rPr>
      </w:pPr>
      <w:r>
        <w:rPr>
          <w:rFonts w:ascii="Arial" w:cs="Arial" w:eastAsia="Arial" w:hAnsi="Arial"/>
          <w:sz w:val="18"/>
          <w:szCs w:val="18"/>
          <w:b w:val="1"/>
          <w:bCs w:val="1"/>
          <w:color w:val="auto"/>
        </w:rPr>
        <w:t>EXHIBIT K-2</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158" w:lineRule="exact"/>
        <w:rPr>
          <w:sz w:val="20"/>
          <w:szCs w:val="20"/>
          <w:color w:val="auto"/>
        </w:rPr>
      </w:pPr>
    </w:p>
    <w:p>
      <w:pPr>
        <w:ind w:right="60" w:firstLine="532"/>
        <w:spacing w:after="0" w:line="264" w:lineRule="auto"/>
        <w:rPr>
          <w:sz w:val="20"/>
          <w:szCs w:val="20"/>
          <w:color w:val="auto"/>
        </w:rPr>
      </w:pPr>
      <w:r>
        <w:rPr>
          <w:rFonts w:ascii="Arial" w:cs="Arial" w:eastAsia="Arial" w:hAnsi="Arial"/>
          <w:sz w:val="17"/>
          <w:szCs w:val="17"/>
          <w:color w:val="auto"/>
        </w:rPr>
        <w:t>Reference is hereby made to the Amended and Restated Three Year Revolving Credit Agreement dated as of October 17, 2014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45" w:lineRule="exact"/>
        <w:rPr>
          <w:sz w:val="20"/>
          <w:szCs w:val="20"/>
          <w:color w:val="auto"/>
        </w:rPr>
      </w:pPr>
    </w:p>
    <w:p>
      <w:pPr>
        <w:ind w:right="140" w:firstLine="532"/>
        <w:spacing w:after="0" w:line="263" w:lineRule="auto"/>
        <w:rPr>
          <w:sz w:val="20"/>
          <w:szCs w:val="20"/>
          <w:color w:val="auto"/>
        </w:rPr>
      </w:pPr>
      <w:r>
        <w:rPr>
          <w:rFonts w:ascii="Arial" w:cs="Arial" w:eastAsia="Arial" w:hAnsi="Arial"/>
          <w:sz w:val="17"/>
          <w:szCs w:val="17"/>
          <w:color w:val="auto"/>
        </w:rPr>
        <w:t>Pursuant to the provisions of Section 2.24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47" w:lineRule="exact"/>
        <w:rPr>
          <w:sz w:val="20"/>
          <w:szCs w:val="20"/>
          <w:color w:val="auto"/>
        </w:rPr>
      </w:pPr>
    </w:p>
    <w:p>
      <w:pPr>
        <w:ind w:firstLine="532"/>
        <w:spacing w:after="0" w:line="281" w:lineRule="auto"/>
        <w:rPr>
          <w:sz w:val="20"/>
          <w:szCs w:val="20"/>
          <w:color w:val="auto"/>
        </w:rPr>
      </w:pPr>
      <w:r>
        <w:rPr>
          <w:rFonts w:ascii="Arial" w:cs="Arial" w:eastAsia="Arial" w:hAnsi="Arial"/>
          <w:sz w:val="16"/>
          <w:szCs w:val="16"/>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33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40"/>
          </w:cols>
          <w:pgMar w:left="220" w:top="615" w:right="239" w:bottom="1440" w:gutter="0" w:footer="0" w:header="0"/>
        </w:sectPr>
      </w:pPr>
    </w:p>
    <w:bookmarkStart w:id="176" w:name="page177"/>
    <w:bookmarkEnd w:id="176"/>
    <w:p>
      <w:pPr>
        <w:ind w:left="5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20__</w:t>
      </w:r>
    </w:p>
    <w:p>
      <w:pPr>
        <w:spacing w:after="0" w:line="352"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360"/>
          </w:cols>
          <w:pgMar w:left="220" w:top="134" w:right="319" w:bottom="1440" w:gutter="0" w:footer="0" w:header="0"/>
        </w:sectPr>
      </w:pPr>
    </w:p>
    <w:bookmarkStart w:id="177" w:name="page178"/>
    <w:bookmarkEnd w:id="177"/>
    <w:p>
      <w:pPr>
        <w:jc w:val="center"/>
        <w:ind w:left="9240"/>
        <w:spacing w:after="0"/>
        <w:rPr>
          <w:sz w:val="20"/>
          <w:szCs w:val="20"/>
          <w:color w:val="auto"/>
        </w:rPr>
      </w:pPr>
      <w:r>
        <w:rPr>
          <w:rFonts w:ascii="Arial" w:cs="Arial" w:eastAsia="Arial" w:hAnsi="Arial"/>
          <w:sz w:val="18"/>
          <w:szCs w:val="18"/>
          <w:b w:val="1"/>
          <w:bCs w:val="1"/>
          <w:color w:val="auto"/>
        </w:rPr>
        <w:t>EXHIBIT K-3</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158" w:lineRule="exact"/>
        <w:rPr>
          <w:sz w:val="20"/>
          <w:szCs w:val="20"/>
          <w:color w:val="auto"/>
        </w:rPr>
      </w:pPr>
    </w:p>
    <w:p>
      <w:pPr>
        <w:ind w:right="60" w:firstLine="532"/>
        <w:spacing w:after="0" w:line="264" w:lineRule="auto"/>
        <w:rPr>
          <w:sz w:val="20"/>
          <w:szCs w:val="20"/>
          <w:color w:val="auto"/>
        </w:rPr>
      </w:pPr>
      <w:r>
        <w:rPr>
          <w:rFonts w:ascii="Arial" w:cs="Arial" w:eastAsia="Arial" w:hAnsi="Arial"/>
          <w:sz w:val="17"/>
          <w:szCs w:val="17"/>
          <w:color w:val="auto"/>
        </w:rPr>
        <w:t>Reference is hereby made to the Amended and Restated Three Year Revolving Credit Agreement dated as of October 17, 2014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45" w:lineRule="exact"/>
        <w:rPr>
          <w:sz w:val="20"/>
          <w:szCs w:val="20"/>
          <w:color w:val="auto"/>
        </w:rPr>
      </w:pPr>
    </w:p>
    <w:p>
      <w:pPr>
        <w:ind w:right="100" w:firstLine="532"/>
        <w:spacing w:after="0" w:line="248" w:lineRule="auto"/>
        <w:rPr>
          <w:sz w:val="20"/>
          <w:szCs w:val="20"/>
          <w:color w:val="auto"/>
        </w:rPr>
      </w:pPr>
      <w:r>
        <w:rPr>
          <w:rFonts w:ascii="Arial" w:cs="Arial" w:eastAsia="Arial" w:hAnsi="Arial"/>
          <w:sz w:val="18"/>
          <w:szCs w:val="18"/>
          <w:color w:val="auto"/>
        </w:rPr>
        <w:t>Pursuant to the provisions of Section 2.24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0" w:lineRule="exact"/>
        <w:rPr>
          <w:sz w:val="20"/>
          <w:szCs w:val="20"/>
          <w:color w:val="auto"/>
        </w:rPr>
      </w:pPr>
    </w:p>
    <w:p>
      <w:pPr>
        <w:ind w:firstLine="532"/>
        <w:spacing w:after="0" w:line="267" w:lineRule="auto"/>
        <w:rPr>
          <w:sz w:val="20"/>
          <w:szCs w:val="20"/>
          <w:color w:val="auto"/>
        </w:rPr>
      </w:pPr>
      <w:r>
        <w:rPr>
          <w:rFonts w:ascii="Arial" w:cs="Arial" w:eastAsia="Arial" w:hAnsi="Arial"/>
          <w:sz w:val="17"/>
          <w:szCs w:val="17"/>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40"/>
          </w:cols>
          <w:pgMar w:left="220" w:top="615"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[NAME OF PARTICIPANT]</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w:t>
      </w:r>
    </w:p>
    <w:p>
      <w:pPr>
        <w:spacing w:after="0" w:line="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 20__</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239"/>
          </w:cols>
          <w:pgMar w:left="220" w:top="134" w:right="1440" w:bottom="1440" w:gutter="0" w:footer="0" w:header="0"/>
        </w:sectPr>
      </w:pPr>
    </w:p>
    <w:bookmarkStart w:id="179" w:name="page180"/>
    <w:bookmarkEnd w:id="179"/>
    <w:p>
      <w:pPr>
        <w:jc w:val="center"/>
        <w:ind w:left="9240"/>
        <w:spacing w:after="0"/>
        <w:rPr>
          <w:sz w:val="20"/>
          <w:szCs w:val="20"/>
          <w:color w:val="auto"/>
        </w:rPr>
      </w:pPr>
      <w:r>
        <w:rPr>
          <w:rFonts w:ascii="Arial" w:cs="Arial" w:eastAsia="Arial" w:hAnsi="Arial"/>
          <w:sz w:val="18"/>
          <w:szCs w:val="18"/>
          <w:b w:val="1"/>
          <w:bCs w:val="1"/>
          <w:color w:val="auto"/>
        </w:rPr>
        <w:t>EXHIBIT K-4</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158" w:lineRule="exact"/>
        <w:rPr>
          <w:sz w:val="20"/>
          <w:szCs w:val="20"/>
          <w:color w:val="auto"/>
        </w:rPr>
      </w:pPr>
    </w:p>
    <w:p>
      <w:pPr>
        <w:ind w:right="60" w:firstLine="532"/>
        <w:spacing w:after="0" w:line="264" w:lineRule="auto"/>
        <w:rPr>
          <w:sz w:val="20"/>
          <w:szCs w:val="20"/>
          <w:color w:val="auto"/>
        </w:rPr>
      </w:pPr>
      <w:r>
        <w:rPr>
          <w:rFonts w:ascii="Arial" w:cs="Arial" w:eastAsia="Arial" w:hAnsi="Arial"/>
          <w:sz w:val="17"/>
          <w:szCs w:val="17"/>
          <w:color w:val="auto"/>
        </w:rPr>
        <w:t>Reference is hereby made to the Amended and Restated Three Year Revolving Credit Agreement dated as of October 17, 2014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45" w:lineRule="exact"/>
        <w:rPr>
          <w:sz w:val="20"/>
          <w:szCs w:val="20"/>
          <w:color w:val="auto"/>
        </w:rPr>
      </w:pPr>
    </w:p>
    <w:p>
      <w:pPr>
        <w:ind w:firstLine="532"/>
        <w:spacing w:after="0" w:line="278" w:lineRule="auto"/>
        <w:rPr>
          <w:sz w:val="20"/>
          <w:szCs w:val="20"/>
          <w:color w:val="auto"/>
        </w:rPr>
      </w:pPr>
      <w:r>
        <w:rPr>
          <w:rFonts w:ascii="Arial" w:cs="Arial" w:eastAsia="Arial" w:hAnsi="Arial"/>
          <w:sz w:val="16"/>
          <w:szCs w:val="16"/>
          <w:color w:val="auto"/>
        </w:rPr>
        <w:t>Pursuant to the provisions of Section 2.24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w:t>
      </w:r>
    </w:p>
    <w:p>
      <w:pPr>
        <w:spacing w:after="0" w:line="3" w:lineRule="exact"/>
        <w:rPr>
          <w:sz w:val="20"/>
          <w:szCs w:val="20"/>
          <w:color w:val="auto"/>
        </w:rPr>
      </w:pPr>
    </w:p>
    <w:p>
      <w:pPr>
        <w:ind w:right="40" w:firstLine="9"/>
        <w:spacing w:after="0" w:line="245" w:lineRule="auto"/>
        <w:tabs>
          <w:tab w:leader="none" w:pos="25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61" w:lineRule="exact"/>
        <w:rPr>
          <w:sz w:val="20"/>
          <w:szCs w:val="20"/>
          <w:color w:val="auto"/>
        </w:rPr>
      </w:pPr>
    </w:p>
    <w:p>
      <w:pPr>
        <w:ind w:right="20" w:firstLine="532"/>
        <w:spacing w:after="0" w:line="246"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39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40"/>
          </w:cols>
          <w:pgMar w:left="220" w:top="671"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[NAME OF PARTICIPANT]</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w:t>
      </w:r>
    </w:p>
    <w:p>
      <w:pPr>
        <w:spacing w:after="0" w:line="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239"/>
          </w:cols>
          <w:pgMar w:left="220" w:top="665" w:right="1440" w:bottom="1440" w:gutter="0" w:footer="0" w:header="0"/>
        </w:sectPr>
      </w:pPr>
    </w:p>
    <w:bookmarkStart w:id="181" w:name="page182"/>
    <w:bookmarkEnd w:id="181"/>
    <w:p>
      <w:pPr>
        <w:jc w:val="center"/>
        <w:ind w:left="9240"/>
        <w:spacing w:after="0"/>
        <w:rPr>
          <w:sz w:val="20"/>
          <w:szCs w:val="20"/>
          <w:color w:val="auto"/>
        </w:rPr>
      </w:pPr>
      <w:r>
        <w:rPr>
          <w:rFonts w:ascii="Arial" w:cs="Arial" w:eastAsia="Arial" w:hAnsi="Arial"/>
          <w:sz w:val="18"/>
          <w:szCs w:val="18"/>
          <w:b w:val="1"/>
          <w:bCs w:val="1"/>
          <w:color w:val="auto"/>
        </w:rPr>
        <w:t>EXHIBIT L</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364" w:lineRule="exact"/>
        <w:rPr>
          <w:sz w:val="20"/>
          <w:szCs w:val="20"/>
          <w:color w:val="auto"/>
        </w:rPr>
      </w:pPr>
    </w:p>
    <w:p>
      <w:pPr>
        <w:ind w:left="9860"/>
        <w:spacing w:after="0"/>
        <w:rPr>
          <w:sz w:val="20"/>
          <w:szCs w:val="20"/>
          <w:color w:val="auto"/>
        </w:rPr>
      </w:pPr>
      <w:r>
        <w:rPr>
          <w:rFonts w:ascii="Arial" w:cs="Arial" w:eastAsia="Arial" w:hAnsi="Arial"/>
          <w:sz w:val="14"/>
          <w:szCs w:val="14"/>
          <w:color w:val="auto"/>
        </w:rPr>
        <w:t>_____________, 20__</w:t>
      </w:r>
    </w:p>
    <w:p>
      <w:pPr>
        <w:spacing w:after="0" w:line="227"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JPMorgan Chase Bank, N.A., as Administrative Agent under the Credit Agreements referred to below</w:t>
      </w:r>
    </w:p>
    <w:p>
      <w:pPr>
        <w:spacing w:after="0" w:line="181" w:lineRule="exact"/>
        <w:rPr>
          <w:sz w:val="20"/>
          <w:szCs w:val="20"/>
          <w:color w:val="auto"/>
        </w:rPr>
      </w:pPr>
    </w:p>
    <w:p>
      <w:pPr>
        <w:jc w:val="both"/>
        <w:ind w:left="560" w:hanging="539"/>
        <w:spacing w:after="0" w:line="278" w:lineRule="auto"/>
        <w:tabs>
          <w:tab w:leader="none" w:pos="54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(i) the Amended and Restated Three Year Revolving Credit Agreement, dated as of October 17, 2014 (as amended, restated, amended and restated, renewed, supplemented or modified from time to time, the “3</w:t>
      </w:r>
      <w:r>
        <w:rPr>
          <w:rFonts w:ascii="Arial" w:cs="Arial" w:eastAsia="Arial" w:hAnsi="Arial"/>
          <w:sz w:val="16"/>
          <w:szCs w:val="16"/>
          <w:u w:val="single" w:color="auto"/>
          <w:color w:val="auto"/>
        </w:rPr>
        <w:t>-Year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Europe Treasury Company AB, a Swedish corporation, General Motors do Brasil Ltda., a Brazilian limited liability company (“</w:t>
      </w:r>
      <w:r>
        <w:rPr>
          <w:rFonts w:ascii="Arial" w:cs="Arial" w:eastAsia="Arial" w:hAnsi="Arial"/>
          <w:sz w:val="16"/>
          <w:szCs w:val="16"/>
          <w:u w:val="single" w:color="auto"/>
          <w:color w:val="auto"/>
        </w:rPr>
        <w:t>GM Brazil</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and the other agents party thereto and (ii) the Amended and Restated Five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5-Year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 together with the 3 Year Credit Agreement, the “</w:t>
      </w:r>
      <w:r>
        <w:rPr>
          <w:rFonts w:ascii="Arial" w:cs="Arial" w:eastAsia="Arial" w:hAnsi="Arial"/>
          <w:sz w:val="16"/>
          <w:szCs w:val="16"/>
          <w:u w:val="single" w:color="auto"/>
          <w:color w:val="auto"/>
        </w:rPr>
        <w:t>Credit 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 Brazil, the Subsidiary Borrowers from time to time party thereto, the lenders from time to 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and together with the 3-Year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administrative agent for the 5-Year Lenders (in such capacity, together with any successor thereto in such capacity,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and together with the 3-Year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as Brazilian administrative agent, and the other agents party thereto.</w:t>
      </w:r>
    </w:p>
    <w:p>
      <w:pPr>
        <w:spacing w:after="0" w:line="142" w:lineRule="exact"/>
        <w:rPr>
          <w:sz w:val="20"/>
          <w:szCs w:val="20"/>
          <w:color w:val="auto"/>
        </w:rPr>
      </w:pPr>
    </w:p>
    <w:p>
      <w:pPr>
        <w:jc w:val="both"/>
        <w:ind w:firstLine="532"/>
        <w:spacing w:after="0" w:line="275" w:lineRule="auto"/>
        <w:rPr>
          <w:sz w:val="20"/>
          <w:szCs w:val="20"/>
          <w:color w:val="auto"/>
        </w:rPr>
      </w:pPr>
      <w:r>
        <w:rPr>
          <w:rFonts w:ascii="Arial" w:cs="Arial" w:eastAsia="Arial" w:hAnsi="Arial"/>
          <w:sz w:val="17"/>
          <w:szCs w:val="17"/>
          <w:color w:val="auto"/>
        </w:rPr>
        <w:t>This Compliance Certificate (this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is furnished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36" w:lineRule="exact"/>
        <w:rPr>
          <w:sz w:val="20"/>
          <w:szCs w:val="20"/>
          <w:color w:val="auto"/>
        </w:rPr>
      </w:pPr>
    </w:p>
    <w:p>
      <w:pPr>
        <w:ind w:left="860" w:hanging="320"/>
        <w:spacing w:after="0"/>
        <w:tabs>
          <w:tab w:leader="none" w:pos="8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180" w:lineRule="exact"/>
        <w:rPr>
          <w:rFonts w:ascii="Arial" w:cs="Arial" w:eastAsia="Arial" w:hAnsi="Arial"/>
          <w:sz w:val="18"/>
          <w:szCs w:val="18"/>
          <w:color w:val="auto"/>
        </w:rPr>
      </w:pPr>
    </w:p>
    <w:p>
      <w:pPr>
        <w:ind w:left="840" w:hanging="300"/>
        <w:spacing w:after="0"/>
        <w:tabs>
          <w:tab w:leader="none" w:pos="8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the best of my knowledge, no Default or Event of Default has occurred</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and is continuing as of the date hereof [, except as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670" w:right="219" w:bottom="1440" w:gutter="0" w:footer="0" w:header="0"/>
        </w:sectPr>
      </w:pPr>
    </w:p>
    <w:bookmarkStart w:id="182" w:name="page183"/>
    <w:bookmarkEnd w:id="182"/>
    <w:p>
      <w:pPr>
        <w:ind w:firstLine="540"/>
        <w:spacing w:after="0" w:line="263" w:lineRule="auto"/>
        <w:tabs>
          <w:tab w:leader="none" w:pos="84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 and</w:t>
      </w:r>
    </w:p>
    <w:p>
      <w:pPr>
        <w:spacing w:after="0" w:line="144" w:lineRule="exact"/>
        <w:rPr>
          <w:rFonts w:ascii="Arial" w:cs="Arial" w:eastAsia="Arial" w:hAnsi="Arial"/>
          <w:sz w:val="18"/>
          <w:szCs w:val="18"/>
          <w:color w:val="auto"/>
        </w:rPr>
      </w:pPr>
    </w:p>
    <w:p>
      <w:pPr>
        <w:ind w:right="20" w:firstLine="540"/>
        <w:spacing w:after="0" w:line="263" w:lineRule="auto"/>
        <w:tabs>
          <w:tab w:leader="none" w:pos="8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522" w:right="219" w:bottom="1440" w:gutter="0" w:footer="0" w:header="0"/>
        </w:sectPr>
      </w:pPr>
    </w:p>
    <w:bookmarkStart w:id="183" w:name="page184"/>
    <w:bookmarkEnd w:id="183"/>
    <w:p>
      <w:pPr>
        <w:ind w:firstLine="532"/>
        <w:spacing w:after="0" w:line="263" w:lineRule="auto"/>
        <w:rPr>
          <w:sz w:val="20"/>
          <w:szCs w:val="20"/>
          <w:color w:val="auto"/>
        </w:rPr>
      </w:pPr>
      <w:r>
        <w:rPr>
          <w:rFonts w:ascii="Arial" w:cs="Arial" w:eastAsia="Arial" w:hAnsi="Arial"/>
          <w:sz w:val="18"/>
          <w:szCs w:val="18"/>
          <w:color w:val="auto"/>
        </w:rPr>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4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GENERAL MOTORS COMPANY</w:t>
      </w:r>
    </w:p>
    <w:p>
      <w:pPr>
        <w:spacing w:after="0" w:line="200" w:lineRule="exact"/>
        <w:rPr>
          <w:sz w:val="20"/>
          <w:szCs w:val="20"/>
          <w:color w:val="auto"/>
        </w:rPr>
      </w:pPr>
    </w:p>
    <w:p>
      <w:pPr>
        <w:spacing w:after="0" w:line="22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By:____________________________</w:t>
      </w:r>
    </w:p>
    <w:p>
      <w:pPr>
        <w:spacing w:after="0" w:line="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Name:__________________________</w:t>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522" w:right="219" w:bottom="1440" w:gutter="0" w:footer="0" w:header="0"/>
        </w:sectPr>
      </w:pPr>
    </w:p>
    <w:bookmarkStart w:id="184" w:name="page185"/>
    <w:bookmarkEnd w:id="184"/>
    <w:p>
      <w:pPr>
        <w:jc w:val="center"/>
        <w:ind w:left="8340"/>
        <w:spacing w:after="0"/>
        <w:rPr>
          <w:sz w:val="20"/>
          <w:szCs w:val="20"/>
          <w:color w:val="auto"/>
        </w:rPr>
      </w:pPr>
      <w:r>
        <w:rPr>
          <w:rFonts w:ascii="Arial" w:cs="Arial" w:eastAsia="Arial" w:hAnsi="Arial"/>
          <w:sz w:val="18"/>
          <w:szCs w:val="18"/>
          <w:b w:val="1"/>
          <w:bCs w:val="1"/>
          <w:color w:val="auto"/>
        </w:rPr>
        <w:t>SCHEDULE I</w:t>
      </w:r>
    </w:p>
    <w:p>
      <w:pPr>
        <w:spacing w:after="0" w:line="37"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Compliance Certificate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Domestic Liquidity as of _____________, 20__(the “Calculation Date”)</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0" w:right="3980"/>
        <w:spacing w:after="0" w:line="250" w:lineRule="auto"/>
        <w:rPr>
          <w:sz w:val="20"/>
          <w:szCs w:val="20"/>
          <w:color w:val="auto"/>
        </w:rPr>
      </w:pPr>
      <w:r>
        <w:rPr>
          <w:rFonts w:ascii="Arial" w:cs="Arial" w:eastAsia="Arial" w:hAnsi="Arial"/>
          <w:sz w:val="18"/>
          <w:szCs w:val="18"/>
          <w:color w:val="auto"/>
        </w:rPr>
        <w:t>(A)The Total Available Commitments under the 3-Year Revolving Credit Agreement as of the Calculation Date</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PLUS</w:t>
      </w:r>
    </w:p>
    <w:p>
      <w:pPr>
        <w:spacing w:after="0" w:line="37" w:lineRule="exact"/>
        <w:rPr>
          <w:sz w:val="20"/>
          <w:szCs w:val="20"/>
          <w:color w:val="auto"/>
        </w:rPr>
      </w:pPr>
    </w:p>
    <w:p>
      <w:pPr>
        <w:ind w:left="420" w:right="3980"/>
        <w:spacing w:after="0" w:line="250" w:lineRule="auto"/>
        <w:rPr>
          <w:sz w:val="20"/>
          <w:szCs w:val="20"/>
          <w:color w:val="auto"/>
        </w:rPr>
      </w:pPr>
      <w:r>
        <w:rPr>
          <w:rFonts w:ascii="Arial" w:cs="Arial" w:eastAsia="Arial" w:hAnsi="Arial"/>
          <w:sz w:val="18"/>
          <w:szCs w:val="18"/>
          <w:color w:val="auto"/>
        </w:rPr>
        <w:t>(B)The Total Available Commitments under the 5-Year Revolving Credit Agreement as of the Calculation Date</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PLUS</w:t>
      </w:r>
    </w:p>
    <w:p>
      <w:pPr>
        <w:spacing w:after="0" w:line="37" w:lineRule="exact"/>
        <w:rPr>
          <w:sz w:val="20"/>
          <w:szCs w:val="20"/>
          <w:color w:val="auto"/>
        </w:rPr>
      </w:pPr>
    </w:p>
    <w:p>
      <w:pPr>
        <w:ind w:left="420" w:right="4000"/>
        <w:spacing w:after="0" w:line="274" w:lineRule="auto"/>
        <w:rPr>
          <w:sz w:val="20"/>
          <w:szCs w:val="20"/>
          <w:color w:val="auto"/>
        </w:rPr>
      </w:pPr>
      <w:r>
        <w:rPr>
          <w:rFonts w:ascii="Arial" w:cs="Arial" w:eastAsia="Arial" w:hAnsi="Arial"/>
          <w:sz w:val="16"/>
          <w:szCs w:val="16"/>
          <w:color w:val="auto"/>
        </w:rPr>
        <w:t>(C)The total available commitments (after giving effect to any applicable borrowing base limitations) under other effective committed credit facilities of the Company or any Domestic Subsidiary (including any Ancillary Commitments which may at such time be reallocated to provide availability to the Company or any Domestic Subsidiary) as of the Calculation Date</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PLUS</w:t>
      </w:r>
    </w:p>
    <w:p>
      <w:pPr>
        <w:spacing w:after="0" w:line="37" w:lineRule="exact"/>
        <w:rPr>
          <w:sz w:val="20"/>
          <w:szCs w:val="20"/>
          <w:color w:val="auto"/>
        </w:rPr>
      </w:pPr>
    </w:p>
    <w:p>
      <w:pPr>
        <w:ind w:left="420" w:right="4040"/>
        <w:spacing w:after="0" w:line="269" w:lineRule="auto"/>
        <w:rPr>
          <w:sz w:val="20"/>
          <w:szCs w:val="20"/>
          <w:color w:val="auto"/>
        </w:rPr>
      </w:pPr>
      <w:r>
        <w:rPr>
          <w:rFonts w:ascii="Arial" w:cs="Arial" w:eastAsia="Arial" w:hAnsi="Arial"/>
          <w:sz w:val="16"/>
          <w:szCs w:val="16"/>
          <w:color w:val="auto"/>
        </w:rPr>
        <w:t>(D)Total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5960" w:type="dxa"/>
            <w:vAlign w:val="bottom"/>
            <w:gridSpan w:val="2"/>
          </w:tcPr>
          <w:p>
            <w:pPr>
              <w:spacing w:after="0" w:line="186" w:lineRule="exact"/>
              <w:rPr>
                <w:sz w:val="20"/>
                <w:szCs w:val="20"/>
                <w:color w:val="auto"/>
              </w:rPr>
            </w:pPr>
            <w:r>
              <w:rPr>
                <w:rFonts w:ascii="Arial" w:cs="Arial" w:eastAsia="Arial" w:hAnsi="Arial"/>
                <w:sz w:val="18"/>
                <w:szCs w:val="18"/>
                <w:color w:val="auto"/>
              </w:rPr>
              <w:t>Sum of (A) plus (B) plus (C) plus (D): Consolidated Domestic Liquidity:</w:t>
            </w:r>
          </w:p>
        </w:tc>
        <w:tc>
          <w:tcPr>
            <w:tcW w:w="2820" w:type="dxa"/>
            <w:vAlign w:val="bottom"/>
          </w:tcPr>
          <w:p>
            <w:pPr>
              <w:jc w:val="right"/>
              <w:spacing w:after="0" w:line="186" w:lineRule="exact"/>
              <w:rPr>
                <w:sz w:val="20"/>
                <w:szCs w:val="20"/>
                <w:color w:val="auto"/>
              </w:rPr>
            </w:pPr>
            <w:r>
              <w:rPr>
                <w:rFonts w:ascii="Arial" w:cs="Arial" w:eastAsia="Arial" w:hAnsi="Arial"/>
                <w:sz w:val="18"/>
                <w:szCs w:val="18"/>
                <w:color w:val="auto"/>
              </w:rPr>
              <w:t>$______________________</w:t>
            </w:r>
          </w:p>
        </w:tc>
      </w:tr>
      <w:tr>
        <w:trPr>
          <w:trHeight w:val="20"/>
        </w:trPr>
        <w:tc>
          <w:tcPr>
            <w:tcW w:w="4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674"/>
        </w:trPr>
        <w:tc>
          <w:tcPr>
            <w:tcW w:w="5540" w:type="dxa"/>
            <w:vAlign w:val="bottom"/>
            <w:gridSpan w:val="2"/>
          </w:tcPr>
          <w:p>
            <w:pPr>
              <w:jc w:val="right"/>
              <w:ind w:right="3491"/>
              <w:spacing w:after="0"/>
              <w:rPr>
                <w:sz w:val="20"/>
                <w:szCs w:val="20"/>
                <w:color w:val="auto"/>
              </w:rPr>
            </w:pPr>
            <w:r>
              <w:rPr>
                <w:rFonts w:ascii="Arial" w:cs="Arial" w:eastAsia="Arial" w:hAnsi="Arial"/>
                <w:sz w:val="18"/>
                <w:szCs w:val="18"/>
                <w:color w:val="auto"/>
                <w:w w:val="88"/>
              </w:rPr>
              <w:t>______________________</w:t>
            </w:r>
          </w:p>
        </w:tc>
        <w:tc>
          <w:tcPr>
            <w:tcW w:w="84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161" w:lineRule="exact"/>
        <w:rPr>
          <w:sz w:val="20"/>
          <w:szCs w:val="20"/>
          <w:color w:val="auto"/>
        </w:rPr>
      </w:pPr>
    </w:p>
    <w:p>
      <w:pPr>
        <w:ind w:left="540" w:hanging="531"/>
        <w:spacing w:after="0"/>
        <w:tabs>
          <w:tab w:leader="none" w:pos="540" w:val="left"/>
        </w:tabs>
        <w:numPr>
          <w:ilvl w:val="0"/>
          <w:numId w:val="162"/>
        </w:numPr>
        <w:rPr>
          <w:rFonts w:ascii="Arial" w:cs="Arial" w:eastAsia="Arial" w:hAnsi="Arial"/>
          <w:sz w:val="19"/>
          <w:szCs w:val="19"/>
          <w:color w:val="auto"/>
          <w:vertAlign w:val="superscript"/>
        </w:rPr>
      </w:pPr>
      <w:r>
        <w:rPr>
          <w:rFonts w:ascii="Arial" w:cs="Arial" w:eastAsia="Arial" w:hAnsi="Arial"/>
          <w:sz w:val="13"/>
          <w:szCs w:val="13"/>
          <w:color w:val="auto"/>
        </w:rPr>
        <w:t xml:space="preserve">The last day of the most recent fiscal period covered by the financial statements of the Company delivered or deemed delivered pursuant to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of each Credit Agreement.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060"/>
          </w:cols>
          <w:pgMar w:left="220" w:top="460" w:right="619" w:bottom="1440" w:gutter="0" w:footer="0" w:header="0"/>
        </w:sectPr>
      </w:pPr>
    </w:p>
    <w:bookmarkStart w:id="185" w:name="page186"/>
    <w:bookmarkEnd w:id="185"/>
    <w:p>
      <w:pPr>
        <w:jc w:val="center"/>
        <w:ind w:left="8340"/>
        <w:spacing w:after="0"/>
        <w:rPr>
          <w:sz w:val="20"/>
          <w:szCs w:val="20"/>
          <w:color w:val="auto"/>
        </w:rPr>
      </w:pPr>
      <w:r>
        <w:rPr>
          <w:rFonts w:ascii="Arial" w:cs="Arial" w:eastAsia="Arial" w:hAnsi="Arial"/>
          <w:sz w:val="18"/>
          <w:szCs w:val="18"/>
          <w:b w:val="1"/>
          <w:bCs w:val="1"/>
          <w:color w:val="auto"/>
        </w:rPr>
        <w:t>SCHEDULE II</w:t>
      </w:r>
    </w:p>
    <w:p>
      <w:pPr>
        <w:spacing w:after="0" w:line="37"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Compliance Certificate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Global Liquidity as of _____________, 20__(the “Calculation Date”)</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0" w:right="4060"/>
        <w:spacing w:after="0" w:line="250" w:lineRule="auto"/>
        <w:rPr>
          <w:sz w:val="20"/>
          <w:szCs w:val="20"/>
          <w:color w:val="auto"/>
        </w:rPr>
      </w:pPr>
      <w:r>
        <w:rPr>
          <w:rFonts w:ascii="Arial" w:cs="Arial" w:eastAsia="Arial" w:hAnsi="Arial"/>
          <w:sz w:val="18"/>
          <w:szCs w:val="18"/>
          <w:color w:val="auto"/>
        </w:rPr>
        <w:t>(A)The Total Available Commitments under the 3-Year Revolving Credit Agreement as of the Calculation Date</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PLUS</w:t>
      </w:r>
    </w:p>
    <w:p>
      <w:pPr>
        <w:spacing w:after="0" w:line="37" w:lineRule="exact"/>
        <w:rPr>
          <w:sz w:val="20"/>
          <w:szCs w:val="20"/>
          <w:color w:val="auto"/>
        </w:rPr>
      </w:pPr>
    </w:p>
    <w:p>
      <w:pPr>
        <w:ind w:left="420" w:right="4020" w:hanging="7"/>
        <w:spacing w:after="0" w:line="250" w:lineRule="auto"/>
        <w:tabs>
          <w:tab w:leader="none" w:pos="7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Total Available Commitments under the 5-Year Revolving Credit Agreement as of the Calculation Date</w:t>
      </w:r>
    </w:p>
    <w:p>
      <w:pPr>
        <w:spacing w:after="0" w:line="1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37" w:lineRule="exact"/>
        <w:rPr>
          <w:sz w:val="20"/>
          <w:szCs w:val="20"/>
          <w:color w:val="auto"/>
        </w:rPr>
      </w:pPr>
    </w:p>
    <w:p>
      <w:pPr>
        <w:ind w:left="420" w:right="4260"/>
        <w:spacing w:after="0" w:line="256" w:lineRule="auto"/>
        <w:rPr>
          <w:sz w:val="20"/>
          <w:szCs w:val="20"/>
          <w:color w:val="auto"/>
        </w:rPr>
      </w:pPr>
      <w:r>
        <w:rPr>
          <w:rFonts w:ascii="Arial" w:cs="Arial" w:eastAsia="Arial" w:hAnsi="Arial"/>
          <w:sz w:val="17"/>
          <w:szCs w:val="17"/>
          <w:color w:val="auto"/>
        </w:rPr>
        <w:t>(C)The total available commitments (after giving effect to any applicable borrowing base limitations) under other effective committed credit facilities of the Company or any of its Subsidiaries (including any Ancillary Commitments available to the Company or any of its Subsidiaries, as applicable) as of the Calculation Date</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PLUS</w:t>
      </w:r>
    </w:p>
    <w:p>
      <w:pPr>
        <w:spacing w:after="0" w:line="37" w:lineRule="exact"/>
        <w:rPr>
          <w:sz w:val="20"/>
          <w:szCs w:val="20"/>
          <w:color w:val="auto"/>
        </w:rPr>
      </w:pPr>
    </w:p>
    <w:p>
      <w:pPr>
        <w:ind w:left="420" w:right="4160"/>
        <w:spacing w:after="0" w:line="274" w:lineRule="auto"/>
        <w:rPr>
          <w:sz w:val="20"/>
          <w:szCs w:val="20"/>
          <w:color w:val="auto"/>
        </w:rPr>
      </w:pPr>
      <w:r>
        <w:rPr>
          <w:rFonts w:ascii="Arial" w:cs="Arial" w:eastAsia="Arial" w:hAnsi="Arial"/>
          <w:sz w:val="16"/>
          <w:szCs w:val="16"/>
          <w:color w:val="auto"/>
        </w:rPr>
        <w:t>(D)The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 w:lineRule="exact"/>
        <w:rPr>
          <w:sz w:val="20"/>
          <w:szCs w:val="20"/>
          <w:color w:val="auto"/>
        </w:rPr>
      </w:pPr>
    </w:p>
    <w:p>
      <w:pPr>
        <w:ind w:left="420"/>
        <w:spacing w:after="0"/>
        <w:tabs>
          <w:tab w:leader="none" w:pos="7140" w:val="left"/>
        </w:tabs>
        <w:rPr>
          <w:sz w:val="20"/>
          <w:szCs w:val="20"/>
          <w:color w:val="auto"/>
        </w:rPr>
      </w:pPr>
      <w:r>
        <w:rPr>
          <w:rFonts w:ascii="Arial" w:cs="Arial" w:eastAsia="Arial" w:hAnsi="Arial"/>
          <w:sz w:val="18"/>
          <w:szCs w:val="18"/>
          <w:u w:val="single" w:color="auto"/>
          <w:color w:val="auto"/>
        </w:rPr>
        <w:t>Sum of (A) plus (B) plus (C) plus (D): Consolidated Global Liquidity</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45" w:lineRule="exact"/>
        <w:rPr>
          <w:sz w:val="20"/>
          <w:szCs w:val="20"/>
          <w:color w:val="auto"/>
        </w:rPr>
      </w:pPr>
    </w:p>
    <w:p>
      <w:pPr>
        <w:ind w:left="600" w:hanging="591"/>
        <w:spacing w:after="0"/>
        <w:tabs>
          <w:tab w:leader="none" w:pos="600" w:val="left"/>
        </w:tabs>
        <w:numPr>
          <w:ilvl w:val="0"/>
          <w:numId w:val="164"/>
        </w:numPr>
        <w:rPr>
          <w:rFonts w:ascii="Arial" w:cs="Arial" w:eastAsia="Arial" w:hAnsi="Arial"/>
          <w:sz w:val="19"/>
          <w:szCs w:val="19"/>
          <w:color w:val="auto"/>
          <w:vertAlign w:val="superscript"/>
        </w:rPr>
      </w:pPr>
      <w:r>
        <w:rPr>
          <w:rFonts w:ascii="Arial" w:cs="Arial" w:eastAsia="Arial" w:hAnsi="Arial"/>
          <w:sz w:val="13"/>
          <w:szCs w:val="13"/>
          <w:color w:val="auto"/>
        </w:rPr>
        <w:t xml:space="preserve">The last day of the most recent fiscal period covered by the financial statements of the Company delivered or deemed delivered pursuant to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of each Credit Agreement.</w:t>
      </w:r>
    </w:p>
    <w:p>
      <w:pPr>
        <w:spacing w:after="0" w:line="365"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140"/>
          </w:cols>
          <w:pgMar w:left="220" w:top="460" w:right="539" w:bottom="1440" w:gutter="0" w:footer="0" w:header="0"/>
        </w:sectPr>
      </w:pPr>
    </w:p>
    <w:bookmarkStart w:id="186" w:name="page187"/>
    <w:bookmarkEnd w:id="186"/>
    <w:p>
      <w:pPr>
        <w:jc w:val="center"/>
        <w:ind w:left="8100"/>
        <w:spacing w:after="0"/>
        <w:rPr>
          <w:sz w:val="20"/>
          <w:szCs w:val="20"/>
          <w:color w:val="auto"/>
        </w:rPr>
      </w:pPr>
      <w:r>
        <w:rPr>
          <w:rFonts w:ascii="Arial" w:cs="Arial" w:eastAsia="Arial" w:hAnsi="Arial"/>
          <w:sz w:val="18"/>
          <w:szCs w:val="18"/>
          <w:b w:val="1"/>
          <w:bCs w:val="1"/>
          <w:color w:val="auto"/>
        </w:rPr>
        <w:t>ANNEX I</w:t>
      </w:r>
    </w:p>
    <w:p>
      <w:pPr>
        <w:spacing w:after="0" w:line="37" w:lineRule="exact"/>
        <w:rPr>
          <w:sz w:val="20"/>
          <w:szCs w:val="20"/>
          <w:color w:val="auto"/>
        </w:rPr>
      </w:pPr>
    </w:p>
    <w:p>
      <w:pPr>
        <w:jc w:val="center"/>
        <w:ind w:left="810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8100"/>
        <w:spacing w:after="0"/>
        <w:rPr>
          <w:sz w:val="20"/>
          <w:szCs w:val="20"/>
          <w:color w:val="auto"/>
        </w:rPr>
      </w:pPr>
      <w:r>
        <w:rPr>
          <w:rFonts w:ascii="Arial" w:cs="Arial" w:eastAsia="Arial" w:hAnsi="Arial"/>
          <w:sz w:val="16"/>
          <w:szCs w:val="16"/>
          <w:b w:val="1"/>
          <w:bCs w:val="1"/>
          <w:color w:val="auto"/>
        </w:rPr>
        <w:t>Compliance Certificate</w:t>
      </w:r>
    </w:p>
    <w:p>
      <w:pPr>
        <w:spacing w:after="0" w:line="26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[Defaults/Events of Default that have occurred and are continuing]</w:t>
      </w:r>
    </w:p>
    <w:p>
      <w:pPr>
        <w:spacing w:after="0" w:line="19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660"/>
          </w:cols>
          <w:pgMar w:left="220" w:top="670" w:right="1019" w:bottom="1440" w:gutter="0" w:footer="0" w:header="0"/>
        </w:sectPr>
      </w:pPr>
    </w:p>
    <w:bookmarkStart w:id="187" w:name="page188"/>
    <w:bookmarkEnd w:id="187"/>
    <w:p>
      <w:pPr>
        <w:jc w:val="center"/>
        <w:ind w:left="9240"/>
        <w:spacing w:after="0"/>
        <w:rPr>
          <w:sz w:val="20"/>
          <w:szCs w:val="20"/>
          <w:color w:val="auto"/>
        </w:rPr>
      </w:pPr>
      <w:r>
        <w:rPr>
          <w:rFonts w:ascii="Arial" w:cs="Arial" w:eastAsia="Arial" w:hAnsi="Arial"/>
          <w:sz w:val="18"/>
          <w:szCs w:val="18"/>
          <w:b w:val="1"/>
          <w:bCs w:val="1"/>
          <w:color w:val="auto"/>
        </w:rPr>
        <w:t>EXHIBIT M</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17"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$_____________</w:t>
      </w:r>
      <w:r>
        <w:rPr>
          <w:sz w:val="20"/>
          <w:szCs w:val="20"/>
          <w:color w:val="auto"/>
        </w:rPr>
        <w:tab/>
      </w:r>
      <w:r>
        <w:rPr>
          <w:rFonts w:ascii="Arial" w:cs="Arial" w:eastAsia="Arial" w:hAnsi="Arial"/>
          <w:sz w:val="14"/>
          <w:szCs w:val="14"/>
          <w:color w:val="auto"/>
        </w:rPr>
        <w:t>______________, 20__</w:t>
      </w:r>
    </w:p>
    <w:p>
      <w:pPr>
        <w:spacing w:after="0" w:line="200" w:lineRule="exact"/>
        <w:rPr>
          <w:sz w:val="20"/>
          <w:szCs w:val="20"/>
          <w:color w:val="auto"/>
        </w:rPr>
      </w:pPr>
    </w:p>
    <w:p>
      <w:pPr>
        <w:jc w:val="both"/>
        <w:ind w:firstLine="532"/>
        <w:spacing w:after="0" w:line="283" w:lineRule="auto"/>
        <w:rPr>
          <w:sz w:val="20"/>
          <w:szCs w:val="20"/>
          <w:color w:val="auto"/>
        </w:rPr>
      </w:pPr>
      <w:r>
        <w:rPr>
          <w:rFonts w:ascii="Arial" w:cs="Arial" w:eastAsia="Arial" w:hAnsi="Arial"/>
          <w:sz w:val="16"/>
          <w:szCs w:val="16"/>
          <w:color w:val="auto"/>
        </w:rPr>
        <w:t>FOR VALUE RECEIVED, the undersigned, [NAME OF BORROWER], [JURISDICTION OF INCORPORATION/FORMATION], [TYPE OF ORGANIZATION] (together with its successors and permitted assigns,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hereby unconditionally promises to pay to ______________</w:t>
      </w:r>
    </w:p>
    <w:p>
      <w:pPr>
        <w:jc w:val="both"/>
        <w:spacing w:after="0" w:line="274"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on the Lender’s Termination Date specified in the Credit Agreement (as hereinafter defined) at the Funding Office specified in such Credit Agreement, in the currency of such Loans and in immediately available funds, the principal amount of (a) 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 or, if less, (b) the unpaid principal amount of the Loans of the Lender outstanding under the Credit Agreement. The Applicable Borrower further</w:t>
      </w:r>
    </w:p>
    <w:p>
      <w:pPr>
        <w:spacing w:after="0" w:line="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of the Credit Agreement.</w:t>
      </w:r>
    </w:p>
    <w:p>
      <w:pPr>
        <w:spacing w:after="0" w:line="159" w:lineRule="exact"/>
        <w:rPr>
          <w:sz w:val="20"/>
          <w:szCs w:val="20"/>
          <w:color w:val="auto"/>
        </w:rPr>
      </w:pPr>
    </w:p>
    <w:p>
      <w:pPr>
        <w:jc w:val="both"/>
        <w:ind w:firstLine="532"/>
        <w:spacing w:after="0" w:line="284" w:lineRule="auto"/>
        <w:rPr>
          <w:sz w:val="20"/>
          <w:szCs w:val="20"/>
          <w:color w:val="auto"/>
        </w:rPr>
      </w:pPr>
      <w:r>
        <w:rPr>
          <w:rFonts w:ascii="Arial" w:cs="Arial" w:eastAsia="Arial" w:hAnsi="Arial"/>
          <w:sz w:val="16"/>
          <w:szCs w:val="16"/>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6"/>
          <w:szCs w:val="16"/>
          <w:u w:val="single" w:color="auto"/>
          <w:color w:val="auto"/>
        </w:rPr>
        <w:t>Section 10.6(b)</w:t>
      </w:r>
      <w:r>
        <w:rPr>
          <w:rFonts w:ascii="Arial" w:cs="Arial" w:eastAsia="Arial" w:hAnsi="Arial"/>
          <w:sz w:val="16"/>
          <w:szCs w:val="16"/>
          <w:color w:val="auto"/>
        </w:rPr>
        <w:t xml:space="preserve"> of the Credit Agreement, each such endorsement shall constitute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33" w:lineRule="exact"/>
        <w:rPr>
          <w:sz w:val="20"/>
          <w:szCs w:val="20"/>
          <w:color w:val="auto"/>
        </w:rPr>
      </w:pPr>
    </w:p>
    <w:p>
      <w:pPr>
        <w:jc w:val="both"/>
        <w:ind w:firstLine="532"/>
        <w:spacing w:after="0" w:line="247" w:lineRule="auto"/>
        <w:rPr>
          <w:sz w:val="20"/>
          <w:szCs w:val="20"/>
          <w:color w:val="auto"/>
        </w:rPr>
      </w:pPr>
      <w:r>
        <w:rPr>
          <w:rFonts w:ascii="Arial" w:cs="Arial" w:eastAsia="Arial" w:hAnsi="Arial"/>
          <w:sz w:val="18"/>
          <w:szCs w:val="18"/>
          <w:color w:val="auto"/>
        </w:rPr>
        <w:t>This Note (a) is one of the Notes referred to in the Amended and Restated Three Year Revolving Credit Agreement, dated as of October 17, 2014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General Motors Financial Company, Inc., a Texas corporation, GM Europe Treasury Company AB, a Swedish corporation, General Motors do Brasil Ltda., a Brazilian limited liability company, the Subsidiary Borrowers from time to time party thereto, the Lender, the other lenders from time to time party thereto, JPMorgan Chase Bank, N.A., as Administrative Agent, Banco do Brasil S.A., as Brazilian Administrative Agent, and the other agents party thereto, (b) is subject to the provisions of the Credit Agreement and (c) is subject to optional and mandatory prepayment in whole or in part as provided</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460" w:right="21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color w:val="auto"/>
        </w:rPr>
        <w:t>in the Credit Agreement. This Note is guaranteed as provided in the Loan Documents subject to the release and termination provisions contained therein.</w:t>
      </w:r>
    </w:p>
    <w:p>
      <w:pPr>
        <w:spacing w:after="0" w:line="204" w:lineRule="exact"/>
        <w:rPr>
          <w:sz w:val="20"/>
          <w:szCs w:val="20"/>
          <w:color w:val="auto"/>
        </w:rPr>
      </w:pPr>
    </w:p>
    <w:p>
      <w:pPr>
        <w:jc w:val="both"/>
        <w:ind w:firstLine="532"/>
        <w:spacing w:after="0" w:line="263" w:lineRule="auto"/>
        <w:rPr>
          <w:sz w:val="20"/>
          <w:szCs w:val="20"/>
          <w:color w:val="auto"/>
        </w:rPr>
      </w:pPr>
      <w:r>
        <w:rPr>
          <w:rFonts w:ascii="Arial" w:cs="Arial" w:eastAsia="Arial" w:hAnsi="Arial"/>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181" w:lineRule="exact"/>
        <w:rPr>
          <w:sz w:val="20"/>
          <w:szCs w:val="20"/>
          <w:color w:val="auto"/>
        </w:rPr>
      </w:pPr>
    </w:p>
    <w:p>
      <w:pPr>
        <w:jc w:val="both"/>
        <w:ind w:firstLine="532"/>
        <w:spacing w:after="0" w:line="253"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54" w:lineRule="exact"/>
        <w:rPr>
          <w:sz w:val="20"/>
          <w:szCs w:val="20"/>
          <w:color w:val="auto"/>
        </w:rPr>
      </w:pPr>
    </w:p>
    <w:p>
      <w:pPr>
        <w:jc w:val="both"/>
        <w:ind w:right="20" w:firstLine="532"/>
        <w:spacing w:after="0" w:line="263"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14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OF APPLICABLE BORROWER].</w:t>
      </w:r>
    </w:p>
    <w:p>
      <w:pPr>
        <w:spacing w:after="0" w:line="200" w:lineRule="exact"/>
        <w:rPr>
          <w:sz w:val="20"/>
          <w:szCs w:val="20"/>
          <w:color w:val="auto"/>
        </w:rPr>
      </w:pPr>
    </w:p>
    <w:p>
      <w:pPr>
        <w:spacing w:after="0" w:line="368"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By:_______________________________</w:t>
      </w:r>
    </w:p>
    <w:p>
      <w:pPr>
        <w:spacing w:after="0" w:line="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Name:_____________________________</w:t>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134" w:right="219" w:bottom="1440" w:gutter="0" w:footer="0" w:header="0"/>
        </w:sectPr>
      </w:pPr>
    </w:p>
    <w:bookmarkStart w:id="189" w:name="page190"/>
    <w:bookmarkEnd w:id="189"/>
    <w:p>
      <w:pPr>
        <w:jc w:val="center"/>
        <w:ind w:left="9240"/>
        <w:spacing w:after="0"/>
        <w:rPr>
          <w:sz w:val="20"/>
          <w:szCs w:val="20"/>
          <w:color w:val="auto"/>
        </w:rPr>
      </w:pPr>
      <w:r>
        <w:rPr>
          <w:rFonts w:ascii="Arial" w:cs="Arial" w:eastAsia="Arial" w:hAnsi="Arial"/>
          <w:sz w:val="18"/>
          <w:szCs w:val="18"/>
          <w:b w:val="1"/>
          <w:bCs w:val="1"/>
          <w:color w:val="auto"/>
        </w:rPr>
        <w:t>SCHEDULE A</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Note</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LOANS, CONVERSIONS AND REPAYMENTS OF ABR LOANS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00" w:type="dxa"/>
            <w:vAlign w:val="bottom"/>
            <w:tcBorders>
              <w:top w:val="single" w:sz="8" w:color="auto"/>
              <w:left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spacing w:after="0"/>
              <w:rPr>
                <w:sz w:val="17"/>
                <w:szCs w:val="17"/>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Amount</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Amount of Principal</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Amount of ABR</w:t>
            </w:r>
          </w:p>
        </w:tc>
        <w:tc>
          <w:tcPr>
            <w:tcW w:w="1740" w:type="dxa"/>
            <w:vAlign w:val="bottom"/>
            <w:tcBorders>
              <w:top w:val="single" w:sz="8" w:color="auto"/>
              <w:right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r>
      <w:tr>
        <w:trPr>
          <w:trHeight w:val="188"/>
        </w:trPr>
        <w:tc>
          <w:tcPr>
            <w:tcW w:w="80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Amount of</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Converted to</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of ABR Loans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Loans Converted to</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Unpaid Principal Balance</w:t>
            </w:r>
          </w:p>
        </w:tc>
        <w:tc>
          <w:tcPr>
            <w:tcW w:w="980" w:type="dxa"/>
            <w:vAlign w:val="bottom"/>
            <w:tcBorders>
              <w:right w:val="single" w:sz="8" w:color="auto"/>
            </w:tcBorders>
          </w:tcPr>
          <w:p>
            <w:pPr>
              <w:spacing w:after="0"/>
              <w:rPr>
                <w:sz w:val="16"/>
                <w:szCs w:val="16"/>
                <w:color w:val="auto"/>
              </w:rPr>
            </w:pPr>
          </w:p>
        </w:tc>
      </w:tr>
      <w:tr>
        <w:trPr>
          <w:trHeight w:val="216"/>
        </w:trPr>
        <w:tc>
          <w:tcPr>
            <w:tcW w:w="80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Date</w:t>
            </w:r>
          </w:p>
        </w:tc>
        <w:tc>
          <w:tcPr>
            <w:tcW w:w="11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Facility</w:t>
            </w: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Currency</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ABR Loans</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ABR Loans</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Repaid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Eurocurrency Loans</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of ABR Loans</w:t>
            </w:r>
          </w:p>
        </w:tc>
        <w:tc>
          <w:tcPr>
            <w:tcW w:w="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Made By</w:t>
            </w:r>
          </w:p>
        </w:tc>
      </w:tr>
      <w:tr>
        <w:trPr>
          <w:trHeight w:val="321"/>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323"/>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80"/>
          </w:cols>
          <w:pgMar w:left="220" w:top="604" w:right="199" w:bottom="1440" w:gutter="0" w:footer="0" w:header="0"/>
        </w:sectPr>
      </w:pPr>
    </w:p>
    <w:bookmarkStart w:id="190" w:name="page191"/>
    <w:bookmarkEnd w:id="190"/>
    <w:p>
      <w:pPr>
        <w:jc w:val="center"/>
        <w:ind w:left="9240"/>
        <w:spacing w:after="0"/>
        <w:rPr>
          <w:sz w:val="20"/>
          <w:szCs w:val="20"/>
          <w:color w:val="auto"/>
        </w:rPr>
      </w:pPr>
      <w:r>
        <w:rPr>
          <w:rFonts w:ascii="Arial" w:cs="Arial" w:eastAsia="Arial" w:hAnsi="Arial"/>
          <w:sz w:val="18"/>
          <w:szCs w:val="18"/>
          <w:b w:val="1"/>
          <w:bCs w:val="1"/>
          <w:color w:val="auto"/>
        </w:rPr>
        <w:t>SCHEDULE B</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Note</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LOANS, CONVERSIONS AND REPAYMENTS OF EUROCURRENCY LOANS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020" w:type="dxa"/>
            <w:vAlign w:val="bottom"/>
            <w:tcBorders>
              <w:top w:val="single" w:sz="8" w:color="auto"/>
              <w:left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spacing w:after="0"/>
              <w:rPr>
                <w:sz w:val="16"/>
                <w:szCs w:val="16"/>
                <w:color w:val="auto"/>
              </w:rPr>
            </w:pPr>
          </w:p>
        </w:tc>
        <w:tc>
          <w:tcPr>
            <w:tcW w:w="64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right w:val="single" w:sz="8" w:color="auto"/>
            </w:tcBorders>
          </w:tcPr>
          <w:p>
            <w:pPr>
              <w:spacing w:after="0"/>
              <w:rPr>
                <w:sz w:val="16"/>
                <w:szCs w:val="16"/>
                <w:color w:val="auto"/>
              </w:rPr>
            </w:pPr>
          </w:p>
        </w:tc>
        <w:tc>
          <w:tcPr>
            <w:tcW w:w="156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spacing w:after="0"/>
              <w:rPr>
                <w:sz w:val="16"/>
                <w:szCs w:val="16"/>
                <w:color w:val="auto"/>
              </w:rPr>
            </w:pPr>
          </w:p>
        </w:tc>
        <w:tc>
          <w:tcPr>
            <w:tcW w:w="15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Unpaid Principal</w:t>
            </w:r>
          </w:p>
        </w:tc>
        <w:tc>
          <w:tcPr>
            <w:tcW w:w="1200" w:type="dxa"/>
            <w:vAlign w:val="bottom"/>
            <w:tcBorders>
              <w:top w:val="single" w:sz="8" w:color="auto"/>
              <w:right w:val="single" w:sz="8" w:color="auto"/>
            </w:tcBorders>
          </w:tcPr>
          <w:p>
            <w:pPr>
              <w:spacing w:after="0"/>
              <w:rPr>
                <w:sz w:val="16"/>
                <w:szCs w:val="16"/>
                <w:color w:val="auto"/>
              </w:rPr>
            </w:pPr>
          </w:p>
        </w:tc>
      </w:tr>
      <w:tr>
        <w:trPr>
          <w:trHeight w:val="166"/>
        </w:trPr>
        <w:tc>
          <w:tcPr>
            <w:tcW w:w="102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Amount of Principal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Amount of Eurocurrency</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Balance</w:t>
            </w:r>
          </w:p>
        </w:tc>
        <w:tc>
          <w:tcPr>
            <w:tcW w:w="1200" w:type="dxa"/>
            <w:vAlign w:val="bottom"/>
            <w:tcBorders>
              <w:right w:val="single" w:sz="8" w:color="auto"/>
            </w:tcBorders>
          </w:tcPr>
          <w:p>
            <w:pPr>
              <w:spacing w:after="0"/>
              <w:rPr>
                <w:sz w:val="14"/>
                <w:szCs w:val="14"/>
                <w:color w:val="auto"/>
              </w:rPr>
            </w:pPr>
          </w:p>
        </w:tc>
      </w:tr>
      <w:tr>
        <w:trPr>
          <w:trHeight w:val="166"/>
        </w:trPr>
        <w:tc>
          <w:tcPr>
            <w:tcW w:w="102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Interest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Amount of</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Amount Converted to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of Eurocurrency Loans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Loans Converted to</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of Eurocurrency</w:t>
            </w:r>
          </w:p>
        </w:tc>
        <w:tc>
          <w:tcPr>
            <w:tcW w:w="1200" w:type="dxa"/>
            <w:vAlign w:val="bottom"/>
            <w:tcBorders>
              <w:right w:val="single" w:sz="8" w:color="auto"/>
            </w:tcBorders>
          </w:tcPr>
          <w:p>
            <w:pPr>
              <w:spacing w:after="0"/>
              <w:rPr>
                <w:sz w:val="14"/>
                <w:szCs w:val="14"/>
                <w:color w:val="auto"/>
              </w:rPr>
            </w:pPr>
          </w:p>
        </w:tc>
      </w:tr>
      <w:tr>
        <w:trPr>
          <w:trHeight w:val="168"/>
        </w:trPr>
        <w:tc>
          <w:tcPr>
            <w:tcW w:w="102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Date</w:t>
            </w:r>
          </w:p>
        </w:tc>
        <w:tc>
          <w:tcPr>
            <w:tcW w:w="78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Facility</w:t>
            </w:r>
          </w:p>
        </w:tc>
        <w:tc>
          <w:tcPr>
            <w:tcW w:w="86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Currency</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Period</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Eurocurrency Loans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Eurocurrency Loans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Repaid</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ABR Loans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Loans</w:t>
            </w:r>
          </w:p>
        </w:tc>
        <w:tc>
          <w:tcPr>
            <w:tcW w:w="120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Made By</w:t>
            </w:r>
          </w:p>
        </w:tc>
      </w:tr>
      <w:tr>
        <w:trPr>
          <w:trHeight w:val="26"/>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35"/>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257"/>
        </w:trPr>
        <w:tc>
          <w:tcPr>
            <w:tcW w:w="1020" w:type="dxa"/>
            <w:vAlign w:val="bottom"/>
            <w:tcBorders>
              <w:left w:val="single" w:sz="8" w:color="auto"/>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80"/>
          </w:cols>
          <w:pgMar w:left="220" w:top="250" w:right="199" w:bottom="1440" w:gutter="0" w:footer="0" w:header="0"/>
        </w:sectPr>
      </w:pPr>
    </w:p>
    <w:bookmarkStart w:id="191" w:name="page192"/>
    <w:bookmarkEnd w:id="191"/>
    <w:p>
      <w:pPr>
        <w:jc w:val="center"/>
        <w:ind w:left="9240"/>
        <w:spacing w:after="0"/>
        <w:rPr>
          <w:sz w:val="20"/>
          <w:szCs w:val="20"/>
          <w:color w:val="auto"/>
        </w:rPr>
      </w:pPr>
      <w:r>
        <w:rPr>
          <w:rFonts w:ascii="Arial" w:cs="Arial" w:eastAsia="Arial" w:hAnsi="Arial"/>
          <w:sz w:val="18"/>
          <w:szCs w:val="18"/>
          <w:b w:val="1"/>
          <w:bCs w:val="1"/>
          <w:color w:val="auto"/>
        </w:rPr>
        <w:t>EXHIBIT N</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BORROWING REQUEST</w:t>
      </w:r>
    </w:p>
    <w:p>
      <w:pPr>
        <w:spacing w:after="0" w:line="364" w:lineRule="exact"/>
        <w:rPr>
          <w:sz w:val="20"/>
          <w:szCs w:val="20"/>
          <w:color w:val="auto"/>
        </w:rPr>
      </w:pPr>
    </w:p>
    <w:p>
      <w:pPr>
        <w:ind w:right="5240"/>
        <w:spacing w:after="0" w:line="249" w:lineRule="auto"/>
        <w:rPr>
          <w:sz w:val="20"/>
          <w:szCs w:val="20"/>
          <w:color w:val="auto"/>
        </w:rPr>
      </w:pPr>
      <w:r>
        <w:rPr>
          <w:rFonts w:ascii="Arial" w:cs="Arial" w:eastAsia="Arial" w:hAnsi="Arial"/>
          <w:sz w:val="18"/>
          <w:szCs w:val="18"/>
          <w:color w:val="auto"/>
        </w:rPr>
        <w:t>JPMorgan Chase Bank, N.A., as Administrative Agent for the lenders referred to below Investment Bank Loan Operations - North America 500 Stanton Christiana Road, Ops 2, Floor 03</w:t>
      </w:r>
    </w:p>
    <w:p>
      <w:pPr>
        <w:spacing w:after="0"/>
        <w:rPr>
          <w:sz w:val="20"/>
          <w:szCs w:val="20"/>
          <w:color w:val="auto"/>
        </w:rPr>
      </w:pPr>
      <w:r>
        <w:rPr>
          <w:rFonts w:ascii="Arial" w:cs="Arial" w:eastAsia="Arial" w:hAnsi="Arial"/>
          <w:sz w:val="18"/>
          <w:szCs w:val="18"/>
          <w:color w:val="auto"/>
        </w:rPr>
        <w:t>Newark, DE, 19713-2107, United States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Emily.cousineau@jpmorgan.com</w:t>
      </w:r>
    </w:p>
    <w:p>
      <w:pPr>
        <w:spacing w:after="0" w:line="3" w:lineRule="exact"/>
        <w:rPr>
          <w:sz w:val="20"/>
          <w:szCs w:val="20"/>
          <w:color w:val="auto"/>
        </w:rPr>
      </w:pPr>
    </w:p>
    <w:p>
      <w:pPr>
        <w:ind w:right="9500" w:firstLine="9"/>
        <w:spacing w:after="0" w:line="308" w:lineRule="auto"/>
        <w:tabs>
          <w:tab w:leader="none" w:pos="42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634-8612 (telephone) Attn: Emily Cousineau</w:t>
      </w:r>
    </w:p>
    <w:p>
      <w:pPr>
        <w:spacing w:after="0" w:line="146" w:lineRule="exact"/>
        <w:rPr>
          <w:sz w:val="20"/>
          <w:szCs w:val="20"/>
          <w:color w:val="auto"/>
        </w:rPr>
      </w:pPr>
    </w:p>
    <w:p>
      <w:pPr>
        <w:ind w:left="10220"/>
        <w:spacing w:after="0"/>
        <w:rPr>
          <w:sz w:val="20"/>
          <w:szCs w:val="20"/>
          <w:color w:val="auto"/>
        </w:rPr>
      </w:pPr>
      <w:r>
        <w:rPr>
          <w:rFonts w:ascii="Arial" w:cs="Arial" w:eastAsia="Arial" w:hAnsi="Arial"/>
          <w:sz w:val="14"/>
          <w:szCs w:val="14"/>
          <w:color w:val="auto"/>
        </w:rPr>
        <w:t>_________, 20__</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14" w:lineRule="exact"/>
        <w:rPr>
          <w:sz w:val="20"/>
          <w:szCs w:val="20"/>
          <w:color w:val="auto"/>
        </w:rPr>
      </w:pPr>
    </w:p>
    <w:p>
      <w:pPr>
        <w:jc w:val="both"/>
        <w:ind w:firstLine="1063"/>
        <w:spacing w:after="0" w:line="238"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w:t>
      </w:r>
      <w:r>
        <w:rPr>
          <w:rFonts w:ascii="Arial" w:cs="Arial" w:eastAsia="Arial" w:hAnsi="Arial"/>
          <w:sz w:val="17"/>
          <w:szCs w:val="17"/>
          <w:u w:val="single" w:color="auto"/>
          <w:color w:val="auto"/>
        </w:rPr>
        <w:t>Company/Applicable Borrower”)]</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 refer[s] to the Amended and Restated Three Year Revolving Credit Agreement dated as of October 17, 2014,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Company/the Applicable Borrower]</w:t>
      </w:r>
      <w:r>
        <w:rPr>
          <w:rFonts w:ascii="Arial" w:cs="Arial" w:eastAsia="Arial" w:hAnsi="Arial"/>
          <w:sz w:val="22"/>
          <w:szCs w:val="22"/>
          <w:color w:val="auto"/>
          <w:vertAlign w:val="superscript"/>
        </w:rPr>
        <w:t>2</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named therein. Capitalized terms used herein and not otherwise defined herein shall have the meanings assigned to such terms in the Credit Agreement. The Applicable Borrower and the Company hereby give you notice pursuant to Section[s] [2.2,] [2.4,] and [2.8]</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of the Credit Agreement that it requests an Extension of Credit under the Credit Agreement, and in connection sets forth below the terms on which such Extension of Credit is requested to be made: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55" w:lineRule="exact"/>
        <w:rPr>
          <w:sz w:val="20"/>
          <w:szCs w:val="20"/>
          <w:color w:val="auto"/>
        </w:rPr>
      </w:pPr>
    </w:p>
    <w:p>
      <w:pPr>
        <w:ind w:left="100" w:hanging="91"/>
        <w:spacing w:after="0"/>
        <w:tabs>
          <w:tab w:leader="none" w:pos="100" w:val="left"/>
        </w:tabs>
        <w:numPr>
          <w:ilvl w:val="0"/>
          <w:numId w:val="166"/>
        </w:numPr>
        <w:rPr>
          <w:rFonts w:ascii="Arial" w:cs="Arial" w:eastAsia="Arial" w:hAnsi="Arial"/>
          <w:sz w:val="21"/>
          <w:szCs w:val="21"/>
          <w:color w:val="auto"/>
          <w:vertAlign w:val="superscript"/>
        </w:rPr>
      </w:pPr>
      <w:r>
        <w:rPr>
          <w:rFonts w:ascii="Arial" w:cs="Arial" w:eastAsia="Arial" w:hAnsi="Arial"/>
          <w:sz w:val="15"/>
          <w:szCs w:val="15"/>
          <w:color w:val="auto"/>
        </w:rPr>
        <w:t>Insert if the Company is not the Applicable Borrower.</w:t>
      </w:r>
    </w:p>
    <w:p>
      <w:pPr>
        <w:spacing w:after="0" w:line="113" w:lineRule="exact"/>
        <w:rPr>
          <w:sz w:val="20"/>
          <w:szCs w:val="20"/>
          <w:color w:val="auto"/>
        </w:rPr>
      </w:pPr>
    </w:p>
    <w:p>
      <w:pPr>
        <w:ind w:left="100" w:hanging="91"/>
        <w:spacing w:after="0"/>
        <w:tabs>
          <w:tab w:leader="none" w:pos="100" w:val="left"/>
        </w:tabs>
        <w:numPr>
          <w:ilvl w:val="0"/>
          <w:numId w:val="167"/>
        </w:numPr>
        <w:rPr>
          <w:rFonts w:ascii="Arial" w:cs="Arial" w:eastAsia="Arial" w:hAnsi="Arial"/>
          <w:sz w:val="21"/>
          <w:szCs w:val="21"/>
          <w:color w:val="auto"/>
          <w:vertAlign w:val="superscript"/>
        </w:rPr>
      </w:pPr>
      <w:r>
        <w:rPr>
          <w:rFonts w:ascii="Arial" w:cs="Arial" w:eastAsia="Arial" w:hAnsi="Arial"/>
          <w:sz w:val="15"/>
          <w:szCs w:val="15"/>
          <w:color w:val="auto"/>
        </w:rPr>
        <w:t>If Bid Requested from the Company, it is the “Applicable Borrower”.</w:t>
      </w:r>
    </w:p>
    <w:p>
      <w:pPr>
        <w:spacing w:after="0" w:line="167" w:lineRule="exact"/>
        <w:rPr>
          <w:sz w:val="20"/>
          <w:szCs w:val="20"/>
          <w:color w:val="auto"/>
        </w:rPr>
      </w:pPr>
    </w:p>
    <w:p>
      <w:pPr>
        <w:ind w:left="540" w:right="300" w:hanging="531"/>
        <w:spacing w:after="0" w:line="211" w:lineRule="auto"/>
        <w:tabs>
          <w:tab w:leader="none" w:pos="97" w:val="left"/>
        </w:tabs>
        <w:numPr>
          <w:ilvl w:val="0"/>
          <w:numId w:val="168"/>
        </w:numPr>
        <w:rPr>
          <w:rFonts w:ascii="Arial" w:cs="Arial" w:eastAsia="Arial" w:hAnsi="Arial"/>
          <w:sz w:val="21"/>
          <w:szCs w:val="21"/>
          <w:color w:val="auto"/>
          <w:vertAlign w:val="superscript"/>
        </w:rPr>
      </w:pPr>
      <w:r>
        <w:rPr>
          <w:rFonts w:ascii="Arial" w:cs="Arial" w:eastAsia="Arial" w:hAnsi="Arial"/>
          <w:sz w:val="15"/>
          <w:szCs w:val="15"/>
          <w:color w:val="auto"/>
        </w:rPr>
        <w:t>Section 2.2 describes the procedure for Domestic Commitments. Section 2.4 describes the procedure for Multicurrency Commitments. Section 2.8 describes the procedure for L/C Tranche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460" w:right="219" w:bottom="1440" w:gutter="0" w:footer="0" w:header="0"/>
        </w:sectPr>
      </w:pPr>
    </w:p>
    <w:bookmarkStart w:id="192" w:name="page193"/>
    <w:bookmarkEnd w:id="192"/>
    <w:p>
      <w:pPr>
        <w:ind w:left="1600" w:hanging="816"/>
        <w:spacing w:after="0"/>
        <w:tabs>
          <w:tab w:leader="none" w:pos="1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Borrowing Date</w:t>
      </w:r>
    </w:p>
    <w:p>
      <w:pPr>
        <w:spacing w:after="0" w:line="6" w:lineRule="exact"/>
        <w:rPr>
          <w:rFonts w:ascii="Arial" w:cs="Arial" w:eastAsia="Arial" w:hAnsi="Arial"/>
          <w:sz w:val="18"/>
          <w:szCs w:val="18"/>
          <w:color w:val="auto"/>
        </w:rPr>
      </w:pPr>
    </w:p>
    <w:p>
      <w:pPr>
        <w:ind w:left="1600"/>
        <w:spacing w:after="0" w:line="221" w:lineRule="auto"/>
        <w:rPr>
          <w:rFonts w:ascii="Arial" w:cs="Arial" w:eastAsia="Arial" w:hAnsi="Arial"/>
          <w:sz w:val="18"/>
          <w:szCs w:val="18"/>
          <w:color w:val="auto"/>
        </w:rPr>
      </w:pPr>
      <w:r>
        <w:rPr>
          <w:rFonts w:ascii="Arial" w:cs="Arial" w:eastAsia="Arial" w:hAnsi="Arial"/>
          <w:sz w:val="18"/>
          <w:szCs w:val="18"/>
          <w:color w:val="auto"/>
        </w:rPr>
        <w:t>(which is a Business Day)</w:t>
      </w:r>
      <w:r>
        <w:rPr>
          <w:rFonts w:ascii="Arial" w:cs="Arial" w:eastAsia="Arial" w:hAnsi="Arial"/>
          <w:sz w:val="23"/>
          <w:szCs w:val="23"/>
          <w:color w:val="auto"/>
          <w:vertAlign w:val="superscript"/>
        </w:rPr>
        <w:t>4</w:t>
      </w:r>
    </w:p>
    <w:p>
      <w:pPr>
        <w:ind w:left="1600" w:hanging="816"/>
        <w:spacing w:after="0"/>
        <w:tabs>
          <w:tab w:leader="none" w:pos="1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Facility</w:t>
      </w:r>
    </w:p>
    <w:p>
      <w:pPr>
        <w:spacing w:after="0" w:line="22" w:lineRule="exact"/>
        <w:rPr>
          <w:rFonts w:ascii="Arial" w:cs="Arial" w:eastAsia="Arial" w:hAnsi="Arial"/>
          <w:sz w:val="18"/>
          <w:szCs w:val="18"/>
          <w:color w:val="auto"/>
        </w:rPr>
      </w:pPr>
    </w:p>
    <w:p>
      <w:pPr>
        <w:ind w:left="1600" w:hanging="816"/>
        <w:spacing w:after="0"/>
        <w:tabs>
          <w:tab w:leader="none" w:pos="1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Currency</w:t>
      </w:r>
    </w:p>
    <w:p>
      <w:pPr>
        <w:spacing w:after="0" w:line="29" w:lineRule="exact"/>
        <w:rPr>
          <w:rFonts w:ascii="Arial" w:cs="Arial" w:eastAsia="Arial" w:hAnsi="Arial"/>
          <w:sz w:val="18"/>
          <w:szCs w:val="18"/>
          <w:color w:val="auto"/>
        </w:rPr>
      </w:pPr>
    </w:p>
    <w:p>
      <w:pPr>
        <w:ind w:left="1600" w:hanging="816"/>
        <w:spacing w:after="0"/>
        <w:tabs>
          <w:tab w:leader="none" w:pos="1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Aggregate Amount of Extension of Credit</w:t>
      </w:r>
      <w:r>
        <w:rPr>
          <w:rFonts w:ascii="Arial" w:cs="Arial" w:eastAsia="Arial" w:hAnsi="Arial"/>
          <w:sz w:val="23"/>
          <w:szCs w:val="23"/>
          <w:color w:val="auto"/>
          <w:vertAlign w:val="superscript"/>
        </w:rPr>
        <w:t>5</w:t>
      </w:r>
    </w:p>
    <w:p>
      <w:pPr>
        <w:ind w:left="1600" w:hanging="816"/>
        <w:spacing w:after="0" w:line="221" w:lineRule="auto"/>
        <w:tabs>
          <w:tab w:leader="none" w:pos="1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Type of Extension of Credit</w:t>
      </w:r>
      <w:r>
        <w:rPr>
          <w:rFonts w:ascii="Arial" w:cs="Arial" w:eastAsia="Arial" w:hAnsi="Arial"/>
          <w:sz w:val="23"/>
          <w:szCs w:val="23"/>
          <w:color w:val="auto"/>
          <w:vertAlign w:val="superscript"/>
        </w:rPr>
        <w:t>6</w:t>
      </w:r>
    </w:p>
    <w:p>
      <w:pPr>
        <w:ind w:left="1600" w:hanging="816"/>
        <w:spacing w:after="0" w:line="221" w:lineRule="auto"/>
        <w:tabs>
          <w:tab w:leader="none" w:pos="1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23"/>
          <w:szCs w:val="23"/>
          <w:color w:val="auto"/>
          <w:vertAlign w:val="superscript"/>
        </w:rPr>
        <w:t>7</w:t>
      </w:r>
    </w:p>
    <w:p>
      <w:pPr>
        <w:ind w:left="1600" w:hanging="816"/>
        <w:spacing w:after="0" w:line="231" w:lineRule="auto"/>
        <w:tabs>
          <w:tab w:leader="none" w:pos="1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Funds are requested to be disbursed to the Borrower’s account with</w:t>
      </w:r>
    </w:p>
    <w:p>
      <w:pPr>
        <w:ind w:left="1600"/>
        <w:spacing w:after="0"/>
        <w:rPr>
          <w:rFonts w:ascii="Arial" w:cs="Arial" w:eastAsia="Arial" w:hAnsi="Arial"/>
          <w:sz w:val="18"/>
          <w:szCs w:val="18"/>
          <w:color w:val="auto"/>
        </w:rPr>
      </w:pPr>
      <w:r>
        <w:rPr>
          <w:rFonts w:ascii="Arial" w:cs="Arial" w:eastAsia="Arial" w:hAnsi="Arial"/>
          <w:sz w:val="18"/>
          <w:szCs w:val="18"/>
          <w:color w:val="auto"/>
        </w:rPr>
        <w:t>_____________ (Account No. 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10795</wp:posOffset>
            </wp:positionV>
            <wp:extent cx="225044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-269875</wp:posOffset>
            </wp:positionV>
            <wp:extent cx="225044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-424180</wp:posOffset>
            </wp:positionV>
            <wp:extent cx="225044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-579120</wp:posOffset>
            </wp:positionV>
            <wp:extent cx="225044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-734060</wp:posOffset>
            </wp:positionV>
            <wp:extent cx="225044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-888365</wp:posOffset>
            </wp:positionV>
            <wp:extent cx="225044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-1043305</wp:posOffset>
            </wp:positionV>
            <wp:extent cx="225044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504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09" w:lineRule="exact"/>
        <w:rPr>
          <w:sz w:val="20"/>
          <w:szCs w:val="20"/>
          <w:color w:val="auto"/>
        </w:rPr>
      </w:pPr>
    </w:p>
    <w:p>
      <w:pPr>
        <w:ind w:left="540" w:hanging="531"/>
        <w:spacing w:after="0" w:line="277" w:lineRule="auto"/>
        <w:tabs>
          <w:tab w:leader="none" w:pos="97" w:val="left"/>
        </w:tabs>
        <w:numPr>
          <w:ilvl w:val="0"/>
          <w:numId w:val="170"/>
        </w:numPr>
        <w:rPr>
          <w:rFonts w:ascii="Arial" w:cs="Arial" w:eastAsia="Arial" w:hAnsi="Arial"/>
          <w:sz w:val="19"/>
          <w:szCs w:val="19"/>
          <w:color w:val="auto"/>
          <w:vertAlign w:val="superscript"/>
        </w:rPr>
      </w:pPr>
      <w:r>
        <w:rPr>
          <w:rFonts w:ascii="Arial" w:cs="Arial" w:eastAsia="Arial" w:hAnsi="Arial"/>
          <w:sz w:val="13"/>
          <w:szCs w:val="13"/>
          <w:color w:val="auto"/>
        </w:rPr>
        <w:t>Borrowing Request to be delivered to the Administrative Agent in the case of any Domestic Loan prior to (a) 1:00 P.M., New York City time, three Business Days prior to the requested Borrowing Date, in the case of Eurocurrency Loans, or (b) 1:00 P.M., New York City time, on the date of the proposed borrowing, in the case of ABR Loans). Borrowing Request to be delivered to the Administrative Agent (x) in the case of any Multicurrency Loan denominated in Dollars, written (or telephonic notice promptly confirmed in writing) prior to (a) in the case of Eurocurrency Loans (i) in the case of requests made by the Company or any Subsidiary Borrower other than GMETC, 1:00 P.M., New York City time, three Business Days prior to the requested Borrowing Date or (ii) in the case of requests made by GMETC, 1:00 P.M., London time, three Business Days prior to the requested Borrowing Date, or (b) 1:00 P.M., New York City time, on the date of the proposed borrowing, in the case of ABR Loans and (y) in the case of any Multicurrency Loan denominated in an Optional Currency, 1:00 P.M., London time, three Business Days prior to the requested Borrowing Date. Borrowing Request to be delivered in the case of any L/C Tranche Loan denominated in Dollars, written (or telephonic notice promptly confirmed in writing) prior to (a) 1:00 P.M., New York City time, three Business Days prior to the requested Borrowing Date, in the case of Eurocurrency Loans, or (b) 12:00 Noon, New York City time, on the date of the proposed borrowing, in the case of ABR Loans and (y) in the case of any L/C Tranche Loan denominated in an Optional Currency, a written Borrowing Request prior to 12:00 Noon, London time, three Business Days prior to the requested Borrowing Date.</w:t>
      </w:r>
    </w:p>
    <w:p>
      <w:pPr>
        <w:spacing w:after="0" w:line="144" w:lineRule="exact"/>
        <w:rPr>
          <w:sz w:val="20"/>
          <w:szCs w:val="20"/>
          <w:color w:val="auto"/>
        </w:rPr>
      </w:pPr>
    </w:p>
    <w:p>
      <w:pPr>
        <w:ind w:left="540" w:right="20" w:hanging="531"/>
        <w:spacing w:after="0" w:line="233" w:lineRule="auto"/>
        <w:tabs>
          <w:tab w:leader="none" w:pos="97" w:val="left"/>
        </w:tabs>
        <w:numPr>
          <w:ilvl w:val="0"/>
          <w:numId w:val="171"/>
        </w:numPr>
        <w:rPr>
          <w:rFonts w:ascii="Arial" w:cs="Arial" w:eastAsia="Arial" w:hAnsi="Arial"/>
          <w:sz w:val="21"/>
          <w:szCs w:val="21"/>
          <w:color w:val="auto"/>
          <w:vertAlign w:val="superscript"/>
        </w:rPr>
      </w:pPr>
      <w:r>
        <w:rPr>
          <w:rFonts w:ascii="Arial" w:cs="Arial" w:eastAsia="Arial" w:hAnsi="Arial"/>
          <w:sz w:val="15"/>
          <w:szCs w:val="15"/>
          <w:color w:val="auto"/>
        </w:rPr>
        <w:t>Each borrowing under the Domestic Commitments shall be in an amount equal to $25 million (or, if the Total Available Domestic Commitments at such time are less than $25 million, such lesser amount) or a whole multiple of $5 million in excess thereof.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 $50 million at such time, such lesser amount).</w:t>
      </w:r>
    </w:p>
    <w:p>
      <w:pPr>
        <w:spacing w:after="0" w:line="115" w:lineRule="exact"/>
        <w:rPr>
          <w:sz w:val="20"/>
          <w:szCs w:val="20"/>
          <w:color w:val="auto"/>
        </w:rPr>
      </w:pPr>
    </w:p>
    <w:p>
      <w:pPr>
        <w:ind w:left="100" w:hanging="91"/>
        <w:spacing w:after="0"/>
        <w:tabs>
          <w:tab w:leader="none" w:pos="100" w:val="left"/>
        </w:tabs>
        <w:numPr>
          <w:ilvl w:val="0"/>
          <w:numId w:val="172"/>
        </w:numPr>
        <w:rPr>
          <w:rFonts w:ascii="Arial" w:cs="Arial" w:eastAsia="Arial" w:hAnsi="Arial"/>
          <w:sz w:val="21"/>
          <w:szCs w:val="21"/>
          <w:color w:val="auto"/>
          <w:vertAlign w:val="superscript"/>
        </w:rPr>
      </w:pPr>
      <w:r>
        <w:rPr>
          <w:rFonts w:ascii="Arial" w:cs="Arial" w:eastAsia="Arial" w:hAnsi="Arial"/>
          <w:sz w:val="15"/>
          <w:szCs w:val="15"/>
          <w:color w:val="auto"/>
        </w:rPr>
        <w:t>Specify Eurodollar Borrowing or ABR Borrowing.</w:t>
      </w:r>
    </w:p>
    <w:p>
      <w:pPr>
        <w:spacing w:after="0" w:line="113" w:lineRule="exact"/>
        <w:rPr>
          <w:sz w:val="20"/>
          <w:szCs w:val="20"/>
          <w:color w:val="auto"/>
        </w:rPr>
      </w:pPr>
    </w:p>
    <w:p>
      <w:pPr>
        <w:ind w:left="100" w:hanging="91"/>
        <w:spacing w:after="0"/>
        <w:tabs>
          <w:tab w:leader="none" w:pos="100" w:val="left"/>
        </w:tabs>
        <w:numPr>
          <w:ilvl w:val="0"/>
          <w:numId w:val="173"/>
        </w:numPr>
        <w:rPr>
          <w:rFonts w:ascii="Arial" w:cs="Arial" w:eastAsia="Arial" w:hAnsi="Arial"/>
          <w:sz w:val="21"/>
          <w:szCs w:val="21"/>
          <w:color w:val="auto"/>
          <w:vertAlign w:val="superscript"/>
        </w:rPr>
      </w:pPr>
      <w:r>
        <w:rPr>
          <w:rFonts w:ascii="Arial" w:cs="Arial" w:eastAsia="Arial" w:hAnsi="Arial"/>
          <w:sz w:val="15"/>
          <w:szCs w:val="15"/>
          <w:color w:val="auto"/>
        </w:rPr>
        <w:t>Which shall be subject to the definition of “Interest Period” and end on or before the Termination Date applicable to such Facility for such Lender.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40"/>
          </w:cols>
          <w:pgMar w:left="220" w:top="610" w:right="239" w:bottom="1440" w:gutter="0" w:footer="0" w:header="0"/>
        </w:sectPr>
      </w:pPr>
    </w:p>
    <w:bookmarkStart w:id="193" w:name="page194"/>
    <w:bookmarkEnd w:id="193"/>
    <w:p>
      <w:pPr>
        <w:ind w:firstLine="1063"/>
        <w:spacing w:after="0" w:line="272" w:lineRule="auto"/>
        <w:rPr>
          <w:sz w:val="20"/>
          <w:szCs w:val="20"/>
          <w:color w:val="auto"/>
        </w:rPr>
      </w:pPr>
      <w:r>
        <w:rPr>
          <w:rFonts w:ascii="Arial" w:cs="Arial" w:eastAsia="Arial" w:hAnsi="Arial"/>
          <w:sz w:val="18"/>
          <w:szCs w:val="18"/>
          <w:color w:val="auto"/>
        </w:rPr>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23"/>
          <w:szCs w:val="23"/>
          <w:color w:val="auto"/>
          <w:vertAlign w:val="superscript"/>
        </w:rPr>
        <w:t>8</w:t>
      </w:r>
      <w:r>
        <w:rPr>
          <w:rFonts w:ascii="Arial" w:cs="Arial" w:eastAsia="Arial" w:hAnsi="Arial"/>
          <w:sz w:val="18"/>
          <w:szCs w:val="18"/>
          <w:color w:val="auto"/>
        </w:rPr>
        <w:t>] of the Credit Agreement have been satisfied.</w:t>
      </w:r>
    </w:p>
    <w:p>
      <w:pPr>
        <w:spacing w:after="0" w:line="200" w:lineRule="exact"/>
        <w:rPr>
          <w:sz w:val="20"/>
          <w:szCs w:val="20"/>
          <w:color w:val="auto"/>
        </w:rPr>
      </w:pPr>
    </w:p>
    <w:p>
      <w:pPr>
        <w:spacing w:after="0" w:line="31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[INSERT NAME OF APPLICABLE BORROWER]</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By:_________________________________</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[GENERAL MOTORS COMPANY]</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By:_________________________________</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70" w:lineRule="exact"/>
        <w:rPr>
          <w:sz w:val="20"/>
          <w:szCs w:val="20"/>
          <w:color w:val="auto"/>
        </w:rPr>
      </w:pPr>
    </w:p>
    <w:p>
      <w:pPr>
        <w:ind w:left="100" w:hanging="91"/>
        <w:spacing w:after="0"/>
        <w:tabs>
          <w:tab w:leader="none" w:pos="100" w:val="left"/>
        </w:tabs>
        <w:numPr>
          <w:ilvl w:val="0"/>
          <w:numId w:val="174"/>
        </w:numPr>
        <w:rPr>
          <w:rFonts w:ascii="Arial" w:cs="Arial" w:eastAsia="Arial" w:hAnsi="Arial"/>
          <w:sz w:val="21"/>
          <w:szCs w:val="21"/>
          <w:color w:val="auto"/>
          <w:vertAlign w:val="superscript"/>
        </w:rPr>
      </w:pPr>
      <w:r>
        <w:rPr>
          <w:rFonts w:ascii="Arial" w:cs="Arial" w:eastAsia="Arial" w:hAnsi="Arial"/>
          <w:sz w:val="16"/>
          <w:szCs w:val="16"/>
          <w:color w:val="auto"/>
        </w:rPr>
        <w:t>[Insert for Borrowing on the Closing Date.]</w:t>
      </w:r>
    </w:p>
    <w:p>
      <w:pPr>
        <w:spacing w:after="0" w:line="395"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1186" w:right="219" w:bottom="1440" w:gutter="0" w:footer="0" w:header="0"/>
        </w:sectPr>
      </w:pPr>
    </w:p>
    <w:bookmarkStart w:id="194" w:name="page195"/>
    <w:bookmarkEnd w:id="194"/>
    <w:tbl>
      <w:tblPr>
        <w:tblLayout w:type="fixed"/>
        <w:tblInd w:w="2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960" w:type="dxa"/>
            <w:vAlign w:val="bottom"/>
          </w:tcPr>
          <w:p>
            <w:pPr>
              <w:jc w:val="center"/>
              <w:ind w:left="3651"/>
              <w:spacing w:after="0"/>
              <w:rPr>
                <w:sz w:val="20"/>
                <w:szCs w:val="20"/>
                <w:color w:val="auto"/>
              </w:rPr>
            </w:pPr>
            <w:r>
              <w:rPr>
                <w:rFonts w:ascii="Arial" w:cs="Arial" w:eastAsia="Arial" w:hAnsi="Arial"/>
                <w:sz w:val="18"/>
                <w:szCs w:val="18"/>
                <w:b w:val="1"/>
                <w:bCs w:val="1"/>
                <w:color w:val="auto"/>
              </w:rPr>
              <w:t>EXHIBIT O</w:t>
            </w:r>
          </w:p>
        </w:tc>
      </w:tr>
      <w:tr>
        <w:trPr>
          <w:trHeight w:val="244"/>
        </w:trPr>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960" w:type="dxa"/>
            <w:vAlign w:val="bottom"/>
          </w:tcPr>
          <w:p>
            <w:pPr>
              <w:jc w:val="center"/>
              <w:ind w:left="3651"/>
              <w:spacing w:after="0"/>
              <w:rPr>
                <w:sz w:val="20"/>
                <w:szCs w:val="20"/>
                <w:color w:val="auto"/>
              </w:rPr>
            </w:pPr>
            <w:r>
              <w:rPr>
                <w:rFonts w:ascii="Arial" w:cs="Arial" w:eastAsia="Arial" w:hAnsi="Arial"/>
                <w:sz w:val="18"/>
                <w:szCs w:val="18"/>
                <w:b w:val="1"/>
                <w:bCs w:val="1"/>
                <w:color w:val="auto"/>
                <w:w w:val="82"/>
              </w:rPr>
              <w:t>to</w:t>
            </w:r>
          </w:p>
        </w:tc>
      </w:tr>
      <w:tr>
        <w:trPr>
          <w:trHeight w:val="244"/>
        </w:trPr>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960" w:type="dxa"/>
            <w:vAlign w:val="bottom"/>
          </w:tcPr>
          <w:p>
            <w:pPr>
              <w:jc w:val="center"/>
              <w:ind w:left="3631"/>
              <w:spacing w:after="0"/>
              <w:rPr>
                <w:sz w:val="20"/>
                <w:szCs w:val="20"/>
                <w:color w:val="auto"/>
              </w:rPr>
            </w:pPr>
            <w:r>
              <w:rPr>
                <w:rFonts w:ascii="Arial" w:cs="Arial" w:eastAsia="Arial" w:hAnsi="Arial"/>
                <w:sz w:val="18"/>
                <w:szCs w:val="18"/>
                <w:b w:val="1"/>
                <w:bCs w:val="1"/>
                <w:color w:val="auto"/>
                <w:w w:val="90"/>
              </w:rPr>
              <w:t>Credit Agreement</w:t>
            </w:r>
          </w:p>
        </w:tc>
      </w:tr>
      <w:tr>
        <w:trPr>
          <w:trHeight w:val="831"/>
        </w:trPr>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20" w:type="dxa"/>
            <w:vAlign w:val="bottom"/>
            <w:gridSpan w:val="3"/>
          </w:tcPr>
          <w:p>
            <w:pPr>
              <w:ind w:left="240"/>
              <w:spacing w:after="0"/>
              <w:rPr>
                <w:sz w:val="20"/>
                <w:szCs w:val="20"/>
                <w:color w:val="auto"/>
              </w:rPr>
            </w:pPr>
            <w:r>
              <w:rPr>
                <w:rFonts w:ascii="Arial" w:cs="Arial" w:eastAsia="Arial" w:hAnsi="Arial"/>
                <w:sz w:val="18"/>
                <w:szCs w:val="18"/>
                <w:b w:val="1"/>
                <w:bCs w:val="1"/>
                <w:color w:val="auto"/>
              </w:rPr>
              <w:t>FORM OF COMPANY CONSENT</w:t>
            </w:r>
          </w:p>
        </w:tc>
      </w:tr>
      <w:tr>
        <w:trPr>
          <w:trHeight w:val="775"/>
        </w:trPr>
        <w:tc>
          <w:tcPr>
            <w:tcW w:w="380" w:type="dxa"/>
            <w:vAlign w:val="bottom"/>
          </w:tcPr>
          <w:p>
            <w:pPr>
              <w:spacing w:after="0"/>
              <w:rPr>
                <w:sz w:val="24"/>
                <w:szCs w:val="24"/>
                <w:color w:val="auto"/>
              </w:rPr>
            </w:pPr>
          </w:p>
        </w:tc>
        <w:tc>
          <w:tcPr>
            <w:tcW w:w="11060" w:type="dxa"/>
            <w:vAlign w:val="bottom"/>
            <w:gridSpan w:val="9"/>
          </w:tcPr>
          <w:p>
            <w:pPr>
              <w:ind w:left="9740"/>
              <w:spacing w:after="0"/>
              <w:rPr>
                <w:sz w:val="20"/>
                <w:szCs w:val="20"/>
                <w:color w:val="auto"/>
              </w:rPr>
            </w:pPr>
            <w:r>
              <w:rPr>
                <w:rFonts w:ascii="Arial" w:cs="Arial" w:eastAsia="Arial" w:hAnsi="Arial"/>
                <w:sz w:val="18"/>
                <w:szCs w:val="18"/>
                <w:color w:val="auto"/>
                <w:w w:val="86"/>
              </w:rPr>
              <w:t>__________, 20__</w:t>
            </w:r>
          </w:p>
        </w:tc>
      </w:tr>
      <w:tr>
        <w:trPr>
          <w:trHeight w:val="734"/>
        </w:trPr>
        <w:tc>
          <w:tcPr>
            <w:tcW w:w="380" w:type="dxa"/>
            <w:vAlign w:val="bottom"/>
          </w:tcPr>
          <w:p>
            <w:pPr>
              <w:spacing w:after="0"/>
              <w:rPr>
                <w:sz w:val="20"/>
                <w:szCs w:val="20"/>
                <w:color w:val="auto"/>
              </w:rPr>
            </w:pPr>
            <w:r>
              <w:rPr>
                <w:rFonts w:ascii="Arial" w:cs="Arial" w:eastAsia="Arial" w:hAnsi="Arial"/>
                <w:sz w:val="18"/>
                <w:szCs w:val="18"/>
                <w:color w:val="auto"/>
              </w:rPr>
              <w:t>To:</w:t>
            </w:r>
          </w:p>
        </w:tc>
        <w:tc>
          <w:tcPr>
            <w:tcW w:w="11060" w:type="dxa"/>
            <w:vAlign w:val="bottom"/>
            <w:gridSpan w:val="9"/>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_____________________________</w:t>
            </w:r>
            <w:r>
              <w:rPr>
                <w:rFonts w:ascii="Arial" w:cs="Arial" w:eastAsia="Arial" w:hAnsi="Arial"/>
                <w:sz w:val="18"/>
                <w:szCs w:val="18"/>
                <w:color w:val="auto"/>
              </w:rPr>
              <w:t>] (the “Issuing Lender”)</w:t>
            </w:r>
          </w:p>
        </w:tc>
      </w:tr>
      <w:tr>
        <w:trPr>
          <w:trHeight w:val="20"/>
        </w:trPr>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95"/>
        </w:trPr>
        <w:tc>
          <w:tcPr>
            <w:tcW w:w="380" w:type="dxa"/>
            <w:vAlign w:val="bottom"/>
          </w:tcPr>
          <w:p>
            <w:pPr>
              <w:spacing w:after="0"/>
              <w:rPr>
                <w:sz w:val="20"/>
                <w:szCs w:val="20"/>
                <w:color w:val="auto"/>
              </w:rPr>
            </w:pPr>
            <w:r>
              <w:rPr>
                <w:rFonts w:ascii="Arial" w:cs="Arial" w:eastAsia="Arial" w:hAnsi="Arial"/>
                <w:sz w:val="18"/>
                <w:szCs w:val="18"/>
                <w:color w:val="auto"/>
              </w:rPr>
              <w:t>Re:</w:t>
            </w:r>
          </w:p>
        </w:tc>
        <w:tc>
          <w:tcPr>
            <w:tcW w:w="11060" w:type="dxa"/>
            <w:vAlign w:val="bottom"/>
            <w:gridSpan w:val="9"/>
          </w:tcPr>
          <w:p>
            <w:pPr>
              <w:ind w:left="160"/>
              <w:spacing w:after="0"/>
              <w:rPr>
                <w:sz w:val="20"/>
                <w:szCs w:val="20"/>
                <w:color w:val="auto"/>
              </w:rPr>
            </w:pPr>
            <w:r>
              <w:rPr>
                <w:rFonts w:ascii="Arial" w:cs="Arial" w:eastAsia="Arial" w:hAnsi="Arial"/>
                <w:sz w:val="18"/>
                <w:szCs w:val="18"/>
                <w:color w:val="auto"/>
                <w:w w:val="89"/>
              </w:rPr>
              <w:t>Amended and Restated Three Year Revolving Credit Agreement, dated as of October 17, 2014 (as amended, restated, amended and restated, renewed,</w:t>
            </w:r>
          </w:p>
        </w:tc>
      </w:tr>
      <w:tr>
        <w:trPr>
          <w:trHeight w:val="183"/>
        </w:trPr>
        <w:tc>
          <w:tcPr>
            <w:tcW w:w="380" w:type="dxa"/>
            <w:vAlign w:val="bottom"/>
          </w:tcPr>
          <w:p>
            <w:pPr>
              <w:spacing w:after="0"/>
              <w:rPr>
                <w:sz w:val="15"/>
                <w:szCs w:val="15"/>
                <w:color w:val="auto"/>
              </w:rPr>
            </w:pPr>
          </w:p>
        </w:tc>
        <w:tc>
          <w:tcPr>
            <w:tcW w:w="11060" w:type="dxa"/>
            <w:vAlign w:val="bottom"/>
            <w:gridSpan w:val="9"/>
          </w:tcPr>
          <w:p>
            <w:pPr>
              <w:ind w:left="160"/>
              <w:spacing w:after="0" w:line="183" w:lineRule="exact"/>
              <w:rPr>
                <w:sz w:val="20"/>
                <w:szCs w:val="20"/>
                <w:color w:val="auto"/>
              </w:rPr>
            </w:pPr>
            <w:r>
              <w:rPr>
                <w:rFonts w:ascii="Arial" w:cs="Arial" w:eastAsia="Arial" w:hAnsi="Arial"/>
                <w:sz w:val="18"/>
                <w:szCs w:val="18"/>
                <w:color w:val="auto"/>
                <w:w w:val="94"/>
              </w:rPr>
              <w:t>supplemented or modified from time to time, the “Credit Agreement”), among General Motors Company, a Delaware corporation (together with its</w:t>
            </w:r>
          </w:p>
        </w:tc>
      </w:tr>
      <w:tr>
        <w:trPr>
          <w:trHeight w:val="20"/>
        </w:trPr>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190"/>
        </w:trPr>
        <w:tc>
          <w:tcPr>
            <w:tcW w:w="380" w:type="dxa"/>
            <w:vAlign w:val="bottom"/>
          </w:tcPr>
          <w:p>
            <w:pPr>
              <w:spacing w:after="0"/>
              <w:rPr>
                <w:sz w:val="16"/>
                <w:szCs w:val="16"/>
                <w:color w:val="auto"/>
              </w:rPr>
            </w:pPr>
          </w:p>
        </w:tc>
        <w:tc>
          <w:tcPr>
            <w:tcW w:w="11060" w:type="dxa"/>
            <w:vAlign w:val="bottom"/>
            <w:gridSpan w:val="9"/>
          </w:tcPr>
          <w:p>
            <w:pPr>
              <w:ind w:left="160"/>
              <w:spacing w:after="0" w:line="190" w:lineRule="exact"/>
              <w:rPr>
                <w:sz w:val="20"/>
                <w:szCs w:val="20"/>
                <w:color w:val="auto"/>
              </w:rPr>
            </w:pPr>
            <w:r>
              <w:rPr>
                <w:rFonts w:ascii="Arial" w:cs="Arial" w:eastAsia="Arial" w:hAnsi="Arial"/>
                <w:sz w:val="18"/>
                <w:szCs w:val="18"/>
                <w:color w:val="auto"/>
                <w:w w:val="89"/>
              </w:rPr>
              <w:t>successors and permitted assigns, the “Company”), General Motors Financial Company, Inc., a Texas corporation, GM Europe Treasury Company AB, a</w:t>
            </w:r>
          </w:p>
        </w:tc>
      </w:tr>
      <w:tr>
        <w:trPr>
          <w:trHeight w:val="20"/>
        </w:trPr>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r>
      <w:tr>
        <w:trPr>
          <w:trHeight w:val="218"/>
        </w:trPr>
        <w:tc>
          <w:tcPr>
            <w:tcW w:w="380" w:type="dxa"/>
            <w:vAlign w:val="bottom"/>
          </w:tcPr>
          <w:p>
            <w:pPr>
              <w:spacing w:after="0"/>
              <w:rPr>
                <w:sz w:val="18"/>
                <w:szCs w:val="18"/>
                <w:color w:val="auto"/>
              </w:rPr>
            </w:pPr>
          </w:p>
        </w:tc>
        <w:tc>
          <w:tcPr>
            <w:tcW w:w="11060" w:type="dxa"/>
            <w:vAlign w:val="bottom"/>
            <w:gridSpan w:val="9"/>
          </w:tcPr>
          <w:p>
            <w:pPr>
              <w:ind w:left="160"/>
              <w:spacing w:after="0"/>
              <w:rPr>
                <w:sz w:val="20"/>
                <w:szCs w:val="20"/>
                <w:color w:val="auto"/>
              </w:rPr>
            </w:pPr>
            <w:r>
              <w:rPr>
                <w:rFonts w:ascii="Arial" w:cs="Arial" w:eastAsia="Arial" w:hAnsi="Arial"/>
                <w:sz w:val="18"/>
                <w:szCs w:val="18"/>
                <w:color w:val="auto"/>
                <w:w w:val="90"/>
              </w:rPr>
              <w:t>Swedish corporation, General Motors do Brasil Ltda., a Brazilian limited liability company, the Subsidiary Borrowers from time to time party thereto, the</w:t>
            </w:r>
          </w:p>
        </w:tc>
      </w:tr>
      <w:tr>
        <w:trPr>
          <w:trHeight w:val="210"/>
        </w:trPr>
        <w:tc>
          <w:tcPr>
            <w:tcW w:w="380" w:type="dxa"/>
            <w:vAlign w:val="bottom"/>
          </w:tcPr>
          <w:p>
            <w:pPr>
              <w:spacing w:after="0"/>
              <w:rPr>
                <w:sz w:val="18"/>
                <w:szCs w:val="18"/>
                <w:color w:val="auto"/>
              </w:rPr>
            </w:pPr>
          </w:p>
        </w:tc>
        <w:tc>
          <w:tcPr>
            <w:tcW w:w="11060" w:type="dxa"/>
            <w:vAlign w:val="bottom"/>
            <w:gridSpan w:val="9"/>
          </w:tcPr>
          <w:p>
            <w:pPr>
              <w:ind w:left="160"/>
              <w:spacing w:after="0"/>
              <w:rPr>
                <w:sz w:val="20"/>
                <w:szCs w:val="20"/>
                <w:color w:val="auto"/>
              </w:rPr>
            </w:pPr>
            <w:r>
              <w:rPr>
                <w:rFonts w:ascii="Arial" w:cs="Arial" w:eastAsia="Arial" w:hAnsi="Arial"/>
                <w:sz w:val="18"/>
                <w:szCs w:val="18"/>
                <w:color w:val="auto"/>
                <w:w w:val="91"/>
              </w:rPr>
              <w:t>Lenders from time to time party thereto, JPMorgan Chase Bank, N.A., as administrative agent, Banco do Brasil S.A., as Brazilian administrative agent</w:t>
            </w:r>
          </w:p>
        </w:tc>
      </w:tr>
      <w:tr>
        <w:trPr>
          <w:trHeight w:val="224"/>
        </w:trPr>
        <w:tc>
          <w:tcPr>
            <w:tcW w:w="380" w:type="dxa"/>
            <w:vAlign w:val="bottom"/>
          </w:tcPr>
          <w:p>
            <w:pPr>
              <w:spacing w:after="0"/>
              <w:rPr>
                <w:sz w:val="19"/>
                <w:szCs w:val="19"/>
                <w:color w:val="auto"/>
              </w:rPr>
            </w:pPr>
          </w:p>
        </w:tc>
        <w:tc>
          <w:tcPr>
            <w:tcW w:w="11060" w:type="dxa"/>
            <w:vAlign w:val="bottom"/>
            <w:gridSpan w:val="9"/>
          </w:tcPr>
          <w:p>
            <w:pPr>
              <w:ind w:left="160"/>
              <w:spacing w:after="0"/>
              <w:rPr>
                <w:sz w:val="20"/>
                <w:szCs w:val="20"/>
                <w:color w:val="auto"/>
              </w:rPr>
            </w:pPr>
            <w:r>
              <w:rPr>
                <w:rFonts w:ascii="Arial" w:cs="Arial" w:eastAsia="Arial" w:hAnsi="Arial"/>
                <w:sz w:val="18"/>
                <w:szCs w:val="18"/>
                <w:color w:val="auto"/>
                <w:w w:val="87"/>
              </w:rPr>
              <w:t>and the other agents party thereto. Capitalized terms used and not defined herein shall have the meanings assigned to such terms in the Credit Agreement.</w:t>
            </w:r>
          </w:p>
        </w:tc>
      </w:tr>
      <w:tr>
        <w:trPr>
          <w:trHeight w:val="347"/>
        </w:trPr>
        <w:tc>
          <w:tcPr>
            <w:tcW w:w="380" w:type="dxa"/>
            <w:vAlign w:val="bottom"/>
          </w:tcPr>
          <w:p>
            <w:pPr>
              <w:spacing w:after="0"/>
              <w:rPr>
                <w:sz w:val="24"/>
                <w:szCs w:val="24"/>
                <w:color w:val="auto"/>
              </w:rPr>
            </w:pPr>
          </w:p>
        </w:tc>
        <w:tc>
          <w:tcPr>
            <w:tcW w:w="11060" w:type="dxa"/>
            <w:vAlign w:val="bottom"/>
            <w:gridSpan w:val="9"/>
          </w:tcPr>
          <w:p>
            <w:pPr>
              <w:ind w:left="140"/>
              <w:spacing w:after="0"/>
              <w:rPr>
                <w:sz w:val="20"/>
                <w:szCs w:val="20"/>
                <w:color w:val="auto"/>
              </w:rPr>
            </w:pPr>
            <w:r>
              <w:rPr>
                <w:rFonts w:ascii="Arial" w:cs="Arial" w:eastAsia="Arial" w:hAnsi="Arial"/>
                <w:sz w:val="18"/>
                <w:szCs w:val="18"/>
                <w:color w:val="auto"/>
                <w:w w:val="90"/>
              </w:rPr>
              <w:t>Pursuant to Section 3.2 of the Credit Agreement, the Company hereby consents to the issuance by the Issuing Lender or its Applicable Lending office of</w:t>
            </w:r>
          </w:p>
        </w:tc>
      </w:tr>
      <w:tr>
        <w:trPr>
          <w:trHeight w:val="20"/>
        </w:trPr>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Letter of Credit in the original face amount of ________________ [Insert Currency] requested by and for the account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 (the “</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pursuant to that certain Application dated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 20__] and executed by the Applicable Account Party].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GENERAL MOTORS COMPANY</w:t>
      </w:r>
    </w:p>
    <w:p>
      <w:pPr>
        <w:spacing w:after="0" w:line="39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By:_______________________________</w:t>
      </w:r>
    </w:p>
    <w:p>
      <w:pPr>
        <w:ind w:left="5660"/>
        <w:spacing w:after="0" w:line="238" w:lineRule="auto"/>
        <w:rPr>
          <w:sz w:val="20"/>
          <w:szCs w:val="20"/>
          <w:color w:val="auto"/>
        </w:rPr>
      </w:pPr>
      <w:r>
        <w:rPr>
          <w:rFonts w:ascii="Arial" w:cs="Arial" w:eastAsia="Arial" w:hAnsi="Arial"/>
          <w:sz w:val="18"/>
          <w:szCs w:val="18"/>
          <w:color w:val="auto"/>
        </w:rPr>
        <w:t>Name:</w:t>
      </w:r>
    </w:p>
    <w:p>
      <w:pPr>
        <w:jc w:val="center"/>
        <w:ind w:right="-219"/>
        <w:spacing w:after="0"/>
        <w:rPr>
          <w:sz w:val="20"/>
          <w:szCs w:val="20"/>
          <w:color w:val="auto"/>
        </w:rPr>
      </w:pPr>
      <w:r>
        <w:rPr>
          <w:rFonts w:ascii="Arial" w:cs="Arial" w:eastAsia="Arial" w:hAnsi="Arial"/>
          <w:sz w:val="18"/>
          <w:szCs w:val="18"/>
          <w:color w:val="auto"/>
        </w:rPr>
        <w:t>Title:</w:t>
      </w:r>
    </w:p>
    <w:p>
      <w:pPr>
        <w:spacing w:after="0" w:line="216"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670" w:right="219" w:bottom="1440" w:gutter="0" w:footer="0" w:header="0"/>
        </w:sectPr>
      </w:pPr>
    </w:p>
    <w:bookmarkStart w:id="195" w:name="page196"/>
    <w:bookmarkEnd w:id="195"/>
    <w:p>
      <w:pPr>
        <w:jc w:val="center"/>
        <w:ind w:left="9220"/>
        <w:spacing w:after="0"/>
        <w:rPr>
          <w:sz w:val="20"/>
          <w:szCs w:val="20"/>
          <w:color w:val="auto"/>
        </w:rPr>
      </w:pPr>
      <w:r>
        <w:rPr>
          <w:rFonts w:ascii="Arial" w:cs="Arial" w:eastAsia="Arial" w:hAnsi="Arial"/>
          <w:sz w:val="18"/>
          <w:szCs w:val="18"/>
          <w:b w:val="1"/>
          <w:bCs w:val="1"/>
          <w:color w:val="auto"/>
        </w:rPr>
        <w:t>EXHIBIT P</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LETTER OF CREDIT ACKNOWLEDGMENT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LETTER OF CREDIT ACKNOWLEDGMENT, dated as of _____________, 20__, is entered into by _________________, a _________________ (the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Lending Office</w:t>
      </w:r>
      <w:r>
        <w:rPr>
          <w:rFonts w:ascii="Arial" w:cs="Arial" w:eastAsia="Arial" w:hAnsi="Arial"/>
          <w:sz w:val="17"/>
          <w:szCs w:val="17"/>
          <w:color w:val="auto"/>
        </w:rPr>
        <w:t>”), in favor of [INSERT ISSUING LENDER],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 ] (the</w:t>
      </w:r>
    </w:p>
    <w:p>
      <w:pPr>
        <w:spacing w:after="0" w:line="1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Capitalized terms used and not defined herein shall have the meanings assigned to such terms in the Credit Agreement referred to below. This is a “Letter of Credit Acknowledgment” as referenced in the Credit Agreement.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187" w:lineRule="exact"/>
        <w:rPr>
          <w:sz w:val="20"/>
          <w:szCs w:val="20"/>
          <w:color w:val="auto"/>
        </w:rPr>
      </w:pPr>
    </w:p>
    <w:p>
      <w:pPr>
        <w:ind w:right="80" w:firstLine="532"/>
        <w:spacing w:after="0" w:line="291" w:lineRule="auto"/>
        <w:rPr>
          <w:sz w:val="20"/>
          <w:szCs w:val="20"/>
          <w:color w:val="auto"/>
        </w:rPr>
      </w:pPr>
      <w:r>
        <w:rPr>
          <w:rFonts w:ascii="Arial" w:cs="Arial" w:eastAsia="Arial" w:hAnsi="Arial"/>
          <w:sz w:val="16"/>
          <w:szCs w:val="16"/>
          <w:color w:val="auto"/>
        </w:rPr>
        <w:t>WHEREAS, the Company, General Motors Financial Company, Inc., GM Europe Treasury Company AB, General Motors do Brazil Ltda., the Subsidiary Borrowers from time to time party thereto, JPMorgan Chase Bank, N.A, as Administrative Agent, Banco do Brasil S.A., as Brazilian Administrative Agent, and each of the Lenders from time to time party thereto have entered into that certain Amended and Restated Three-Year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27" w:lineRule="exact"/>
        <w:rPr>
          <w:sz w:val="20"/>
          <w:szCs w:val="20"/>
          <w:color w:val="auto"/>
        </w:rPr>
      </w:pPr>
    </w:p>
    <w:p>
      <w:pPr>
        <w:ind w:right="20" w:firstLine="532"/>
        <w:spacing w:after="0" w:line="253" w:lineRule="auto"/>
        <w:rPr>
          <w:sz w:val="20"/>
          <w:szCs w:val="20"/>
          <w:color w:val="auto"/>
        </w:rPr>
      </w:pPr>
      <w:r>
        <w:rPr>
          <w:rFonts w:ascii="Arial" w:cs="Arial" w:eastAsia="Arial" w:hAnsi="Arial"/>
          <w:sz w:val="18"/>
          <w:szCs w:val="18"/>
          <w:color w:val="auto"/>
        </w:rPr>
        <w:t>WHEREAS, pursuant to the terms of the Credit Agreement, the Applicable Account Party has requested that the Applicable Lending Office issue a letter of credit (the “</w:t>
      </w:r>
      <w:r>
        <w:rPr>
          <w:rFonts w:ascii="Arial" w:cs="Arial" w:eastAsia="Arial" w:hAnsi="Arial"/>
          <w:sz w:val="18"/>
          <w:szCs w:val="18"/>
          <w:u w:val="single" w:color="auto"/>
          <w:color w:val="auto"/>
        </w:rPr>
        <w:t>Requested Letter of Credit</w:t>
      </w:r>
      <w:r>
        <w:rPr>
          <w:rFonts w:ascii="Arial" w:cs="Arial" w:eastAsia="Arial" w:hAnsi="Arial"/>
          <w:sz w:val="18"/>
          <w:szCs w:val="18"/>
          <w:color w:val="auto"/>
        </w:rPr>
        <w:t>”) on behalf of the Applicable Account Party, which letter of credit shall be a “Letter of Credit” for all purposes under the Credit Agreement; and</w:t>
      </w:r>
    </w:p>
    <w:p>
      <w:pPr>
        <w:spacing w:after="0" w:line="154" w:lineRule="exact"/>
        <w:rPr>
          <w:sz w:val="20"/>
          <w:szCs w:val="20"/>
          <w:color w:val="auto"/>
        </w:rPr>
      </w:pPr>
    </w:p>
    <w:p>
      <w:pPr>
        <w:ind w:right="20" w:firstLine="532"/>
        <w:spacing w:after="0" w:line="253" w:lineRule="auto"/>
        <w:rPr>
          <w:sz w:val="20"/>
          <w:szCs w:val="20"/>
          <w:color w:val="auto"/>
        </w:rPr>
      </w:pPr>
      <w:r>
        <w:rPr>
          <w:rFonts w:ascii="Arial" w:cs="Arial" w:eastAsia="Arial" w:hAnsi="Arial"/>
          <w:sz w:val="18"/>
          <w:szCs w:val="18"/>
          <w:color w:val="auto"/>
        </w:rPr>
        <w:t>WHEREAS, the Applicable Account Party may in the future request that the Applicable Lending Office issue additional letters of credit (each such letter of credit, a “</w:t>
      </w:r>
      <w:r>
        <w:rPr>
          <w:rFonts w:ascii="Arial" w:cs="Arial" w:eastAsia="Arial" w:hAnsi="Arial"/>
          <w:sz w:val="18"/>
          <w:szCs w:val="18"/>
          <w:u w:val="single" w:color="auto"/>
          <w:color w:val="auto"/>
        </w:rPr>
        <w:t>Future Letter of Credit</w:t>
      </w:r>
      <w:r>
        <w:rPr>
          <w:rFonts w:ascii="Arial" w:cs="Arial" w:eastAsia="Arial" w:hAnsi="Arial"/>
          <w:sz w:val="18"/>
          <w:szCs w:val="18"/>
          <w:color w:val="auto"/>
        </w:rPr>
        <w:t>”) on behalf of the Applicable Account Party, each such Future Letter of Credit to be a “Letter of Credit” for all purposes under the Credit Agreement upon the issuance thereof.</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NOW, THEREFORE, IT IS AGREED:</w:t>
      </w:r>
    </w:p>
    <w:p>
      <w:pPr>
        <w:spacing w:after="0" w:line="181" w:lineRule="exact"/>
        <w:rPr>
          <w:sz w:val="20"/>
          <w:szCs w:val="20"/>
          <w:color w:val="auto"/>
        </w:rPr>
      </w:pPr>
    </w:p>
    <w:p>
      <w:pPr>
        <w:ind w:left="540" w:firstLine="1063"/>
        <w:spacing w:after="0" w:line="262" w:lineRule="auto"/>
        <w:tabs>
          <w:tab w:leader="none" w:pos="2268"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Acknowledgment</w:t>
      </w:r>
      <w:r>
        <w:rPr>
          <w:rFonts w:ascii="Arial" w:cs="Arial" w:eastAsia="Arial" w:hAnsi="Arial"/>
          <w:sz w:val="17"/>
          <w:szCs w:val="17"/>
          <w:color w:val="auto"/>
        </w:rPr>
        <w:t>. Each of the Applicable Lending Office, [INSERT ISSUING LENDER], the Company and the Applicable Account Party hereby acknowledge that, upon the issuance thereof pursuant to the terms of the Credit Agreement, the Requested Letter of Credit and any Future Letter of Credit shall constitute and shall be deemed to be a Letter of Credit for all purposes under the Credit Agreement and shall be subject to the terms thereof, as such terms may be amended solely pursuant to Section 2 below.</w:t>
      </w:r>
    </w:p>
    <w:p>
      <w:pPr>
        <w:spacing w:after="0" w:line="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6"/>
          <w:szCs w:val="16"/>
          <w:color w:val="auto"/>
        </w:rPr>
        <w:t>The Applicable Lending Office hereby agrees to be bound by the terms and conditions of the Credit Agreement (including all representations, warranties,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and covenants), derive rights and assume the obligations thereunder.</w:t>
      </w:r>
    </w:p>
    <w:p>
      <w:pPr>
        <w:spacing w:after="0" w:line="36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20"/>
          </w:cols>
          <w:pgMar w:left="220" w:top="671" w:right="259" w:bottom="1440" w:gutter="0" w:footer="0" w:header="0"/>
        </w:sectPr>
      </w:pPr>
    </w:p>
    <w:bookmarkStart w:id="196" w:name="page197"/>
    <w:bookmarkEnd w:id="196"/>
    <w:p>
      <w:pPr>
        <w:ind w:left="540" w:right="540" w:firstLine="1063"/>
        <w:spacing w:after="0" w:line="251" w:lineRule="auto"/>
        <w:tabs>
          <w:tab w:leader="none" w:pos="226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Solely with respect to the Requested Letter of Credit and any Future Letter of Credit, the terms of the Credit Agreement governing Letters of Credit shall be amended as follows:</w:t>
      </w:r>
    </w:p>
    <w:p>
      <w:pPr>
        <w:spacing w:after="0" w:line="1" w:lineRule="exact"/>
        <w:rPr>
          <w:rFonts w:ascii="Arial" w:cs="Arial" w:eastAsia="Arial" w:hAnsi="Arial"/>
          <w:sz w:val="18"/>
          <w:szCs w:val="18"/>
          <w:color w:val="auto"/>
        </w:rPr>
      </w:pPr>
    </w:p>
    <w:p>
      <w:pPr>
        <w:ind w:left="540" w:right="80" w:firstLine="532"/>
        <w:spacing w:after="0" w:line="245" w:lineRule="auto"/>
        <w:rPr>
          <w:rFonts w:ascii="Arial" w:cs="Arial" w:eastAsia="Arial" w:hAnsi="Arial"/>
          <w:sz w:val="18"/>
          <w:szCs w:val="18"/>
          <w:color w:val="auto"/>
        </w:rPr>
      </w:pPr>
      <w:r>
        <w:rPr>
          <w:rFonts w:ascii="Arial" w:cs="Arial" w:eastAsia="Arial" w:hAnsi="Arial"/>
          <w:sz w:val="18"/>
          <w:szCs w:val="18"/>
          <w:b w:val="1"/>
          <w:bCs w:val="1"/>
          <w:i w:val="1"/>
          <w:iCs w:val="1"/>
          <w:color w:val="auto"/>
        </w:rPr>
        <w:t>[Insert any amendments to the Letter of Credit provisions set forth in Section 3 of the Credit Agreement necessary to the extent (i) of any operational terms required by the Applicable Lending Office for similarly situated applicants that do not have a material impact on its ability to issue Letters of Credit and are not materially inconsistent with the terms of the Credit Agreement and the L/C Fee Letter or (ii) required pursuant to any applicable Requirements of Law.]</w:t>
      </w:r>
    </w:p>
    <w:p>
      <w:pPr>
        <w:spacing w:after="0" w:line="160" w:lineRule="exact"/>
        <w:rPr>
          <w:rFonts w:ascii="Arial" w:cs="Arial" w:eastAsia="Arial" w:hAnsi="Arial"/>
          <w:sz w:val="18"/>
          <w:szCs w:val="18"/>
          <w:color w:val="auto"/>
        </w:rPr>
      </w:pPr>
    </w:p>
    <w:p>
      <w:pPr>
        <w:ind w:left="540" w:firstLine="1063"/>
        <w:spacing w:after="0" w:line="248" w:lineRule="auto"/>
        <w:tabs>
          <w:tab w:leader="none" w:pos="226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The Company hereby confirms that the Credit Agreement (other than as specifically amended hereby solely with respect to the Requested Letter of Credit and any Future Letter of Credit) remains in full force and effect and will continue to constitute legal, valid and binding obligations of the Company in accordance with its terms. Each of the Company and the Applicable Lending Office represents and warrants that it has the full power and authority, and has taken all actions necessary to execute and deliver this Letter of Credit Acknowledgment and to consummate the transactions contemplated hereunder.</w:t>
      </w:r>
    </w:p>
    <w:p>
      <w:pPr>
        <w:spacing w:after="0" w:line="193" w:lineRule="exact"/>
        <w:rPr>
          <w:rFonts w:ascii="Arial" w:cs="Arial" w:eastAsia="Arial" w:hAnsi="Arial"/>
          <w:sz w:val="18"/>
          <w:szCs w:val="18"/>
          <w:color w:val="auto"/>
        </w:rPr>
      </w:pPr>
    </w:p>
    <w:p>
      <w:pPr>
        <w:jc w:val="both"/>
        <w:ind w:left="540" w:right="140" w:firstLine="1063"/>
        <w:spacing w:after="0" w:line="250" w:lineRule="auto"/>
        <w:tabs>
          <w:tab w:leader="none" w:pos="226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Governing Law; Etc</w:t>
      </w:r>
      <w:r>
        <w:rPr>
          <w:rFonts w:ascii="Arial" w:cs="Arial" w:eastAsia="Arial" w:hAnsi="Arial"/>
          <w:sz w:val="18"/>
          <w:szCs w:val="18"/>
          <w:color w:val="auto"/>
        </w:rPr>
        <w:t xml:space="preserve">. This Letter of Credit Acknowledgment shall be governed in accordance with the laws of the State of New York </w:t>
      </w:r>
      <w:r>
        <w:rPr>
          <w:rFonts w:ascii="Arial" w:cs="Arial" w:eastAsia="Arial" w:hAnsi="Arial"/>
          <w:sz w:val="18"/>
          <w:szCs w:val="18"/>
          <w:i w:val="1"/>
          <w:iCs w:val="1"/>
          <w:color w:val="auto"/>
        </w:rPr>
        <w:t>[or local law if Acknowledgement would be unenforceable if governed by New York law]</w:t>
      </w:r>
      <w:r>
        <w:rPr>
          <w:rFonts w:ascii="Arial" w:cs="Arial" w:eastAsia="Arial" w:hAnsi="Arial"/>
          <w:sz w:val="18"/>
          <w:szCs w:val="18"/>
          <w:color w:val="auto"/>
        </w:rPr>
        <w:t>. This Letter of Credit Acknowledgment may be executed in one or more counterparts which taken together shall constitute one agreement. Any signature delivered by facsimile or by email (in “pdf” or similar format) shall be deemed an original signature hereto.</w:t>
      </w:r>
    </w:p>
    <w:p>
      <w:pPr>
        <w:spacing w:after="0" w:line="383"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1460"/>
          </w:cols>
          <w:pgMar w:left="220" w:top="134" w:right="219" w:bottom="1440" w:gutter="0" w:footer="0" w:header="0"/>
        </w:sectPr>
      </w:pPr>
    </w:p>
    <w:bookmarkStart w:id="197" w:name="page198"/>
    <w:bookmarkEnd w:id="197"/>
    <w:p>
      <w:pPr>
        <w:ind w:left="5380"/>
        <w:spacing w:after="0"/>
        <w:rPr>
          <w:sz w:val="20"/>
          <w:szCs w:val="20"/>
          <w:color w:val="auto"/>
        </w:rPr>
      </w:pPr>
      <w:r>
        <w:rPr>
          <w:rFonts w:ascii="Arial" w:cs="Arial" w:eastAsia="Arial" w:hAnsi="Arial"/>
          <w:sz w:val="18"/>
          <w:szCs w:val="18"/>
          <w:color w:val="auto"/>
        </w:rPr>
        <w:t>[APPLICABLE ACCOUNT PARTY]</w:t>
      </w:r>
    </w:p>
    <w:p>
      <w:pPr>
        <w:spacing w:after="0" w:line="39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By:_______________________________</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ind w:left="5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GENERAL MOTORS COMPANY</w:t>
      </w:r>
    </w:p>
    <w:p>
      <w:pPr>
        <w:spacing w:after="0" w:line="39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By:_______________________________</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ind w:left="5660"/>
        <w:spacing w:after="0"/>
        <w:rPr>
          <w:sz w:val="20"/>
          <w:szCs w:val="20"/>
          <w:color w:val="auto"/>
        </w:rPr>
      </w:pPr>
      <w:r>
        <w:rPr>
          <w:rFonts w:ascii="Arial" w:cs="Arial" w:eastAsia="Arial" w:hAnsi="Arial"/>
          <w:sz w:val="18"/>
          <w:szCs w:val="18"/>
          <w:color w:val="auto"/>
        </w:rPr>
        <w:t>Title: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[ISSUING LENDER]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[APPLICABLE LENDING OFFICE]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509265-1725-14703-Active.16366468</w:t>
      </w:r>
    </w:p>
    <w:p>
      <w:pPr>
        <w:sectPr>
          <w:pgSz w:w="11900" w:h="16838" w:orient="portrait"/>
          <w:cols w:equalWidth="0" w:num="1">
            <w:col w:w="10239"/>
          </w:cols>
          <w:pgMar w:left="220" w:top="477" w:right="1440" w:bottom="1440" w:gutter="0" w:footer="0" w:header="0"/>
        </w:sectPr>
      </w:pPr>
    </w:p>
    <w:bookmarkStart w:id="198" w:name="page199"/>
    <w:bookmarkEnd w:id="198"/>
    <w:p>
      <w:pPr>
        <w:ind w:left="9840"/>
        <w:spacing w:after="0"/>
        <w:rPr>
          <w:sz w:val="20"/>
          <w:szCs w:val="20"/>
          <w:color w:val="auto"/>
        </w:rPr>
      </w:pPr>
      <w:r>
        <w:rPr>
          <w:rFonts w:ascii="Arial" w:cs="Arial" w:eastAsia="Arial" w:hAnsi="Arial"/>
          <w:sz w:val="16"/>
          <w:szCs w:val="16"/>
          <w:b w:val="1"/>
          <w:bCs w:val="1"/>
          <w:color w:val="auto"/>
        </w:rPr>
        <w:t>EXHIBIT 10.2</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24"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AMENDED AND RESTATED 5-YEAR REVOLVING CREDIT AGREEMENT</w:t>
      </w: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Among</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GENERAL MOTORS COMPANY,</w:t>
      </w:r>
    </w:p>
    <w:p>
      <w:pPr>
        <w:spacing w:after="0" w:line="17" w:lineRule="exact"/>
        <w:rPr>
          <w:sz w:val="20"/>
          <w:szCs w:val="20"/>
          <w:color w:val="auto"/>
        </w:rPr>
      </w:pPr>
    </w:p>
    <w:p>
      <w:pPr>
        <w:jc w:val="center"/>
        <w:ind w:left="240" w:right="2780"/>
        <w:spacing w:after="0" w:line="245" w:lineRule="auto"/>
        <w:rPr>
          <w:sz w:val="20"/>
          <w:szCs w:val="20"/>
          <w:color w:val="auto"/>
        </w:rPr>
      </w:pPr>
      <w:r>
        <w:rPr>
          <w:rFonts w:ascii="Arial" w:cs="Arial" w:eastAsia="Arial" w:hAnsi="Arial"/>
          <w:sz w:val="18"/>
          <w:szCs w:val="18"/>
          <w:color w:val="auto"/>
        </w:rPr>
        <w:t>GENERAL MOTORS FINANCIAL COMPANY, INC., GENERAL MOTORS DO BRASIL LTDA., THE SUBSIDIARY BORROWERS FROM TIME TO TIME PARTIES HERETO, THE SEVERAL LENDERS FROM TIME TO TIME PARTIES HERETO,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254" w:right="219" w:bottom="1440" w:gutter="0" w:footer="0" w:header="0"/>
        </w:sectPr>
      </w:pPr>
    </w:p>
    <w:bookmarkStart w:id="199" w:name="page200"/>
    <w:bookmarkEnd w:id="199"/>
    <w:tbl>
      <w:tblPr>
        <w:tblLayout w:type="fixed"/>
        <w:tblInd w:w="380" w:type="dxa"/>
        <w:tblCellMar>
          <w:top w:w="0" w:type="dxa"/>
          <w:left w:w="0" w:type="dxa"/>
          <w:bottom w:w="0" w:type="dxa"/>
          <w:right w:w="0" w:type="dxa"/>
        </w:tblCellMar>
      </w:tblPr>
      <w:tr>
        <w:trPr>
          <w:trHeight w:val="207"/>
        </w:trPr>
        <w:tc>
          <w:tcPr>
            <w:tcW w:w="4460" w:type="dxa"/>
            <w:vAlign w:val="bottom"/>
            <w:gridSpan w:val="2"/>
          </w:tcPr>
          <w:p>
            <w:pPr>
              <w:jc w:val="center"/>
              <w:ind w:left="691"/>
              <w:spacing w:after="0"/>
              <w:rPr>
                <w:sz w:val="20"/>
                <w:szCs w:val="20"/>
                <w:color w:val="auto"/>
              </w:rPr>
            </w:pPr>
            <w:r>
              <w:rPr>
                <w:rFonts w:ascii="Arial" w:cs="Arial" w:eastAsia="Arial" w:hAnsi="Arial"/>
                <w:sz w:val="18"/>
                <w:szCs w:val="18"/>
                <w:color w:val="auto"/>
                <w:w w:val="95"/>
              </w:rPr>
              <w:t>JPMORGAN CHASE BANK, N.A.,</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580" w:type="dxa"/>
            <w:vAlign w:val="bottom"/>
            <w:gridSpan w:val="2"/>
          </w:tcPr>
          <w:p>
            <w:pPr>
              <w:jc w:val="center"/>
              <w:ind w:right="931"/>
              <w:spacing w:after="0"/>
              <w:rPr>
                <w:sz w:val="20"/>
                <w:szCs w:val="20"/>
                <w:color w:val="auto"/>
              </w:rPr>
            </w:pPr>
            <w:r>
              <w:rPr>
                <w:rFonts w:ascii="Arial" w:cs="Arial" w:eastAsia="Arial" w:hAnsi="Arial"/>
                <w:sz w:val="18"/>
                <w:szCs w:val="18"/>
                <w:color w:val="auto"/>
                <w:w w:val="99"/>
              </w:rPr>
              <w:t>CITIBANK, N.A.,</w:t>
            </w:r>
          </w:p>
        </w:tc>
        <w:tc>
          <w:tcPr>
            <w:tcW w:w="0" w:type="dxa"/>
            <w:vAlign w:val="bottom"/>
          </w:tcPr>
          <w:p>
            <w:pPr>
              <w:spacing w:after="0"/>
              <w:rPr>
                <w:sz w:val="1"/>
                <w:szCs w:val="1"/>
                <w:color w:val="auto"/>
              </w:rPr>
            </w:pPr>
          </w:p>
        </w:tc>
      </w:tr>
      <w:tr>
        <w:trPr>
          <w:trHeight w:val="224"/>
        </w:trPr>
        <w:tc>
          <w:tcPr>
            <w:tcW w:w="4460" w:type="dxa"/>
            <w:vAlign w:val="bottom"/>
            <w:gridSpan w:val="2"/>
          </w:tcPr>
          <w:p>
            <w:pPr>
              <w:jc w:val="center"/>
              <w:ind w:left="711"/>
              <w:spacing w:after="0"/>
              <w:rPr>
                <w:sz w:val="20"/>
                <w:szCs w:val="20"/>
                <w:color w:val="auto"/>
              </w:rPr>
            </w:pPr>
            <w:r>
              <w:rPr>
                <w:rFonts w:ascii="Arial" w:cs="Arial" w:eastAsia="Arial" w:hAnsi="Arial"/>
                <w:sz w:val="18"/>
                <w:szCs w:val="18"/>
                <w:i w:val="1"/>
                <w:iCs w:val="1"/>
                <w:color w:val="auto"/>
                <w:w w:val="89"/>
              </w:rPr>
              <w:t>as Administrative Agent</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580" w:type="dxa"/>
            <w:vAlign w:val="bottom"/>
            <w:gridSpan w:val="2"/>
          </w:tcPr>
          <w:p>
            <w:pPr>
              <w:jc w:val="center"/>
              <w:ind w:right="911"/>
              <w:spacing w:after="0"/>
              <w:rPr>
                <w:sz w:val="20"/>
                <w:szCs w:val="20"/>
                <w:color w:val="auto"/>
              </w:rPr>
            </w:pPr>
            <w:r>
              <w:rPr>
                <w:rFonts w:ascii="Arial" w:cs="Arial" w:eastAsia="Arial" w:hAnsi="Arial"/>
                <w:sz w:val="18"/>
                <w:szCs w:val="18"/>
                <w:i w:val="1"/>
                <w:iCs w:val="1"/>
                <w:color w:val="auto"/>
                <w:w w:val="88"/>
              </w:rPr>
              <w:t>as Syndication Agent</w:t>
            </w:r>
          </w:p>
        </w:tc>
        <w:tc>
          <w:tcPr>
            <w:tcW w:w="0" w:type="dxa"/>
            <w:vAlign w:val="bottom"/>
          </w:tcPr>
          <w:p>
            <w:pPr>
              <w:spacing w:after="0"/>
              <w:rPr>
                <w:sz w:val="1"/>
                <w:szCs w:val="1"/>
                <w:color w:val="auto"/>
              </w:rPr>
            </w:pPr>
          </w:p>
        </w:tc>
      </w:tr>
      <w:tr>
        <w:trPr>
          <w:trHeight w:val="244"/>
        </w:trPr>
        <w:tc>
          <w:tcPr>
            <w:tcW w:w="4460" w:type="dxa"/>
            <w:vAlign w:val="bottom"/>
            <w:gridSpan w:val="2"/>
          </w:tcPr>
          <w:p>
            <w:pPr>
              <w:jc w:val="center"/>
              <w:ind w:left="711"/>
              <w:spacing w:after="0"/>
              <w:rPr>
                <w:sz w:val="20"/>
                <w:szCs w:val="20"/>
                <w:color w:val="auto"/>
              </w:rPr>
            </w:pPr>
            <w:r>
              <w:rPr>
                <w:rFonts w:ascii="Arial" w:cs="Arial" w:eastAsia="Arial" w:hAnsi="Arial"/>
                <w:sz w:val="18"/>
                <w:szCs w:val="18"/>
                <w:color w:val="auto"/>
                <w:w w:val="93"/>
              </w:rPr>
              <w:t>J.P. MORGAN SECURITIES LLC,</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580" w:type="dxa"/>
            <w:vAlign w:val="bottom"/>
            <w:gridSpan w:val="2"/>
          </w:tcPr>
          <w:p>
            <w:pPr>
              <w:jc w:val="center"/>
              <w:ind w:right="931"/>
              <w:spacing w:after="0"/>
              <w:rPr>
                <w:sz w:val="20"/>
                <w:szCs w:val="20"/>
                <w:color w:val="auto"/>
              </w:rPr>
            </w:pPr>
            <w:r>
              <w:rPr>
                <w:rFonts w:ascii="Arial" w:cs="Arial" w:eastAsia="Arial" w:hAnsi="Arial"/>
                <w:sz w:val="18"/>
                <w:szCs w:val="18"/>
                <w:color w:val="auto"/>
                <w:w w:val="96"/>
              </w:rPr>
              <w:t>CITIGROUP GLOBAL MARKETS INC.,</w:t>
            </w:r>
          </w:p>
        </w:tc>
        <w:tc>
          <w:tcPr>
            <w:tcW w:w="0" w:type="dxa"/>
            <w:vAlign w:val="bottom"/>
          </w:tcPr>
          <w:p>
            <w:pPr>
              <w:spacing w:after="0"/>
              <w:rPr>
                <w:sz w:val="1"/>
                <w:szCs w:val="1"/>
                <w:color w:val="auto"/>
              </w:rPr>
            </w:pPr>
          </w:p>
        </w:tc>
      </w:tr>
      <w:tr>
        <w:trPr>
          <w:trHeight w:val="377"/>
        </w:trPr>
        <w:tc>
          <w:tcPr>
            <w:tcW w:w="5360" w:type="dxa"/>
            <w:vAlign w:val="bottom"/>
            <w:gridSpan w:val="3"/>
          </w:tcPr>
          <w:p>
            <w:pPr>
              <w:jc w:val="center"/>
              <w:ind w:right="11"/>
              <w:spacing w:after="0"/>
              <w:rPr>
                <w:sz w:val="20"/>
                <w:szCs w:val="20"/>
                <w:color w:val="auto"/>
              </w:rPr>
            </w:pPr>
            <w:r>
              <w:rPr>
                <w:rFonts w:ascii="Arial" w:cs="Arial" w:eastAsia="Arial" w:hAnsi="Arial"/>
                <w:sz w:val="18"/>
                <w:szCs w:val="18"/>
                <w:i w:val="1"/>
                <w:iCs w:val="1"/>
                <w:color w:val="auto"/>
                <w:w w:val="91"/>
              </w:rPr>
              <w:t>as Global Coordinator, Joint Lead Arranger and Joint Bookrunner</w:t>
            </w:r>
          </w:p>
        </w:tc>
        <w:tc>
          <w:tcPr>
            <w:tcW w:w="5360" w:type="dxa"/>
            <w:vAlign w:val="bottom"/>
            <w:gridSpan w:val="3"/>
          </w:tcPr>
          <w:p>
            <w:pPr>
              <w:jc w:val="center"/>
              <w:ind w:right="131"/>
              <w:spacing w:after="0"/>
              <w:rPr>
                <w:sz w:val="20"/>
                <w:szCs w:val="20"/>
                <w:color w:val="auto"/>
              </w:rPr>
            </w:pPr>
            <w:r>
              <w:rPr>
                <w:rFonts w:ascii="Arial" w:cs="Arial" w:eastAsia="Arial" w:hAnsi="Arial"/>
                <w:sz w:val="18"/>
                <w:szCs w:val="18"/>
                <w:i w:val="1"/>
                <w:iCs w:val="1"/>
                <w:color w:val="auto"/>
                <w:w w:val="91"/>
              </w:rPr>
              <w:t>as Global Coordinator, Joint Lead Arranger and Joint Bookrunner</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20" w:type="dxa"/>
            <w:vAlign w:val="bottom"/>
          </w:tcPr>
          <w:p>
            <w:pPr>
              <w:jc w:val="center"/>
              <w:spacing w:after="0" w:line="178" w:lineRule="exact"/>
              <w:rPr>
                <w:sz w:val="20"/>
                <w:szCs w:val="20"/>
                <w:color w:val="auto"/>
              </w:rPr>
            </w:pPr>
            <w:r>
              <w:rPr>
                <w:rFonts w:ascii="Arial" w:cs="Arial" w:eastAsia="Arial" w:hAnsi="Arial"/>
                <w:sz w:val="18"/>
                <w:szCs w:val="18"/>
                <w:color w:val="auto"/>
                <w:w w:val="98"/>
              </w:rPr>
              <w:t>INDUSTRIAL AND</w:t>
            </w:r>
          </w:p>
        </w:tc>
        <w:tc>
          <w:tcPr>
            <w:tcW w:w="1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60" w:type="dxa"/>
            <w:vAlign w:val="bottom"/>
            <w:gridSpan w:val="2"/>
            <w:vMerge w:val="restart"/>
          </w:tcPr>
          <w:p>
            <w:pPr>
              <w:jc w:val="center"/>
              <w:ind w:right="71"/>
              <w:spacing w:after="0"/>
              <w:rPr>
                <w:sz w:val="20"/>
                <w:szCs w:val="20"/>
                <w:color w:val="auto"/>
              </w:rPr>
            </w:pPr>
            <w:r>
              <w:rPr>
                <w:rFonts w:ascii="Arial" w:cs="Arial" w:eastAsia="Arial" w:hAnsi="Arial"/>
                <w:sz w:val="18"/>
                <w:szCs w:val="18"/>
                <w:color w:val="auto"/>
                <w:w w:val="96"/>
              </w:rPr>
              <w:t>TORONTO DOMINION (TEXAS)</w:t>
            </w: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620" w:type="dxa"/>
            <w:vAlign w:val="bottom"/>
            <w:vMerge w:val="restart"/>
          </w:tcPr>
          <w:p>
            <w:pPr>
              <w:jc w:val="center"/>
              <w:spacing w:after="0" w:line="200" w:lineRule="exact"/>
              <w:rPr>
                <w:sz w:val="20"/>
                <w:szCs w:val="20"/>
                <w:color w:val="auto"/>
              </w:rPr>
            </w:pPr>
            <w:r>
              <w:rPr>
                <w:rFonts w:ascii="Arial" w:cs="Arial" w:eastAsia="Arial" w:hAnsi="Arial"/>
                <w:sz w:val="18"/>
                <w:szCs w:val="18"/>
                <w:color w:val="auto"/>
                <w:w w:val="98"/>
              </w:rPr>
              <w:t>COMMERCIAL BANK OF</w:t>
            </w:r>
          </w:p>
        </w:tc>
        <w:tc>
          <w:tcPr>
            <w:tcW w:w="1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60" w:type="dxa"/>
            <w:vAlign w:val="bottom"/>
            <w:gridSpan w:val="2"/>
            <w:vMerge w:val="continue"/>
          </w:tcPr>
          <w:p>
            <w:pPr>
              <w:spacing w:after="0"/>
              <w:rPr>
                <w:sz w:val="8"/>
                <w:szCs w:val="8"/>
                <w:color w:val="auto"/>
              </w:rPr>
            </w:pPr>
          </w:p>
        </w:tc>
        <w:tc>
          <w:tcPr>
            <w:tcW w:w="2500" w:type="dxa"/>
            <w:vAlign w:val="bottom"/>
            <w:vMerge w:val="restart"/>
          </w:tcPr>
          <w:p>
            <w:pPr>
              <w:jc w:val="center"/>
              <w:ind w:right="111"/>
              <w:spacing w:after="0" w:line="199" w:lineRule="exact"/>
              <w:rPr>
                <w:sz w:val="20"/>
                <w:szCs w:val="20"/>
                <w:color w:val="auto"/>
              </w:rPr>
            </w:pPr>
            <w:r>
              <w:rPr>
                <w:rFonts w:ascii="Arial" w:cs="Arial" w:eastAsia="Arial" w:hAnsi="Arial"/>
                <w:sz w:val="18"/>
                <w:szCs w:val="18"/>
                <w:color w:val="auto"/>
                <w:w w:val="94"/>
              </w:rPr>
              <w:t>BANCO DO BRASIL S.A.</w:t>
            </w:r>
            <w:r>
              <w:rPr>
                <w:rFonts w:ascii="Arial" w:cs="Arial" w:eastAsia="Arial" w:hAnsi="Arial"/>
                <w:sz w:val="23"/>
                <w:szCs w:val="23"/>
                <w:color w:val="auto"/>
                <w:w w:val="94"/>
                <w:vertAlign w:val="superscript"/>
              </w:rPr>
              <w:t>3</w:t>
            </w:r>
          </w:p>
        </w:tc>
        <w:tc>
          <w:tcPr>
            <w:tcW w:w="0" w:type="dxa"/>
            <w:vAlign w:val="bottom"/>
          </w:tcPr>
          <w:p>
            <w:pPr>
              <w:spacing w:after="0"/>
              <w:rPr>
                <w:sz w:val="1"/>
                <w:szCs w:val="1"/>
                <w:color w:val="auto"/>
              </w:rPr>
            </w:pPr>
          </w:p>
        </w:tc>
      </w:tr>
      <w:tr>
        <w:trPr>
          <w:trHeight w:val="100"/>
        </w:trPr>
        <w:tc>
          <w:tcPr>
            <w:tcW w:w="2620" w:type="dxa"/>
            <w:vAlign w:val="bottom"/>
            <w:vMerge w:val="continue"/>
          </w:tcPr>
          <w:p>
            <w:pPr>
              <w:spacing w:after="0"/>
              <w:rPr>
                <w:sz w:val="8"/>
                <w:szCs w:val="8"/>
                <w:color w:val="auto"/>
              </w:rPr>
            </w:pPr>
          </w:p>
        </w:tc>
        <w:tc>
          <w:tcPr>
            <w:tcW w:w="2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4"/>
              </w:rPr>
              <w:t>LLOYDS BANK PLC</w:t>
            </w:r>
            <w:r>
              <w:rPr>
                <w:rFonts w:ascii="Arial" w:cs="Arial" w:eastAsia="Arial" w:hAnsi="Arial"/>
                <w:sz w:val="23"/>
                <w:szCs w:val="23"/>
                <w:color w:val="auto"/>
                <w:w w:val="94"/>
                <w:vertAlign w:val="superscript"/>
              </w:rPr>
              <w:t>1,2</w:t>
            </w:r>
          </w:p>
        </w:tc>
        <w:tc>
          <w:tcPr>
            <w:tcW w:w="780" w:type="dxa"/>
            <w:vAlign w:val="bottom"/>
          </w:tcPr>
          <w:p>
            <w:pPr>
              <w:spacing w:after="0"/>
              <w:rPr>
                <w:sz w:val="8"/>
                <w:szCs w:val="8"/>
                <w:color w:val="auto"/>
              </w:rPr>
            </w:pPr>
          </w:p>
        </w:tc>
        <w:tc>
          <w:tcPr>
            <w:tcW w:w="2080" w:type="dxa"/>
            <w:vAlign w:val="bottom"/>
            <w:vMerge w:val="restart"/>
          </w:tcPr>
          <w:p>
            <w:pPr>
              <w:jc w:val="center"/>
              <w:ind w:right="831"/>
              <w:spacing w:after="0"/>
              <w:rPr>
                <w:sz w:val="20"/>
                <w:szCs w:val="20"/>
                <w:color w:val="auto"/>
              </w:rPr>
            </w:pPr>
            <w:r>
              <w:rPr>
                <w:rFonts w:ascii="Arial" w:cs="Arial" w:eastAsia="Arial" w:hAnsi="Arial"/>
                <w:sz w:val="18"/>
                <w:szCs w:val="18"/>
                <w:color w:val="auto"/>
                <w:w w:val="88"/>
              </w:rPr>
              <w:t>LLC</w:t>
            </w:r>
            <w:r>
              <w:rPr>
                <w:rFonts w:ascii="Arial" w:cs="Arial" w:eastAsia="Arial" w:hAnsi="Arial"/>
                <w:sz w:val="23"/>
                <w:szCs w:val="23"/>
                <w:color w:val="auto"/>
                <w:w w:val="88"/>
                <w:vertAlign w:val="superscript"/>
              </w:rPr>
              <w:t>1,2</w:t>
            </w: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620" w:type="dxa"/>
            <w:vAlign w:val="bottom"/>
            <w:vMerge w:val="restart"/>
          </w:tcPr>
          <w:p>
            <w:pPr>
              <w:jc w:val="center"/>
              <w:spacing w:after="0" w:line="200" w:lineRule="exact"/>
              <w:rPr>
                <w:sz w:val="20"/>
                <w:szCs w:val="20"/>
                <w:color w:val="auto"/>
              </w:rPr>
            </w:pPr>
            <w:r>
              <w:rPr>
                <w:rFonts w:ascii="Arial" w:cs="Arial" w:eastAsia="Arial" w:hAnsi="Arial"/>
                <w:sz w:val="18"/>
                <w:szCs w:val="18"/>
                <w:color w:val="auto"/>
                <w:w w:val="98"/>
              </w:rPr>
              <w:t>CHINA LIMITED NEW YORK</w:t>
            </w:r>
          </w:p>
        </w:tc>
        <w:tc>
          <w:tcPr>
            <w:tcW w:w="27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2500" w:type="dxa"/>
            <w:vAlign w:val="bottom"/>
            <w:vMerge w:val="restart"/>
          </w:tcPr>
          <w:p>
            <w:pPr>
              <w:jc w:val="center"/>
              <w:ind w:right="111"/>
              <w:spacing w:after="0" w:line="200" w:lineRule="exact"/>
              <w:rPr>
                <w:sz w:val="20"/>
                <w:szCs w:val="20"/>
                <w:color w:val="auto"/>
              </w:rPr>
            </w:pPr>
            <w:r>
              <w:rPr>
                <w:rFonts w:ascii="Arial" w:cs="Arial" w:eastAsia="Arial" w:hAnsi="Arial"/>
                <w:sz w:val="18"/>
                <w:szCs w:val="18"/>
                <w:color w:val="auto"/>
                <w:w w:val="94"/>
              </w:rPr>
              <w:t>BANCO BRADESCO S.A.</w:t>
            </w:r>
          </w:p>
        </w:tc>
        <w:tc>
          <w:tcPr>
            <w:tcW w:w="0" w:type="dxa"/>
            <w:vAlign w:val="bottom"/>
          </w:tcPr>
          <w:p>
            <w:pPr>
              <w:spacing w:after="0"/>
              <w:rPr>
                <w:sz w:val="1"/>
                <w:szCs w:val="1"/>
                <w:color w:val="auto"/>
              </w:rPr>
            </w:pPr>
          </w:p>
        </w:tc>
      </w:tr>
      <w:tr>
        <w:trPr>
          <w:trHeight w:val="27"/>
        </w:trPr>
        <w:tc>
          <w:tcPr>
            <w:tcW w:w="2620" w:type="dxa"/>
            <w:vAlign w:val="bottom"/>
            <w:vMerge w:val="continue"/>
          </w:tcPr>
          <w:p>
            <w:pPr>
              <w:spacing w:after="0"/>
              <w:rPr>
                <w:sz w:val="2"/>
                <w:szCs w:val="2"/>
                <w:color w:val="auto"/>
              </w:rPr>
            </w:pPr>
          </w:p>
        </w:tc>
        <w:tc>
          <w:tcPr>
            <w:tcW w:w="1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jc w:val="center"/>
              <w:spacing w:after="0" w:line="244" w:lineRule="exact"/>
              <w:rPr>
                <w:sz w:val="20"/>
                <w:szCs w:val="20"/>
                <w:color w:val="auto"/>
              </w:rPr>
            </w:pPr>
            <w:r>
              <w:rPr>
                <w:rFonts w:ascii="Arial" w:cs="Arial" w:eastAsia="Arial" w:hAnsi="Arial"/>
                <w:sz w:val="18"/>
                <w:szCs w:val="18"/>
                <w:color w:val="auto"/>
                <w:w w:val="90"/>
              </w:rPr>
              <w:t>BRANCH</w:t>
            </w:r>
            <w:r>
              <w:rPr>
                <w:rFonts w:ascii="Arial" w:cs="Arial" w:eastAsia="Arial" w:hAnsi="Arial"/>
                <w:sz w:val="23"/>
                <w:szCs w:val="23"/>
                <w:color w:val="auto"/>
                <w:w w:val="90"/>
                <w:vertAlign w:val="superscript"/>
              </w:rPr>
              <w:t>1,2</w:t>
            </w:r>
          </w:p>
        </w:tc>
        <w:tc>
          <w:tcPr>
            <w:tcW w:w="1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620" w:type="dxa"/>
            <w:vAlign w:val="bottom"/>
          </w:tcPr>
          <w:p>
            <w:pPr>
              <w:jc w:val="center"/>
              <w:spacing w:after="0" w:line="200" w:lineRule="exact"/>
              <w:rPr>
                <w:sz w:val="20"/>
                <w:szCs w:val="20"/>
                <w:color w:val="auto"/>
              </w:rPr>
            </w:pPr>
            <w:r>
              <w:rPr>
                <w:rFonts w:ascii="Arial" w:cs="Arial" w:eastAsia="Arial" w:hAnsi="Arial"/>
                <w:sz w:val="18"/>
                <w:szCs w:val="18"/>
                <w:i w:val="1"/>
                <w:iCs w:val="1"/>
                <w:color w:val="auto"/>
                <w:w w:val="90"/>
              </w:rPr>
              <w:t>as Asian Pacific Regional</w:t>
            </w: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60" w:type="dxa"/>
            <w:vAlign w:val="bottom"/>
            <w:gridSpan w:val="2"/>
          </w:tcPr>
          <w:p>
            <w:pPr>
              <w:jc w:val="center"/>
              <w:ind w:right="51"/>
              <w:spacing w:after="0" w:line="200" w:lineRule="exact"/>
              <w:rPr>
                <w:sz w:val="20"/>
                <w:szCs w:val="20"/>
                <w:color w:val="auto"/>
              </w:rPr>
            </w:pPr>
            <w:r>
              <w:rPr>
                <w:rFonts w:ascii="Arial" w:cs="Arial" w:eastAsia="Arial" w:hAnsi="Arial"/>
                <w:sz w:val="18"/>
                <w:szCs w:val="18"/>
                <w:i w:val="1"/>
                <w:iCs w:val="1"/>
                <w:color w:val="auto"/>
                <w:w w:val="90"/>
              </w:rPr>
              <w:t>as North American Regional</w:t>
            </w:r>
          </w:p>
        </w:tc>
        <w:tc>
          <w:tcPr>
            <w:tcW w:w="2500" w:type="dxa"/>
            <w:vAlign w:val="bottom"/>
          </w:tcPr>
          <w:p>
            <w:pPr>
              <w:jc w:val="center"/>
              <w:ind w:right="111"/>
              <w:spacing w:after="0" w:line="200" w:lineRule="exact"/>
              <w:rPr>
                <w:sz w:val="20"/>
                <w:szCs w:val="20"/>
                <w:color w:val="auto"/>
              </w:rPr>
            </w:pPr>
            <w:r>
              <w:rPr>
                <w:rFonts w:ascii="Arial" w:cs="Arial" w:eastAsia="Arial" w:hAnsi="Arial"/>
                <w:sz w:val="18"/>
                <w:szCs w:val="18"/>
                <w:i w:val="1"/>
                <w:iCs w:val="1"/>
                <w:color w:val="auto"/>
                <w:w w:val="90"/>
              </w:rPr>
              <w:t>as Co-Latin American Regional</w:t>
            </w:r>
          </w:p>
        </w:tc>
        <w:tc>
          <w:tcPr>
            <w:tcW w:w="0" w:type="dxa"/>
            <w:vAlign w:val="bottom"/>
          </w:tcPr>
          <w:p>
            <w:pPr>
              <w:spacing w:after="0"/>
              <w:rPr>
                <w:sz w:val="1"/>
                <w:szCs w:val="1"/>
                <w:color w:val="auto"/>
              </w:rPr>
            </w:pPr>
          </w:p>
        </w:tc>
      </w:tr>
      <w:tr>
        <w:trPr>
          <w:trHeight w:val="224"/>
        </w:trPr>
        <w:tc>
          <w:tcPr>
            <w:tcW w:w="2620" w:type="dxa"/>
            <w:vAlign w:val="bottom"/>
          </w:tcPr>
          <w:p>
            <w:pPr>
              <w:jc w:val="center"/>
              <w:spacing w:after="0"/>
              <w:rPr>
                <w:sz w:val="20"/>
                <w:szCs w:val="20"/>
                <w:color w:val="auto"/>
              </w:rPr>
            </w:pPr>
            <w:r>
              <w:rPr>
                <w:rFonts w:ascii="Arial" w:cs="Arial" w:eastAsia="Arial" w:hAnsi="Arial"/>
                <w:sz w:val="18"/>
                <w:szCs w:val="18"/>
                <w:i w:val="1"/>
                <w:iCs w:val="1"/>
                <w:color w:val="auto"/>
                <w:w w:val="93"/>
              </w:rPr>
              <w:t>Coordinator</w:t>
            </w:r>
          </w:p>
        </w:tc>
        <w:tc>
          <w:tcPr>
            <w:tcW w:w="2740" w:type="dxa"/>
            <w:vAlign w:val="bottom"/>
            <w:gridSpan w:val="2"/>
          </w:tcPr>
          <w:p>
            <w:pPr>
              <w:jc w:val="center"/>
              <w:spacing w:after="0"/>
              <w:rPr>
                <w:sz w:val="20"/>
                <w:szCs w:val="20"/>
                <w:color w:val="auto"/>
              </w:rPr>
            </w:pPr>
            <w:r>
              <w:rPr>
                <w:rFonts w:ascii="Arial" w:cs="Arial" w:eastAsia="Arial" w:hAnsi="Arial"/>
                <w:sz w:val="18"/>
                <w:szCs w:val="18"/>
                <w:i w:val="1"/>
                <w:iCs w:val="1"/>
                <w:color w:val="auto"/>
                <w:w w:val="90"/>
              </w:rPr>
              <w:t>as European Regional Coordinator</w:t>
            </w:r>
          </w:p>
        </w:tc>
        <w:tc>
          <w:tcPr>
            <w:tcW w:w="780" w:type="dxa"/>
            <w:vAlign w:val="bottom"/>
          </w:tcPr>
          <w:p>
            <w:pPr>
              <w:spacing w:after="0"/>
              <w:rPr>
                <w:sz w:val="19"/>
                <w:szCs w:val="19"/>
                <w:color w:val="auto"/>
              </w:rPr>
            </w:pPr>
          </w:p>
        </w:tc>
        <w:tc>
          <w:tcPr>
            <w:tcW w:w="2080" w:type="dxa"/>
            <w:vAlign w:val="bottom"/>
          </w:tcPr>
          <w:p>
            <w:pPr>
              <w:jc w:val="center"/>
              <w:ind w:right="831"/>
              <w:spacing w:after="0"/>
              <w:rPr>
                <w:sz w:val="20"/>
                <w:szCs w:val="20"/>
                <w:color w:val="auto"/>
              </w:rPr>
            </w:pPr>
            <w:r>
              <w:rPr>
                <w:rFonts w:ascii="Arial" w:cs="Arial" w:eastAsia="Arial" w:hAnsi="Arial"/>
                <w:sz w:val="18"/>
                <w:szCs w:val="18"/>
                <w:i w:val="1"/>
                <w:iCs w:val="1"/>
                <w:color w:val="auto"/>
                <w:w w:val="93"/>
              </w:rPr>
              <w:t>Coordinator</w:t>
            </w:r>
          </w:p>
        </w:tc>
        <w:tc>
          <w:tcPr>
            <w:tcW w:w="2500" w:type="dxa"/>
            <w:vAlign w:val="bottom"/>
          </w:tcPr>
          <w:p>
            <w:pPr>
              <w:jc w:val="center"/>
              <w:ind w:right="111"/>
              <w:spacing w:after="0"/>
              <w:rPr>
                <w:sz w:val="20"/>
                <w:szCs w:val="20"/>
                <w:color w:val="auto"/>
              </w:rPr>
            </w:pPr>
            <w:r>
              <w:rPr>
                <w:rFonts w:ascii="Arial" w:cs="Arial" w:eastAsia="Arial" w:hAnsi="Arial"/>
                <w:sz w:val="18"/>
                <w:szCs w:val="18"/>
                <w:i w:val="1"/>
                <w:iCs w:val="1"/>
                <w:color w:val="auto"/>
                <w:w w:val="91"/>
              </w:rPr>
              <w:t>Coordinators</w:t>
            </w:r>
          </w:p>
        </w:tc>
        <w:tc>
          <w:tcPr>
            <w:tcW w:w="0" w:type="dxa"/>
            <w:vAlign w:val="bottom"/>
          </w:tcPr>
          <w:p>
            <w:pPr>
              <w:spacing w:after="0"/>
              <w:rPr>
                <w:sz w:val="1"/>
                <w:szCs w:val="1"/>
                <w:color w:val="auto"/>
              </w:rPr>
            </w:pPr>
          </w:p>
        </w:tc>
      </w:tr>
      <w:tr>
        <w:trPr>
          <w:trHeight w:val="319"/>
        </w:trPr>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60" w:type="dxa"/>
            <w:vAlign w:val="bottom"/>
            <w:gridSpan w:val="2"/>
            <w:vMerge w:val="restart"/>
          </w:tcPr>
          <w:p>
            <w:pPr>
              <w:jc w:val="center"/>
              <w:ind w:right="71"/>
              <w:spacing w:after="0"/>
              <w:rPr>
                <w:sz w:val="20"/>
                <w:szCs w:val="20"/>
                <w:color w:val="auto"/>
              </w:rPr>
            </w:pPr>
            <w:r>
              <w:rPr>
                <w:rFonts w:ascii="Arial" w:cs="Arial" w:eastAsia="Arial" w:hAnsi="Arial"/>
                <w:sz w:val="18"/>
                <w:szCs w:val="18"/>
                <w:color w:val="auto"/>
                <w:w w:val="98"/>
              </w:rPr>
              <w:t>COMMERZBANK CAPITAL</w:t>
            </w:r>
          </w:p>
        </w:tc>
        <w:tc>
          <w:tcPr>
            <w:tcW w:w="2500" w:type="dxa"/>
            <w:vAlign w:val="bottom"/>
          </w:tcPr>
          <w:p>
            <w:pPr>
              <w:jc w:val="center"/>
              <w:ind w:right="111"/>
              <w:spacing w:after="0"/>
              <w:rPr>
                <w:sz w:val="20"/>
                <w:szCs w:val="20"/>
                <w:color w:val="auto"/>
              </w:rPr>
            </w:pPr>
            <w:r>
              <w:rPr>
                <w:rFonts w:ascii="Arial" w:cs="Arial" w:eastAsia="Arial" w:hAnsi="Arial"/>
                <w:sz w:val="18"/>
                <w:szCs w:val="18"/>
                <w:color w:val="auto"/>
                <w:w w:val="95"/>
              </w:rPr>
              <w:t>CREDIT AGRICOLE</w:t>
            </w:r>
          </w:p>
        </w:tc>
        <w:tc>
          <w:tcPr>
            <w:tcW w:w="0" w:type="dxa"/>
            <w:vAlign w:val="bottom"/>
          </w:tcPr>
          <w:p>
            <w:pPr>
              <w:spacing w:after="0"/>
              <w:rPr>
                <w:sz w:val="1"/>
                <w:szCs w:val="1"/>
                <w:color w:val="auto"/>
              </w:rPr>
            </w:pPr>
          </w:p>
        </w:tc>
      </w:tr>
      <w:tr>
        <w:trPr>
          <w:trHeight w:val="100"/>
        </w:trPr>
        <w:tc>
          <w:tcPr>
            <w:tcW w:w="2620" w:type="dxa"/>
            <w:vAlign w:val="bottom"/>
            <w:vMerge w:val="restart"/>
          </w:tcPr>
          <w:p>
            <w:pPr>
              <w:jc w:val="center"/>
              <w:spacing w:after="0" w:line="199" w:lineRule="exact"/>
              <w:rPr>
                <w:sz w:val="20"/>
                <w:szCs w:val="20"/>
                <w:color w:val="auto"/>
              </w:rPr>
            </w:pPr>
            <w:r>
              <w:rPr>
                <w:rFonts w:ascii="Arial" w:cs="Arial" w:eastAsia="Arial" w:hAnsi="Arial"/>
                <w:sz w:val="18"/>
                <w:szCs w:val="18"/>
                <w:color w:val="auto"/>
                <w:w w:val="94"/>
              </w:rPr>
              <w:t>BARCLAYS BANK PLC</w:t>
            </w:r>
            <w:r>
              <w:rPr>
                <w:rFonts w:ascii="Arial" w:cs="Arial" w:eastAsia="Arial" w:hAnsi="Arial"/>
                <w:sz w:val="23"/>
                <w:szCs w:val="23"/>
                <w:color w:val="auto"/>
                <w:w w:val="94"/>
                <w:vertAlign w:val="superscript"/>
              </w:rPr>
              <w:t>1,2</w:t>
            </w:r>
          </w:p>
        </w:tc>
        <w:tc>
          <w:tcPr>
            <w:tcW w:w="2740" w:type="dxa"/>
            <w:vAlign w:val="bottom"/>
            <w:gridSpan w:val="2"/>
            <w:vMerge w:val="restart"/>
          </w:tcPr>
          <w:p>
            <w:pPr>
              <w:jc w:val="center"/>
              <w:spacing w:after="0" w:line="199" w:lineRule="exact"/>
              <w:rPr>
                <w:sz w:val="20"/>
                <w:szCs w:val="20"/>
                <w:color w:val="auto"/>
              </w:rPr>
            </w:pPr>
            <w:r>
              <w:rPr>
                <w:rFonts w:ascii="Arial" w:cs="Arial" w:eastAsia="Arial" w:hAnsi="Arial"/>
                <w:sz w:val="18"/>
                <w:szCs w:val="18"/>
                <w:color w:val="auto"/>
                <w:w w:val="90"/>
              </w:rPr>
              <w:t>BNP PARIBAS</w:t>
            </w:r>
            <w:r>
              <w:rPr>
                <w:rFonts w:ascii="Arial" w:cs="Arial" w:eastAsia="Arial" w:hAnsi="Arial"/>
                <w:sz w:val="23"/>
                <w:szCs w:val="23"/>
                <w:color w:val="auto"/>
                <w:w w:val="90"/>
                <w:vertAlign w:val="superscript"/>
              </w:rPr>
              <w:t>1,2</w:t>
            </w:r>
          </w:p>
        </w:tc>
        <w:tc>
          <w:tcPr>
            <w:tcW w:w="2860" w:type="dxa"/>
            <w:vAlign w:val="bottom"/>
            <w:gridSpan w:val="2"/>
            <w:vMerge w:val="continue"/>
          </w:tcPr>
          <w:p>
            <w:pPr>
              <w:spacing w:after="0"/>
              <w:rPr>
                <w:sz w:val="8"/>
                <w:szCs w:val="8"/>
                <w:color w:val="auto"/>
              </w:rPr>
            </w:pPr>
          </w:p>
        </w:tc>
        <w:tc>
          <w:tcPr>
            <w:tcW w:w="2500" w:type="dxa"/>
            <w:vAlign w:val="bottom"/>
            <w:vMerge w:val="restart"/>
          </w:tcPr>
          <w:p>
            <w:pPr>
              <w:jc w:val="center"/>
              <w:ind w:right="111"/>
              <w:spacing w:after="0" w:line="200" w:lineRule="exact"/>
              <w:rPr>
                <w:sz w:val="20"/>
                <w:szCs w:val="20"/>
                <w:color w:val="auto"/>
              </w:rPr>
            </w:pPr>
            <w:r>
              <w:rPr>
                <w:rFonts w:ascii="Arial" w:cs="Arial" w:eastAsia="Arial" w:hAnsi="Arial"/>
                <w:sz w:val="18"/>
                <w:szCs w:val="18"/>
                <w:color w:val="auto"/>
                <w:w w:val="92"/>
              </w:rPr>
              <w:t>CORPORATE AND</w:t>
            </w:r>
          </w:p>
        </w:tc>
        <w:tc>
          <w:tcPr>
            <w:tcW w:w="0" w:type="dxa"/>
            <w:vAlign w:val="bottom"/>
          </w:tcPr>
          <w:p>
            <w:pPr>
              <w:spacing w:after="0"/>
              <w:rPr>
                <w:sz w:val="1"/>
                <w:szCs w:val="1"/>
                <w:color w:val="auto"/>
              </w:rPr>
            </w:pPr>
          </w:p>
        </w:tc>
      </w:tr>
      <w:tr>
        <w:trPr>
          <w:trHeight w:val="100"/>
        </w:trPr>
        <w:tc>
          <w:tcPr>
            <w:tcW w:w="2620" w:type="dxa"/>
            <w:vAlign w:val="bottom"/>
            <w:vMerge w:val="continue"/>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2080" w:type="dxa"/>
            <w:vAlign w:val="bottom"/>
            <w:vMerge w:val="restart"/>
          </w:tcPr>
          <w:p>
            <w:pPr>
              <w:jc w:val="center"/>
              <w:ind w:right="831"/>
              <w:spacing w:after="0"/>
              <w:rPr>
                <w:sz w:val="20"/>
                <w:szCs w:val="20"/>
                <w:color w:val="auto"/>
              </w:rPr>
            </w:pPr>
            <w:r>
              <w:rPr>
                <w:rFonts w:ascii="Arial" w:cs="Arial" w:eastAsia="Arial" w:hAnsi="Arial"/>
                <w:sz w:val="18"/>
                <w:szCs w:val="18"/>
                <w:color w:val="auto"/>
                <w:w w:val="92"/>
              </w:rPr>
              <w:t>MARKETS</w:t>
            </w:r>
            <w:r>
              <w:rPr>
                <w:rFonts w:ascii="Arial" w:cs="Arial" w:eastAsia="Arial" w:hAnsi="Arial"/>
                <w:sz w:val="23"/>
                <w:szCs w:val="23"/>
                <w:color w:val="auto"/>
                <w:w w:val="92"/>
                <w:vertAlign w:val="superscript"/>
              </w:rPr>
              <w:t>1,2</w:t>
            </w: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2500" w:type="dxa"/>
            <w:vAlign w:val="bottom"/>
            <w:vMerge w:val="restart"/>
          </w:tcPr>
          <w:p>
            <w:pPr>
              <w:jc w:val="center"/>
              <w:ind w:right="111"/>
              <w:spacing w:after="0" w:line="244" w:lineRule="exact"/>
              <w:rPr>
                <w:sz w:val="20"/>
                <w:szCs w:val="20"/>
                <w:color w:val="auto"/>
              </w:rPr>
            </w:pPr>
            <w:r>
              <w:rPr>
                <w:rFonts w:ascii="Arial" w:cs="Arial" w:eastAsia="Arial" w:hAnsi="Arial"/>
                <w:sz w:val="18"/>
                <w:szCs w:val="18"/>
                <w:color w:val="auto"/>
                <w:w w:val="94"/>
              </w:rPr>
              <w:t xml:space="preserve">INVESTMENT BANK </w:t>
            </w:r>
            <w:r>
              <w:rPr>
                <w:rFonts w:ascii="Arial" w:cs="Arial" w:eastAsia="Arial" w:hAnsi="Arial"/>
                <w:sz w:val="23"/>
                <w:szCs w:val="23"/>
                <w:color w:val="auto"/>
                <w:w w:val="94"/>
                <w:vertAlign w:val="superscript"/>
              </w:rPr>
              <w:t>1,2</w:t>
            </w:r>
          </w:p>
        </w:tc>
        <w:tc>
          <w:tcPr>
            <w:tcW w:w="0" w:type="dxa"/>
            <w:vAlign w:val="bottom"/>
          </w:tcPr>
          <w:p>
            <w:pPr>
              <w:spacing w:after="0"/>
              <w:rPr>
                <w:sz w:val="1"/>
                <w:szCs w:val="1"/>
                <w:color w:val="auto"/>
              </w:rPr>
            </w:pPr>
          </w:p>
        </w:tc>
      </w:tr>
      <w:tr>
        <w:trPr>
          <w:trHeight w:val="72"/>
        </w:trPr>
        <w:tc>
          <w:tcPr>
            <w:tcW w:w="26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2"/>
              </w:rPr>
              <w:t>CREDIT SUISSE SECURITIES</w:t>
            </w: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500" w:type="dxa"/>
            <w:vAlign w:val="bottom"/>
          </w:tcPr>
          <w:p>
            <w:pPr>
              <w:jc w:val="center"/>
              <w:ind w:right="91"/>
              <w:spacing w:after="0" w:line="200" w:lineRule="exact"/>
              <w:rPr>
                <w:sz w:val="20"/>
                <w:szCs w:val="20"/>
                <w:color w:val="auto"/>
              </w:rPr>
            </w:pPr>
            <w:r>
              <w:rPr>
                <w:rFonts w:ascii="Arial" w:cs="Arial" w:eastAsia="Arial" w:hAnsi="Arial"/>
                <w:sz w:val="18"/>
                <w:szCs w:val="18"/>
                <w:color w:val="auto"/>
                <w:w w:val="95"/>
              </w:rPr>
              <w:t>MERRILL LYNCH, PIERCE,</w:t>
            </w:r>
          </w:p>
        </w:tc>
        <w:tc>
          <w:tcPr>
            <w:tcW w:w="0" w:type="dxa"/>
            <w:vAlign w:val="bottom"/>
          </w:tcPr>
          <w:p>
            <w:pPr>
              <w:spacing w:after="0"/>
              <w:rPr>
                <w:sz w:val="1"/>
                <w:szCs w:val="1"/>
                <w:color w:val="auto"/>
              </w:rPr>
            </w:pPr>
          </w:p>
        </w:tc>
      </w:tr>
      <w:tr>
        <w:trPr>
          <w:trHeight w:val="100"/>
        </w:trPr>
        <w:tc>
          <w:tcPr>
            <w:tcW w:w="2620" w:type="dxa"/>
            <w:vAlign w:val="bottom"/>
            <w:vMerge w:val="continue"/>
          </w:tcPr>
          <w:p>
            <w:pPr>
              <w:spacing w:after="0"/>
              <w:rPr>
                <w:sz w:val="8"/>
                <w:szCs w:val="8"/>
                <w:color w:val="auto"/>
              </w:rPr>
            </w:pPr>
          </w:p>
        </w:tc>
        <w:tc>
          <w:tcPr>
            <w:tcW w:w="2740" w:type="dxa"/>
            <w:vAlign w:val="bottom"/>
            <w:gridSpan w:val="2"/>
            <w:vMerge w:val="restart"/>
          </w:tcPr>
          <w:p>
            <w:pPr>
              <w:jc w:val="center"/>
              <w:spacing w:after="0" w:line="200" w:lineRule="exact"/>
              <w:rPr>
                <w:sz w:val="20"/>
                <w:szCs w:val="20"/>
                <w:color w:val="auto"/>
              </w:rPr>
            </w:pPr>
            <w:r>
              <w:rPr>
                <w:rFonts w:ascii="Arial" w:cs="Arial" w:eastAsia="Arial" w:hAnsi="Arial"/>
                <w:sz w:val="18"/>
                <w:szCs w:val="18"/>
                <w:color w:val="auto"/>
                <w:w w:val="94"/>
              </w:rPr>
              <w:t>DEUTSCHE BANK SECURITIES</w:t>
            </w:r>
          </w:p>
        </w:tc>
        <w:tc>
          <w:tcPr>
            <w:tcW w:w="2860" w:type="dxa"/>
            <w:vAlign w:val="bottom"/>
            <w:gridSpan w:val="2"/>
            <w:vMerge w:val="restart"/>
          </w:tcPr>
          <w:p>
            <w:pPr>
              <w:jc w:val="center"/>
              <w:ind w:right="71"/>
              <w:spacing w:after="0" w:line="200" w:lineRule="exact"/>
              <w:rPr>
                <w:sz w:val="20"/>
                <w:szCs w:val="20"/>
                <w:color w:val="auto"/>
              </w:rPr>
            </w:pPr>
            <w:r>
              <w:rPr>
                <w:rFonts w:ascii="Arial" w:cs="Arial" w:eastAsia="Arial" w:hAnsi="Arial"/>
                <w:sz w:val="18"/>
                <w:szCs w:val="18"/>
                <w:color w:val="auto"/>
                <w:w w:val="97"/>
              </w:rPr>
              <w:t>GOLDMAN SACHS BANK</w:t>
            </w:r>
          </w:p>
        </w:tc>
        <w:tc>
          <w:tcPr>
            <w:tcW w:w="2500" w:type="dxa"/>
            <w:vAlign w:val="bottom"/>
            <w:vMerge w:val="restart"/>
          </w:tcPr>
          <w:p>
            <w:pPr>
              <w:jc w:val="center"/>
              <w:ind w:right="111"/>
              <w:spacing w:after="0" w:line="200" w:lineRule="exact"/>
              <w:rPr>
                <w:sz w:val="20"/>
                <w:szCs w:val="20"/>
                <w:color w:val="auto"/>
              </w:rPr>
            </w:pPr>
            <w:r>
              <w:rPr>
                <w:rFonts w:ascii="Arial" w:cs="Arial" w:eastAsia="Arial" w:hAnsi="Arial"/>
                <w:sz w:val="18"/>
                <w:szCs w:val="18"/>
                <w:color w:val="auto"/>
                <w:w w:val="96"/>
              </w:rPr>
              <w:t>FENNER &amp; SMITH</w:t>
            </w:r>
          </w:p>
        </w:tc>
        <w:tc>
          <w:tcPr>
            <w:tcW w:w="0" w:type="dxa"/>
            <w:vAlign w:val="bottom"/>
          </w:tcPr>
          <w:p>
            <w:pPr>
              <w:spacing w:after="0"/>
              <w:rPr>
                <w:sz w:val="1"/>
                <w:szCs w:val="1"/>
                <w:color w:val="auto"/>
              </w:rPr>
            </w:pPr>
          </w:p>
        </w:tc>
      </w:tr>
      <w:tr>
        <w:trPr>
          <w:trHeight w:val="100"/>
        </w:trPr>
        <w:tc>
          <w:tcPr>
            <w:tcW w:w="2620" w:type="dxa"/>
            <w:vAlign w:val="bottom"/>
            <w:vMerge w:val="restart"/>
          </w:tcPr>
          <w:p>
            <w:pPr>
              <w:ind w:left="820"/>
              <w:spacing w:after="0" w:line="199" w:lineRule="exact"/>
              <w:rPr>
                <w:sz w:val="20"/>
                <w:szCs w:val="20"/>
                <w:color w:val="auto"/>
              </w:rPr>
            </w:pPr>
            <w:r>
              <w:rPr>
                <w:rFonts w:ascii="Arial" w:cs="Arial" w:eastAsia="Arial" w:hAnsi="Arial"/>
                <w:sz w:val="18"/>
                <w:szCs w:val="18"/>
                <w:color w:val="auto"/>
              </w:rPr>
              <w:t>(USA) LLC</w:t>
            </w:r>
            <w:r>
              <w:rPr>
                <w:rFonts w:ascii="Arial" w:cs="Arial" w:eastAsia="Arial" w:hAnsi="Arial"/>
                <w:sz w:val="23"/>
                <w:szCs w:val="23"/>
                <w:color w:val="auto"/>
                <w:vertAlign w:val="superscript"/>
              </w:rPr>
              <w:t>1</w:t>
            </w:r>
          </w:p>
        </w:tc>
        <w:tc>
          <w:tcPr>
            <w:tcW w:w="2740" w:type="dxa"/>
            <w:vAlign w:val="bottom"/>
            <w:gridSpan w:val="2"/>
            <w:vMerge w:val="continue"/>
          </w:tcPr>
          <w:p>
            <w:pPr>
              <w:spacing w:after="0"/>
              <w:rPr>
                <w:sz w:val="8"/>
                <w:szCs w:val="8"/>
                <w:color w:val="auto"/>
              </w:rPr>
            </w:pPr>
          </w:p>
        </w:tc>
        <w:tc>
          <w:tcPr>
            <w:tcW w:w="2860" w:type="dxa"/>
            <w:vAlign w:val="bottom"/>
            <w:gridSpan w:val="2"/>
            <w:vMerge w:val="continue"/>
          </w:tcPr>
          <w:p>
            <w:pPr>
              <w:spacing w:after="0"/>
              <w:rPr>
                <w:sz w:val="8"/>
                <w:szCs w:val="8"/>
                <w:color w:val="auto"/>
              </w:rPr>
            </w:pP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620" w:type="dxa"/>
            <w:vAlign w:val="bottom"/>
            <w:vMerge w:val="continue"/>
          </w:tcPr>
          <w:p>
            <w:pPr>
              <w:spacing w:after="0"/>
              <w:rPr>
                <w:sz w:val="8"/>
                <w:szCs w:val="8"/>
                <w:color w:val="auto"/>
              </w:rPr>
            </w:pPr>
          </w:p>
        </w:tc>
        <w:tc>
          <w:tcPr>
            <w:tcW w:w="1840" w:type="dxa"/>
            <w:vAlign w:val="bottom"/>
            <w:vMerge w:val="restart"/>
          </w:tcPr>
          <w:p>
            <w:pPr>
              <w:jc w:val="center"/>
              <w:ind w:left="871"/>
              <w:spacing w:after="0" w:line="199" w:lineRule="exact"/>
              <w:rPr>
                <w:sz w:val="20"/>
                <w:szCs w:val="20"/>
                <w:color w:val="auto"/>
              </w:rPr>
            </w:pPr>
            <w:r>
              <w:rPr>
                <w:rFonts w:ascii="Arial" w:cs="Arial" w:eastAsia="Arial" w:hAnsi="Arial"/>
                <w:sz w:val="18"/>
                <w:szCs w:val="18"/>
                <w:color w:val="auto"/>
                <w:w w:val="83"/>
              </w:rPr>
              <w:t>INC.</w:t>
            </w:r>
            <w:r>
              <w:rPr>
                <w:rFonts w:ascii="Arial" w:cs="Arial" w:eastAsia="Arial" w:hAnsi="Arial"/>
                <w:sz w:val="23"/>
                <w:szCs w:val="23"/>
                <w:color w:val="auto"/>
                <w:w w:val="83"/>
                <w:vertAlign w:val="superscript"/>
              </w:rPr>
              <w:t>1,2</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80" w:type="dxa"/>
            <w:vAlign w:val="bottom"/>
            <w:vMerge w:val="restart"/>
          </w:tcPr>
          <w:p>
            <w:pPr>
              <w:jc w:val="center"/>
              <w:ind w:right="851"/>
              <w:spacing w:after="0" w:line="199" w:lineRule="exact"/>
              <w:rPr>
                <w:sz w:val="20"/>
                <w:szCs w:val="20"/>
                <w:color w:val="auto"/>
              </w:rPr>
            </w:pPr>
            <w:r>
              <w:rPr>
                <w:rFonts w:ascii="Arial" w:cs="Arial" w:eastAsia="Arial" w:hAnsi="Arial"/>
                <w:sz w:val="18"/>
                <w:szCs w:val="18"/>
                <w:color w:val="auto"/>
                <w:w w:val="85"/>
              </w:rPr>
              <w:t>USA</w:t>
            </w:r>
            <w:r>
              <w:rPr>
                <w:rFonts w:ascii="Arial" w:cs="Arial" w:eastAsia="Arial" w:hAnsi="Arial"/>
                <w:sz w:val="23"/>
                <w:szCs w:val="23"/>
                <w:color w:val="auto"/>
                <w:w w:val="85"/>
                <w:vertAlign w:val="superscript"/>
              </w:rPr>
              <w:t>1,2</w:t>
            </w:r>
          </w:p>
        </w:tc>
        <w:tc>
          <w:tcPr>
            <w:tcW w:w="2500" w:type="dxa"/>
            <w:vAlign w:val="bottom"/>
            <w:vMerge w:val="restart"/>
          </w:tcPr>
          <w:p>
            <w:pPr>
              <w:jc w:val="center"/>
              <w:ind w:right="91"/>
              <w:spacing w:after="0" w:line="199" w:lineRule="exact"/>
              <w:rPr>
                <w:sz w:val="20"/>
                <w:szCs w:val="20"/>
                <w:color w:val="auto"/>
              </w:rPr>
            </w:pPr>
            <w:r>
              <w:rPr>
                <w:rFonts w:ascii="Arial" w:cs="Arial" w:eastAsia="Arial" w:hAnsi="Arial"/>
                <w:sz w:val="18"/>
                <w:szCs w:val="18"/>
                <w:color w:val="auto"/>
                <w:w w:val="91"/>
              </w:rPr>
              <w:t>INCORPORATED</w:t>
            </w:r>
            <w:r>
              <w:rPr>
                <w:rFonts w:ascii="Arial" w:cs="Arial" w:eastAsia="Arial" w:hAnsi="Arial"/>
                <w:sz w:val="23"/>
                <w:szCs w:val="23"/>
                <w:color w:val="auto"/>
                <w:w w:val="91"/>
                <w:vertAlign w:val="superscript"/>
              </w:rPr>
              <w:t>1</w:t>
            </w:r>
          </w:p>
        </w:tc>
        <w:tc>
          <w:tcPr>
            <w:tcW w:w="0" w:type="dxa"/>
            <w:vAlign w:val="bottom"/>
          </w:tcPr>
          <w:p>
            <w:pPr>
              <w:spacing w:after="0"/>
              <w:rPr>
                <w:sz w:val="1"/>
                <w:szCs w:val="1"/>
                <w:color w:val="auto"/>
              </w:rPr>
            </w:pPr>
          </w:p>
        </w:tc>
      </w:tr>
      <w:tr>
        <w:trPr>
          <w:trHeight w:val="100"/>
        </w:trPr>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2"/>
              </w:rPr>
              <w:t>CREDIT SUISSE AG</w:t>
            </w:r>
            <w:r>
              <w:rPr>
                <w:rFonts w:ascii="Arial" w:cs="Arial" w:eastAsia="Arial" w:hAnsi="Arial"/>
                <w:sz w:val="23"/>
                <w:szCs w:val="23"/>
                <w:color w:val="auto"/>
                <w:w w:val="92"/>
                <w:vertAlign w:val="superscript"/>
              </w:rPr>
              <w:t>2</w:t>
            </w:r>
          </w:p>
        </w:tc>
        <w:tc>
          <w:tcPr>
            <w:tcW w:w="18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62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500" w:type="dxa"/>
            <w:vAlign w:val="bottom"/>
            <w:vMerge w:val="restart"/>
          </w:tcPr>
          <w:p>
            <w:pPr>
              <w:jc w:val="center"/>
              <w:ind w:right="91"/>
              <w:spacing w:after="0"/>
              <w:rPr>
                <w:sz w:val="20"/>
                <w:szCs w:val="20"/>
                <w:color w:val="auto"/>
              </w:rPr>
            </w:pPr>
            <w:r>
              <w:rPr>
                <w:rFonts w:ascii="Arial" w:cs="Arial" w:eastAsia="Arial" w:hAnsi="Arial"/>
                <w:sz w:val="18"/>
                <w:szCs w:val="18"/>
                <w:i w:val="1"/>
                <w:iCs w:val="1"/>
                <w:color w:val="auto"/>
                <w:w w:val="88"/>
              </w:rPr>
              <w:t>as Co-Syndication Agent</w:t>
            </w:r>
          </w:p>
        </w:tc>
        <w:tc>
          <w:tcPr>
            <w:tcW w:w="0" w:type="dxa"/>
            <w:vAlign w:val="bottom"/>
          </w:tcPr>
          <w:p>
            <w:pPr>
              <w:spacing w:after="0"/>
              <w:rPr>
                <w:sz w:val="1"/>
                <w:szCs w:val="1"/>
                <w:color w:val="auto"/>
              </w:rPr>
            </w:pPr>
          </w:p>
        </w:tc>
      </w:tr>
      <w:tr>
        <w:trPr>
          <w:trHeight w:val="52"/>
        </w:trPr>
        <w:tc>
          <w:tcPr>
            <w:tcW w:w="2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2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4"/>
              </w:rPr>
              <w:t>RBC CAPITAL</w:t>
            </w:r>
          </w:p>
        </w:tc>
        <w:tc>
          <w:tcPr>
            <w:tcW w:w="2080" w:type="dxa"/>
            <w:vAlign w:val="bottom"/>
          </w:tcPr>
          <w:p>
            <w:pPr>
              <w:jc w:val="center"/>
              <w:ind w:left="571"/>
              <w:spacing w:after="0"/>
              <w:rPr>
                <w:sz w:val="20"/>
                <w:szCs w:val="20"/>
                <w:color w:val="auto"/>
              </w:rPr>
            </w:pPr>
            <w:r>
              <w:rPr>
                <w:rFonts w:ascii="Arial" w:cs="Arial" w:eastAsia="Arial" w:hAnsi="Arial"/>
                <w:sz w:val="18"/>
                <w:szCs w:val="18"/>
                <w:color w:val="auto"/>
                <w:w w:val="91"/>
              </w:rPr>
              <w:t>RBS SECURITIES</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80" w:type="dxa"/>
            <w:vAlign w:val="bottom"/>
            <w:gridSpan w:val="2"/>
          </w:tcPr>
          <w:p>
            <w:pPr>
              <w:ind w:left="400"/>
              <w:spacing w:after="0" w:line="199" w:lineRule="exact"/>
              <w:rPr>
                <w:sz w:val="20"/>
                <w:szCs w:val="20"/>
                <w:color w:val="auto"/>
              </w:rPr>
            </w:pPr>
            <w:r>
              <w:rPr>
                <w:rFonts w:ascii="Arial" w:cs="Arial" w:eastAsia="Arial" w:hAnsi="Arial"/>
                <w:sz w:val="18"/>
                <w:szCs w:val="18"/>
                <w:color w:val="auto"/>
              </w:rPr>
              <w:t>MARKETS</w:t>
            </w:r>
            <w:r>
              <w:rPr>
                <w:rFonts w:ascii="Arial" w:cs="Arial" w:eastAsia="Arial" w:hAnsi="Arial"/>
                <w:sz w:val="23"/>
                <w:szCs w:val="23"/>
                <w:color w:val="auto"/>
                <w:vertAlign w:val="superscript"/>
              </w:rPr>
              <w:t>1</w:t>
            </w:r>
          </w:p>
        </w:tc>
        <w:tc>
          <w:tcPr>
            <w:tcW w:w="2080" w:type="dxa"/>
            <w:vAlign w:val="bottom"/>
          </w:tcPr>
          <w:p>
            <w:pPr>
              <w:jc w:val="center"/>
              <w:ind w:left="551"/>
              <w:spacing w:after="0" w:line="199" w:lineRule="exact"/>
              <w:rPr>
                <w:sz w:val="20"/>
                <w:szCs w:val="20"/>
                <w:color w:val="auto"/>
              </w:rPr>
            </w:pPr>
            <w:r>
              <w:rPr>
                <w:rFonts w:ascii="Arial" w:cs="Arial" w:eastAsia="Arial" w:hAnsi="Arial"/>
                <w:sz w:val="18"/>
                <w:szCs w:val="18"/>
                <w:color w:val="auto"/>
                <w:w w:val="89"/>
              </w:rPr>
              <w:t>INC.</w:t>
            </w:r>
            <w:r>
              <w:rPr>
                <w:rFonts w:ascii="Arial" w:cs="Arial" w:eastAsia="Arial" w:hAnsi="Arial"/>
                <w:sz w:val="23"/>
                <w:szCs w:val="23"/>
                <w:color w:val="auto"/>
                <w:w w:val="89"/>
                <w:vertAlign w:val="superscript"/>
              </w:rPr>
              <w:t>1</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gridSpan w:val="2"/>
          </w:tcPr>
          <w:p>
            <w:pPr>
              <w:ind w:left="2380"/>
              <w:spacing w:after="0" w:line="200" w:lineRule="exact"/>
              <w:rPr>
                <w:sz w:val="20"/>
                <w:szCs w:val="20"/>
                <w:color w:val="auto"/>
              </w:rPr>
            </w:pPr>
            <w:r>
              <w:rPr>
                <w:rFonts w:ascii="Arial" w:cs="Arial" w:eastAsia="Arial" w:hAnsi="Arial"/>
                <w:sz w:val="18"/>
                <w:szCs w:val="18"/>
                <w:color w:val="auto"/>
              </w:rPr>
              <w:t>MORGAN STANLEY</w:t>
            </w:r>
          </w:p>
        </w:tc>
        <w:tc>
          <w:tcPr>
            <w:tcW w:w="1680" w:type="dxa"/>
            <w:vAlign w:val="bottom"/>
            <w:gridSpan w:val="2"/>
          </w:tcPr>
          <w:p>
            <w:pPr>
              <w:jc w:val="center"/>
              <w:spacing w:after="0" w:line="200" w:lineRule="exact"/>
              <w:rPr>
                <w:sz w:val="20"/>
                <w:szCs w:val="20"/>
                <w:color w:val="auto"/>
              </w:rPr>
            </w:pPr>
            <w:r>
              <w:rPr>
                <w:rFonts w:ascii="Arial" w:cs="Arial" w:eastAsia="Arial" w:hAnsi="Arial"/>
                <w:sz w:val="18"/>
                <w:szCs w:val="18"/>
                <w:color w:val="auto"/>
                <w:w w:val="96"/>
              </w:rPr>
              <w:t>ROYAL BANK OF</w:t>
            </w:r>
          </w:p>
        </w:tc>
        <w:tc>
          <w:tcPr>
            <w:tcW w:w="4580" w:type="dxa"/>
            <w:vAlign w:val="bottom"/>
            <w:gridSpan w:val="2"/>
          </w:tcPr>
          <w:p>
            <w:pPr>
              <w:jc w:val="center"/>
              <w:ind w:right="1771"/>
              <w:spacing w:after="0" w:line="200" w:lineRule="exact"/>
              <w:rPr>
                <w:sz w:val="20"/>
                <w:szCs w:val="20"/>
                <w:color w:val="auto"/>
              </w:rPr>
            </w:pPr>
            <w:r>
              <w:rPr>
                <w:rFonts w:ascii="Arial" w:cs="Arial" w:eastAsia="Arial" w:hAnsi="Arial"/>
                <w:sz w:val="18"/>
                <w:szCs w:val="18"/>
                <w:color w:val="auto"/>
                <w:w w:val="96"/>
              </w:rPr>
              <w:t>THE ROYAL BANK OF</w:t>
            </w:r>
          </w:p>
        </w:tc>
        <w:tc>
          <w:tcPr>
            <w:tcW w:w="0" w:type="dxa"/>
            <w:vAlign w:val="bottom"/>
          </w:tcPr>
          <w:p>
            <w:pPr>
              <w:spacing w:after="0"/>
              <w:rPr>
                <w:sz w:val="1"/>
                <w:szCs w:val="1"/>
                <w:color w:val="auto"/>
              </w:rPr>
            </w:pPr>
          </w:p>
        </w:tc>
      </w:tr>
      <w:tr>
        <w:trPr>
          <w:trHeight w:val="255"/>
        </w:trPr>
        <w:tc>
          <w:tcPr>
            <w:tcW w:w="4460" w:type="dxa"/>
            <w:vAlign w:val="bottom"/>
            <w:gridSpan w:val="2"/>
          </w:tcPr>
          <w:p>
            <w:pPr>
              <w:ind w:left="120"/>
              <w:spacing w:after="0" w:line="255" w:lineRule="exact"/>
              <w:rPr>
                <w:sz w:val="20"/>
                <w:szCs w:val="20"/>
                <w:color w:val="auto"/>
              </w:rPr>
            </w:pPr>
            <w:r>
              <w:rPr>
                <w:rFonts w:ascii="Arial" w:cs="Arial" w:eastAsia="Arial" w:hAnsi="Arial"/>
                <w:sz w:val="18"/>
                <w:szCs w:val="18"/>
                <w:color w:val="auto"/>
                <w:w w:val="99"/>
              </w:rPr>
              <w:t>MIZUHO BANK, LTD.</w:t>
            </w:r>
            <w:r>
              <w:rPr>
                <w:rFonts w:ascii="Arial" w:cs="Arial" w:eastAsia="Arial" w:hAnsi="Arial"/>
                <w:sz w:val="23"/>
                <w:szCs w:val="23"/>
                <w:color w:val="auto"/>
                <w:w w:val="99"/>
                <w:vertAlign w:val="superscript"/>
              </w:rPr>
              <w:t>1,2</w:t>
            </w:r>
            <w:r>
              <w:rPr>
                <w:rFonts w:ascii="Arial" w:cs="Arial" w:eastAsia="Arial" w:hAnsi="Arial"/>
                <w:sz w:val="18"/>
                <w:szCs w:val="18"/>
                <w:color w:val="auto"/>
                <w:w w:val="99"/>
              </w:rPr>
              <w:t xml:space="preserve">   SENIOR FUNDING, INC.</w:t>
            </w:r>
            <w:r>
              <w:rPr>
                <w:rFonts w:ascii="Arial" w:cs="Arial" w:eastAsia="Arial" w:hAnsi="Arial"/>
                <w:sz w:val="23"/>
                <w:szCs w:val="23"/>
                <w:color w:val="auto"/>
                <w:w w:val="99"/>
                <w:vertAlign w:val="superscript"/>
              </w:rPr>
              <w:t>1,2</w:t>
            </w:r>
          </w:p>
        </w:tc>
        <w:tc>
          <w:tcPr>
            <w:tcW w:w="1680" w:type="dxa"/>
            <w:vAlign w:val="bottom"/>
            <w:gridSpan w:val="2"/>
          </w:tcPr>
          <w:p>
            <w:pPr>
              <w:jc w:val="center"/>
              <w:ind w:left="11"/>
              <w:spacing w:after="0" w:line="255" w:lineRule="exact"/>
              <w:rPr>
                <w:sz w:val="20"/>
                <w:szCs w:val="20"/>
                <w:color w:val="auto"/>
              </w:rPr>
            </w:pPr>
            <w:r>
              <w:rPr>
                <w:rFonts w:ascii="Arial" w:cs="Arial" w:eastAsia="Arial" w:hAnsi="Arial"/>
                <w:sz w:val="18"/>
                <w:szCs w:val="18"/>
                <w:color w:val="auto"/>
                <w:w w:val="98"/>
              </w:rPr>
              <w:t>CANADA</w:t>
            </w:r>
            <w:r>
              <w:rPr>
                <w:rFonts w:ascii="Arial" w:cs="Arial" w:eastAsia="Arial" w:hAnsi="Arial"/>
                <w:sz w:val="23"/>
                <w:szCs w:val="23"/>
                <w:color w:val="auto"/>
                <w:w w:val="98"/>
                <w:vertAlign w:val="superscript"/>
              </w:rPr>
              <w:t>2</w:t>
            </w:r>
          </w:p>
        </w:tc>
        <w:tc>
          <w:tcPr>
            <w:tcW w:w="2080" w:type="dxa"/>
            <w:vAlign w:val="bottom"/>
          </w:tcPr>
          <w:p>
            <w:pPr>
              <w:jc w:val="center"/>
              <w:ind w:left="551"/>
              <w:spacing w:after="0" w:line="255" w:lineRule="exact"/>
              <w:rPr>
                <w:sz w:val="20"/>
                <w:szCs w:val="20"/>
                <w:color w:val="auto"/>
              </w:rPr>
            </w:pPr>
            <w:r>
              <w:rPr>
                <w:rFonts w:ascii="Arial" w:cs="Arial" w:eastAsia="Arial" w:hAnsi="Arial"/>
                <w:sz w:val="18"/>
                <w:szCs w:val="18"/>
                <w:color w:val="auto"/>
                <w:w w:val="92"/>
              </w:rPr>
              <w:t>SCOTLAND PLC</w:t>
            </w:r>
            <w:r>
              <w:rPr>
                <w:rFonts w:ascii="Arial" w:cs="Arial" w:eastAsia="Arial" w:hAnsi="Arial"/>
                <w:sz w:val="23"/>
                <w:szCs w:val="23"/>
                <w:color w:val="auto"/>
                <w:w w:val="92"/>
                <w:vertAlign w:val="superscript"/>
              </w:rPr>
              <w:t>2</w:t>
            </w:r>
          </w:p>
        </w:tc>
        <w:tc>
          <w:tcPr>
            <w:tcW w:w="2500" w:type="dxa"/>
            <w:vAlign w:val="bottom"/>
          </w:tcPr>
          <w:p>
            <w:pPr>
              <w:ind w:left="500"/>
              <w:spacing w:after="0" w:line="255" w:lineRule="exact"/>
              <w:rPr>
                <w:sz w:val="20"/>
                <w:szCs w:val="20"/>
                <w:color w:val="auto"/>
              </w:rPr>
            </w:pPr>
            <w:r>
              <w:rPr>
                <w:rFonts w:ascii="Arial" w:cs="Arial" w:eastAsia="Arial" w:hAnsi="Arial"/>
                <w:sz w:val="18"/>
                <w:szCs w:val="18"/>
                <w:color w:val="auto"/>
                <w:w w:val="97"/>
              </w:rPr>
              <w:t>SOCIÉTÉ GÉNÉRALE</w:t>
            </w:r>
            <w:r>
              <w:rPr>
                <w:rFonts w:ascii="Arial" w:cs="Arial" w:eastAsia="Arial" w:hAnsi="Arial"/>
                <w:sz w:val="23"/>
                <w:szCs w:val="23"/>
                <w:color w:val="auto"/>
                <w:w w:val="97"/>
                <w:vertAlign w:val="superscript"/>
              </w:rPr>
              <w:t>1,2</w:t>
            </w:r>
          </w:p>
        </w:tc>
        <w:tc>
          <w:tcPr>
            <w:tcW w:w="0" w:type="dxa"/>
            <w:vAlign w:val="bottom"/>
          </w:tcPr>
          <w:p>
            <w:pPr>
              <w:spacing w:after="0"/>
              <w:rPr>
                <w:sz w:val="1"/>
                <w:szCs w:val="1"/>
                <w:color w:val="auto"/>
              </w:rPr>
            </w:pPr>
          </w:p>
        </w:tc>
      </w:tr>
    </w:tbl>
    <w:p>
      <w:pPr>
        <w:jc w:val="center"/>
        <w:ind w:right="-359"/>
        <w:spacing w:after="0" w:line="180" w:lineRule="auto"/>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 as Documentation Agents when noted ( </w:t>
      </w:r>
      <w:r>
        <w:rPr>
          <w:rFonts w:ascii="Arial" w:cs="Arial" w:eastAsia="Arial" w:hAnsi="Arial"/>
          <w:sz w:val="23"/>
          <w:szCs w:val="23"/>
          <w:i w:val="1"/>
          <w:iCs w:val="1"/>
          <w:color w:val="auto"/>
          <w:vertAlign w:val="superscript"/>
        </w:rPr>
        <w:t>2</w:t>
      </w:r>
      <w:r>
        <w:rPr>
          <w:rFonts w:ascii="Arial" w:cs="Arial" w:eastAsia="Arial" w:hAnsi="Arial"/>
          <w:sz w:val="18"/>
          <w:szCs w:val="18"/>
          <w:i w:val="1"/>
          <w:iCs w:val="1"/>
          <w:color w:val="auto"/>
        </w:rPr>
        <w:t xml:space="preserve"> ),</w:t>
      </w:r>
    </w:p>
    <w:p>
      <w:pPr>
        <w:spacing w:after="0" w:line="1"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 xml:space="preserve">and as Brazilian Administrative Agent when noted ( </w:t>
      </w:r>
      <w:r>
        <w:rPr>
          <w:rFonts w:ascii="Arial" w:cs="Arial" w:eastAsia="Arial" w:hAnsi="Arial"/>
          <w:sz w:val="23"/>
          <w:szCs w:val="23"/>
          <w:i w:val="1"/>
          <w:iCs w:val="1"/>
          <w:color w:val="auto"/>
          <w:vertAlign w:val="superscript"/>
        </w:rPr>
        <w:t>3</w:t>
      </w:r>
      <w:r>
        <w:rPr>
          <w:rFonts w:ascii="Arial" w:cs="Arial" w:eastAsia="Arial" w:hAnsi="Arial"/>
          <w:sz w:val="18"/>
          <w:szCs w:val="18"/>
          <w:i w:val="1"/>
          <w:iCs w:val="1"/>
          <w:color w:val="auto"/>
        </w:rPr>
        <w:t xml:space="preserve"> )</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100"/>
          </w:cols>
          <w:pgMar w:left="220" w:top="248" w:right="579" w:bottom="1440" w:gutter="0" w:footer="0" w:header="0"/>
        </w:sectPr>
      </w:pPr>
    </w:p>
    <w:bookmarkStart w:id="200" w:name="page201"/>
    <w:bookmarkEnd w:id="200"/>
    <w:tbl>
      <w:tblPr>
        <w:tblLayout w:type="fixed"/>
        <w:tblInd w:w="40" w:type="dxa"/>
        <w:tblCellMar>
          <w:top w:w="0" w:type="dxa"/>
          <w:left w:w="0" w:type="dxa"/>
          <w:bottom w:w="0" w:type="dxa"/>
          <w:right w:w="0" w:type="dxa"/>
        </w:tblCellMar>
      </w:tblPr>
      <w:tr>
        <w:trPr>
          <w:trHeight w:val="211"/>
        </w:trPr>
        <w:tc>
          <w:tcPr>
            <w:tcW w:w="6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400" w:type="dxa"/>
            <w:vAlign w:val="bottom"/>
          </w:tcPr>
          <w:p>
            <w:pPr>
              <w:jc w:val="right"/>
              <w:ind w:right="4919"/>
              <w:spacing w:after="0"/>
              <w:rPr>
                <w:sz w:val="20"/>
                <w:szCs w:val="20"/>
                <w:color w:val="auto"/>
              </w:rPr>
            </w:pPr>
            <w:r>
              <w:rPr>
                <w:rFonts w:ascii="Arial" w:cs="Arial" w:eastAsia="Arial" w:hAnsi="Arial"/>
                <w:sz w:val="16"/>
                <w:szCs w:val="16"/>
                <w:b w:val="1"/>
                <w:bCs w:val="1"/>
                <w:color w:val="auto"/>
              </w:rPr>
              <w:t>Table of Contents</w:t>
            </w:r>
          </w:p>
        </w:tc>
      </w:tr>
      <w:tr>
        <w:trPr>
          <w:trHeight w:val="233"/>
        </w:trPr>
        <w:tc>
          <w:tcPr>
            <w:tcW w:w="6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400" w:type="dxa"/>
            <w:vAlign w:val="bottom"/>
          </w:tcPr>
          <w:p>
            <w:pPr>
              <w:jc w:val="right"/>
              <w:ind w:right="99"/>
              <w:spacing w:after="0"/>
              <w:rPr>
                <w:sz w:val="20"/>
                <w:szCs w:val="20"/>
                <w:color w:val="auto"/>
              </w:rPr>
            </w:pPr>
            <w:r>
              <w:rPr>
                <w:rFonts w:ascii="Arial" w:cs="Arial" w:eastAsia="Arial" w:hAnsi="Arial"/>
                <w:sz w:val="16"/>
                <w:szCs w:val="16"/>
                <w:b w:val="1"/>
                <w:bCs w:val="1"/>
                <w:color w:val="auto"/>
              </w:rPr>
              <w:t>Page</w:t>
            </w:r>
          </w:p>
        </w:tc>
      </w:tr>
      <w:tr>
        <w:trPr>
          <w:trHeight w:val="233"/>
        </w:trPr>
        <w:tc>
          <w:tcPr>
            <w:tcW w:w="4900" w:type="dxa"/>
            <w:vAlign w:val="bottom"/>
            <w:gridSpan w:val="2"/>
          </w:tcPr>
          <w:p>
            <w:pPr>
              <w:spacing w:after="0"/>
              <w:rPr>
                <w:sz w:val="20"/>
                <w:szCs w:val="20"/>
                <w:color w:val="auto"/>
              </w:rPr>
            </w:pPr>
            <w:r>
              <w:rPr>
                <w:rFonts w:ascii="Arial" w:cs="Arial" w:eastAsia="Arial" w:hAnsi="Arial"/>
                <w:sz w:val="16"/>
                <w:szCs w:val="16"/>
                <w:color w:val="auto"/>
              </w:rPr>
              <w:t>SECTION 1 DEFINITIONS</w:t>
            </w:r>
          </w:p>
        </w:tc>
        <w:tc>
          <w:tcPr>
            <w:tcW w:w="64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1.1</w:t>
            </w:r>
          </w:p>
        </w:tc>
        <w:tc>
          <w:tcPr>
            <w:tcW w:w="4300" w:type="dxa"/>
            <w:vAlign w:val="bottom"/>
          </w:tcPr>
          <w:p>
            <w:pPr>
              <w:ind w:left="320"/>
              <w:spacing w:after="0"/>
              <w:rPr>
                <w:sz w:val="20"/>
                <w:szCs w:val="20"/>
                <w:color w:val="auto"/>
              </w:rPr>
            </w:pPr>
            <w:r>
              <w:rPr>
                <w:rFonts w:ascii="Arial" w:cs="Arial" w:eastAsia="Arial" w:hAnsi="Arial"/>
                <w:sz w:val="16"/>
                <w:szCs w:val="16"/>
                <w:color w:val="auto"/>
              </w:rPr>
              <w:t>Defined Terms</w:t>
            </w:r>
          </w:p>
        </w:tc>
        <w:tc>
          <w:tcPr>
            <w:tcW w:w="64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1.2</w:t>
            </w:r>
          </w:p>
        </w:tc>
        <w:tc>
          <w:tcPr>
            <w:tcW w:w="4300" w:type="dxa"/>
            <w:vAlign w:val="bottom"/>
          </w:tcPr>
          <w:p>
            <w:pPr>
              <w:ind w:left="320"/>
              <w:spacing w:after="0"/>
              <w:rPr>
                <w:sz w:val="20"/>
                <w:szCs w:val="20"/>
                <w:color w:val="auto"/>
              </w:rPr>
            </w:pPr>
            <w:r>
              <w:rPr>
                <w:rFonts w:ascii="Arial" w:cs="Arial" w:eastAsia="Arial" w:hAnsi="Arial"/>
                <w:sz w:val="16"/>
                <w:szCs w:val="16"/>
                <w:color w:val="auto"/>
              </w:rPr>
              <w:t>Other Definitional Provisions</w:t>
            </w:r>
          </w:p>
        </w:tc>
        <w:tc>
          <w:tcPr>
            <w:tcW w:w="64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1.3</w:t>
            </w:r>
          </w:p>
        </w:tc>
        <w:tc>
          <w:tcPr>
            <w:tcW w:w="4300" w:type="dxa"/>
            <w:vAlign w:val="bottom"/>
          </w:tcPr>
          <w:p>
            <w:pPr>
              <w:ind w:left="320"/>
              <w:spacing w:after="0"/>
              <w:rPr>
                <w:sz w:val="20"/>
                <w:szCs w:val="20"/>
                <w:color w:val="auto"/>
              </w:rPr>
            </w:pPr>
            <w:r>
              <w:rPr>
                <w:rFonts w:ascii="Arial" w:cs="Arial" w:eastAsia="Arial" w:hAnsi="Arial"/>
                <w:sz w:val="16"/>
                <w:szCs w:val="16"/>
                <w:color w:val="auto"/>
              </w:rPr>
              <w:t>Conversion of Foreign Currencies</w:t>
            </w:r>
          </w:p>
        </w:tc>
        <w:tc>
          <w:tcPr>
            <w:tcW w:w="64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1.4</w:t>
            </w:r>
          </w:p>
        </w:tc>
        <w:tc>
          <w:tcPr>
            <w:tcW w:w="4300" w:type="dxa"/>
            <w:vAlign w:val="bottom"/>
          </w:tcPr>
          <w:p>
            <w:pPr>
              <w:ind w:left="320"/>
              <w:spacing w:after="0"/>
              <w:rPr>
                <w:sz w:val="20"/>
                <w:szCs w:val="20"/>
                <w:color w:val="auto"/>
              </w:rPr>
            </w:pPr>
            <w:r>
              <w:rPr>
                <w:rFonts w:ascii="Arial" w:cs="Arial" w:eastAsia="Arial" w:hAnsi="Arial"/>
                <w:sz w:val="16"/>
                <w:szCs w:val="16"/>
                <w:color w:val="auto"/>
              </w:rPr>
              <w:t>Other Interpretive Provisions</w:t>
            </w:r>
          </w:p>
        </w:tc>
        <w:tc>
          <w:tcPr>
            <w:tcW w:w="64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3"/>
        </w:trPr>
        <w:tc>
          <w:tcPr>
            <w:tcW w:w="4900" w:type="dxa"/>
            <w:vAlign w:val="bottom"/>
            <w:gridSpan w:val="2"/>
          </w:tcPr>
          <w:p>
            <w:pPr>
              <w:spacing w:after="0"/>
              <w:rPr>
                <w:sz w:val="20"/>
                <w:szCs w:val="20"/>
                <w:color w:val="auto"/>
              </w:rPr>
            </w:pPr>
            <w:r>
              <w:rPr>
                <w:rFonts w:ascii="Arial" w:cs="Arial" w:eastAsia="Arial" w:hAnsi="Arial"/>
                <w:sz w:val="16"/>
                <w:szCs w:val="16"/>
                <w:color w:val="auto"/>
              </w:rPr>
              <w:t>SECTION 2 AMOUNT AND TERMS OF COMMITMENTS</w:t>
            </w:r>
          </w:p>
        </w:tc>
        <w:tc>
          <w:tcPr>
            <w:tcW w:w="64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w:t>
            </w:r>
          </w:p>
        </w:tc>
        <w:tc>
          <w:tcPr>
            <w:tcW w:w="4300" w:type="dxa"/>
            <w:vAlign w:val="bottom"/>
          </w:tcPr>
          <w:p>
            <w:pPr>
              <w:ind w:left="320"/>
              <w:spacing w:after="0"/>
              <w:rPr>
                <w:sz w:val="20"/>
                <w:szCs w:val="20"/>
                <w:color w:val="auto"/>
              </w:rPr>
            </w:pPr>
            <w:r>
              <w:rPr>
                <w:rFonts w:ascii="Arial" w:cs="Arial" w:eastAsia="Arial" w:hAnsi="Arial"/>
                <w:sz w:val="16"/>
                <w:szCs w:val="16"/>
                <w:color w:val="auto"/>
              </w:rPr>
              <w:t>Domestic Commitments</w:t>
            </w:r>
          </w:p>
        </w:tc>
        <w:tc>
          <w:tcPr>
            <w:tcW w:w="64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2.2</w:t>
            </w:r>
          </w:p>
        </w:tc>
        <w:tc>
          <w:tcPr>
            <w:tcW w:w="4300" w:type="dxa"/>
            <w:vAlign w:val="bottom"/>
          </w:tcPr>
          <w:p>
            <w:pPr>
              <w:ind w:left="320"/>
              <w:spacing w:after="0"/>
              <w:rPr>
                <w:sz w:val="20"/>
                <w:szCs w:val="20"/>
                <w:color w:val="auto"/>
              </w:rPr>
            </w:pPr>
            <w:r>
              <w:rPr>
                <w:rFonts w:ascii="Arial" w:cs="Arial" w:eastAsia="Arial" w:hAnsi="Arial"/>
                <w:sz w:val="16"/>
                <w:szCs w:val="16"/>
                <w:color w:val="auto"/>
              </w:rPr>
              <w:t>Procedure for Domestic Loan Borrowing</w:t>
            </w:r>
          </w:p>
        </w:tc>
        <w:tc>
          <w:tcPr>
            <w:tcW w:w="64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2.3</w:t>
            </w:r>
          </w:p>
        </w:tc>
        <w:tc>
          <w:tcPr>
            <w:tcW w:w="4300" w:type="dxa"/>
            <w:vAlign w:val="bottom"/>
          </w:tcPr>
          <w:p>
            <w:pPr>
              <w:ind w:left="320"/>
              <w:spacing w:after="0"/>
              <w:rPr>
                <w:sz w:val="20"/>
                <w:szCs w:val="20"/>
                <w:color w:val="auto"/>
              </w:rPr>
            </w:pPr>
            <w:r>
              <w:rPr>
                <w:rFonts w:ascii="Arial" w:cs="Arial" w:eastAsia="Arial" w:hAnsi="Arial"/>
                <w:sz w:val="16"/>
                <w:szCs w:val="16"/>
                <w:color w:val="auto"/>
              </w:rPr>
              <w:t>Multicurrency Commitments</w:t>
            </w:r>
          </w:p>
        </w:tc>
        <w:tc>
          <w:tcPr>
            <w:tcW w:w="64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2.4</w:t>
            </w:r>
          </w:p>
        </w:tc>
        <w:tc>
          <w:tcPr>
            <w:tcW w:w="4300" w:type="dxa"/>
            <w:vAlign w:val="bottom"/>
          </w:tcPr>
          <w:p>
            <w:pPr>
              <w:ind w:left="320"/>
              <w:spacing w:after="0"/>
              <w:rPr>
                <w:sz w:val="20"/>
                <w:szCs w:val="20"/>
                <w:color w:val="auto"/>
              </w:rPr>
            </w:pPr>
            <w:r>
              <w:rPr>
                <w:rFonts w:ascii="Arial" w:cs="Arial" w:eastAsia="Arial" w:hAnsi="Arial"/>
                <w:sz w:val="16"/>
                <w:szCs w:val="16"/>
                <w:color w:val="auto"/>
              </w:rPr>
              <w:t>Procedure for Multicurrency Loan Borrowing</w:t>
            </w:r>
          </w:p>
        </w:tc>
        <w:tc>
          <w:tcPr>
            <w:tcW w:w="64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2.5</w:t>
            </w:r>
          </w:p>
        </w:tc>
        <w:tc>
          <w:tcPr>
            <w:tcW w:w="4300" w:type="dxa"/>
            <w:vAlign w:val="bottom"/>
          </w:tcPr>
          <w:p>
            <w:pPr>
              <w:ind w:left="320"/>
              <w:spacing w:after="0"/>
              <w:rPr>
                <w:sz w:val="20"/>
                <w:szCs w:val="20"/>
                <w:color w:val="auto"/>
              </w:rPr>
            </w:pPr>
            <w:r>
              <w:rPr>
                <w:rFonts w:ascii="Arial" w:cs="Arial" w:eastAsia="Arial" w:hAnsi="Arial"/>
                <w:sz w:val="16"/>
                <w:szCs w:val="16"/>
                <w:color w:val="auto"/>
              </w:rPr>
              <w:t>Brazilian Commitments</w:t>
            </w:r>
          </w:p>
        </w:tc>
        <w:tc>
          <w:tcPr>
            <w:tcW w:w="64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2.6</w:t>
            </w:r>
          </w:p>
        </w:tc>
        <w:tc>
          <w:tcPr>
            <w:tcW w:w="4300" w:type="dxa"/>
            <w:vAlign w:val="bottom"/>
          </w:tcPr>
          <w:p>
            <w:pPr>
              <w:ind w:left="320"/>
              <w:spacing w:after="0"/>
              <w:rPr>
                <w:sz w:val="20"/>
                <w:szCs w:val="20"/>
                <w:color w:val="auto"/>
              </w:rPr>
            </w:pPr>
            <w:r>
              <w:rPr>
                <w:rFonts w:ascii="Arial" w:cs="Arial" w:eastAsia="Arial" w:hAnsi="Arial"/>
                <w:sz w:val="16"/>
                <w:szCs w:val="16"/>
                <w:color w:val="auto"/>
              </w:rPr>
              <w:t>Brazilian Reporting</w:t>
            </w:r>
          </w:p>
        </w:tc>
        <w:tc>
          <w:tcPr>
            <w:tcW w:w="64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2.7</w:t>
            </w:r>
          </w:p>
        </w:tc>
        <w:tc>
          <w:tcPr>
            <w:tcW w:w="4300" w:type="dxa"/>
            <w:vAlign w:val="bottom"/>
          </w:tcPr>
          <w:p>
            <w:pPr>
              <w:ind w:left="320"/>
              <w:spacing w:after="0"/>
              <w:rPr>
                <w:sz w:val="20"/>
                <w:szCs w:val="20"/>
                <w:color w:val="auto"/>
              </w:rPr>
            </w:pPr>
            <w:r>
              <w:rPr>
                <w:rFonts w:ascii="Arial" w:cs="Arial" w:eastAsia="Arial" w:hAnsi="Arial"/>
                <w:sz w:val="16"/>
                <w:szCs w:val="16"/>
                <w:color w:val="auto"/>
              </w:rPr>
              <w:t>[Reserved].</w:t>
            </w:r>
          </w:p>
        </w:tc>
        <w:tc>
          <w:tcPr>
            <w:tcW w:w="64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2.8</w:t>
            </w:r>
          </w:p>
        </w:tc>
        <w:tc>
          <w:tcPr>
            <w:tcW w:w="4300" w:type="dxa"/>
            <w:vAlign w:val="bottom"/>
          </w:tcPr>
          <w:p>
            <w:pPr>
              <w:ind w:left="320"/>
              <w:spacing w:after="0"/>
              <w:rPr>
                <w:sz w:val="20"/>
                <w:szCs w:val="20"/>
                <w:color w:val="auto"/>
              </w:rPr>
            </w:pPr>
            <w:r>
              <w:rPr>
                <w:rFonts w:ascii="Arial" w:cs="Arial" w:eastAsia="Arial" w:hAnsi="Arial"/>
                <w:sz w:val="16"/>
                <w:szCs w:val="16"/>
                <w:color w:val="auto"/>
              </w:rPr>
              <w:t>[Reserved].</w:t>
            </w:r>
          </w:p>
        </w:tc>
        <w:tc>
          <w:tcPr>
            <w:tcW w:w="64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2.9</w:t>
            </w:r>
          </w:p>
        </w:tc>
        <w:tc>
          <w:tcPr>
            <w:tcW w:w="4300" w:type="dxa"/>
            <w:vAlign w:val="bottom"/>
          </w:tcPr>
          <w:p>
            <w:pPr>
              <w:ind w:left="320"/>
              <w:spacing w:after="0"/>
              <w:rPr>
                <w:sz w:val="20"/>
                <w:szCs w:val="20"/>
                <w:color w:val="auto"/>
              </w:rPr>
            </w:pPr>
            <w:r>
              <w:rPr>
                <w:rFonts w:ascii="Arial" w:cs="Arial" w:eastAsia="Arial" w:hAnsi="Arial"/>
                <w:sz w:val="16"/>
                <w:szCs w:val="16"/>
                <w:color w:val="auto"/>
              </w:rPr>
              <w:t>[Reserved].</w:t>
            </w:r>
          </w:p>
        </w:tc>
        <w:tc>
          <w:tcPr>
            <w:tcW w:w="64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2.10</w:t>
            </w:r>
          </w:p>
        </w:tc>
        <w:tc>
          <w:tcPr>
            <w:tcW w:w="4300" w:type="dxa"/>
            <w:vAlign w:val="bottom"/>
          </w:tcPr>
          <w:p>
            <w:pPr>
              <w:ind w:left="320"/>
              <w:spacing w:after="0"/>
              <w:rPr>
                <w:sz w:val="20"/>
                <w:szCs w:val="20"/>
                <w:color w:val="auto"/>
              </w:rPr>
            </w:pPr>
            <w:r>
              <w:rPr>
                <w:rFonts w:ascii="Arial" w:cs="Arial" w:eastAsia="Arial" w:hAnsi="Arial"/>
                <w:sz w:val="16"/>
                <w:szCs w:val="16"/>
                <w:color w:val="auto"/>
              </w:rPr>
              <w:t>Competitive Bid Procedure</w:t>
            </w:r>
          </w:p>
        </w:tc>
        <w:tc>
          <w:tcPr>
            <w:tcW w:w="64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2.11</w:t>
            </w:r>
          </w:p>
        </w:tc>
        <w:tc>
          <w:tcPr>
            <w:tcW w:w="4300" w:type="dxa"/>
            <w:vAlign w:val="bottom"/>
          </w:tcPr>
          <w:p>
            <w:pPr>
              <w:ind w:left="320"/>
              <w:spacing w:after="0"/>
              <w:rPr>
                <w:sz w:val="20"/>
                <w:szCs w:val="20"/>
                <w:color w:val="auto"/>
              </w:rPr>
            </w:pPr>
            <w:r>
              <w:rPr>
                <w:rFonts w:ascii="Arial" w:cs="Arial" w:eastAsia="Arial" w:hAnsi="Arial"/>
                <w:sz w:val="16"/>
                <w:szCs w:val="16"/>
                <w:color w:val="auto"/>
              </w:rPr>
              <w:t>Facility Fees, etc.</w:t>
            </w:r>
          </w:p>
        </w:tc>
        <w:tc>
          <w:tcPr>
            <w:tcW w:w="64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2.12</w:t>
            </w:r>
          </w:p>
        </w:tc>
        <w:tc>
          <w:tcPr>
            <w:tcW w:w="4300" w:type="dxa"/>
            <w:vAlign w:val="bottom"/>
          </w:tcPr>
          <w:p>
            <w:pPr>
              <w:ind w:left="320"/>
              <w:spacing w:after="0"/>
              <w:rPr>
                <w:sz w:val="20"/>
                <w:szCs w:val="20"/>
                <w:color w:val="auto"/>
              </w:rPr>
            </w:pPr>
            <w:r>
              <w:rPr>
                <w:rFonts w:ascii="Arial" w:cs="Arial" w:eastAsia="Arial" w:hAnsi="Arial"/>
                <w:sz w:val="16"/>
                <w:szCs w:val="16"/>
                <w:color w:val="auto"/>
                <w:w w:val="96"/>
              </w:rPr>
              <w:t>Termination, Reduction and Reallocation of Commitments</w:t>
            </w:r>
          </w:p>
        </w:tc>
        <w:tc>
          <w:tcPr>
            <w:tcW w:w="64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2.13</w:t>
            </w:r>
          </w:p>
        </w:tc>
        <w:tc>
          <w:tcPr>
            <w:tcW w:w="4300" w:type="dxa"/>
            <w:vAlign w:val="bottom"/>
          </w:tcPr>
          <w:p>
            <w:pPr>
              <w:ind w:left="320"/>
              <w:spacing w:after="0"/>
              <w:rPr>
                <w:sz w:val="20"/>
                <w:szCs w:val="20"/>
                <w:color w:val="auto"/>
              </w:rPr>
            </w:pPr>
            <w:r>
              <w:rPr>
                <w:rFonts w:ascii="Arial" w:cs="Arial" w:eastAsia="Arial" w:hAnsi="Arial"/>
                <w:sz w:val="16"/>
                <w:szCs w:val="16"/>
                <w:color w:val="auto"/>
              </w:rPr>
              <w:t>Optional Prepayments</w:t>
            </w:r>
          </w:p>
        </w:tc>
        <w:tc>
          <w:tcPr>
            <w:tcW w:w="64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2.14</w:t>
            </w:r>
          </w:p>
        </w:tc>
        <w:tc>
          <w:tcPr>
            <w:tcW w:w="4300" w:type="dxa"/>
            <w:vAlign w:val="bottom"/>
          </w:tcPr>
          <w:p>
            <w:pPr>
              <w:ind w:left="320"/>
              <w:spacing w:after="0"/>
              <w:rPr>
                <w:sz w:val="20"/>
                <w:szCs w:val="20"/>
                <w:color w:val="auto"/>
              </w:rPr>
            </w:pPr>
            <w:r>
              <w:rPr>
                <w:rFonts w:ascii="Arial" w:cs="Arial" w:eastAsia="Arial" w:hAnsi="Arial"/>
                <w:sz w:val="16"/>
                <w:szCs w:val="16"/>
                <w:color w:val="auto"/>
              </w:rPr>
              <w:t>Mandatory Prepayments</w:t>
            </w:r>
          </w:p>
        </w:tc>
        <w:tc>
          <w:tcPr>
            <w:tcW w:w="64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2.15</w:t>
            </w:r>
          </w:p>
        </w:tc>
        <w:tc>
          <w:tcPr>
            <w:tcW w:w="4300" w:type="dxa"/>
            <w:vAlign w:val="bottom"/>
          </w:tcPr>
          <w:p>
            <w:pPr>
              <w:ind w:left="320"/>
              <w:spacing w:after="0"/>
              <w:rPr>
                <w:sz w:val="20"/>
                <w:szCs w:val="20"/>
                <w:color w:val="auto"/>
              </w:rPr>
            </w:pPr>
            <w:r>
              <w:rPr>
                <w:rFonts w:ascii="Arial" w:cs="Arial" w:eastAsia="Arial" w:hAnsi="Arial"/>
                <w:sz w:val="16"/>
                <w:szCs w:val="16"/>
                <w:color w:val="auto"/>
              </w:rPr>
              <w:t>Conversion and Continuation Options</w:t>
            </w:r>
          </w:p>
        </w:tc>
        <w:tc>
          <w:tcPr>
            <w:tcW w:w="64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2.16</w:t>
            </w:r>
          </w:p>
        </w:tc>
        <w:tc>
          <w:tcPr>
            <w:tcW w:w="4300" w:type="dxa"/>
            <w:vAlign w:val="bottom"/>
          </w:tcPr>
          <w:p>
            <w:pPr>
              <w:ind w:left="320"/>
              <w:spacing w:after="0"/>
              <w:rPr>
                <w:sz w:val="20"/>
                <w:szCs w:val="20"/>
                <w:color w:val="auto"/>
              </w:rPr>
            </w:pPr>
            <w:r>
              <w:rPr>
                <w:rFonts w:ascii="Arial" w:cs="Arial" w:eastAsia="Arial" w:hAnsi="Arial"/>
                <w:sz w:val="16"/>
                <w:szCs w:val="16"/>
                <w:color w:val="auto"/>
              </w:rPr>
              <w:t>Limitations on Eurocurrency Tranches</w:t>
            </w:r>
          </w:p>
        </w:tc>
        <w:tc>
          <w:tcPr>
            <w:tcW w:w="64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2.17</w:t>
            </w:r>
          </w:p>
        </w:tc>
        <w:tc>
          <w:tcPr>
            <w:tcW w:w="4300" w:type="dxa"/>
            <w:vAlign w:val="bottom"/>
          </w:tcPr>
          <w:p>
            <w:pPr>
              <w:ind w:left="320"/>
              <w:spacing w:after="0"/>
              <w:rPr>
                <w:sz w:val="20"/>
                <w:szCs w:val="20"/>
                <w:color w:val="auto"/>
              </w:rPr>
            </w:pPr>
            <w:r>
              <w:rPr>
                <w:rFonts w:ascii="Arial" w:cs="Arial" w:eastAsia="Arial" w:hAnsi="Arial"/>
                <w:sz w:val="16"/>
                <w:szCs w:val="16"/>
                <w:color w:val="auto"/>
              </w:rPr>
              <w:t>Interest Rates and Payment Dates</w:t>
            </w:r>
          </w:p>
        </w:tc>
        <w:tc>
          <w:tcPr>
            <w:tcW w:w="64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2.18</w:t>
            </w:r>
          </w:p>
        </w:tc>
        <w:tc>
          <w:tcPr>
            <w:tcW w:w="4300" w:type="dxa"/>
            <w:vAlign w:val="bottom"/>
          </w:tcPr>
          <w:p>
            <w:pPr>
              <w:ind w:left="320"/>
              <w:spacing w:after="0"/>
              <w:rPr>
                <w:sz w:val="20"/>
                <w:szCs w:val="20"/>
                <w:color w:val="auto"/>
              </w:rPr>
            </w:pPr>
            <w:r>
              <w:rPr>
                <w:rFonts w:ascii="Arial" w:cs="Arial" w:eastAsia="Arial" w:hAnsi="Arial"/>
                <w:sz w:val="16"/>
                <w:szCs w:val="16"/>
                <w:color w:val="auto"/>
              </w:rPr>
              <w:t>Computation of Interest and Fees</w:t>
            </w:r>
          </w:p>
        </w:tc>
        <w:tc>
          <w:tcPr>
            <w:tcW w:w="64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2.19</w:t>
            </w:r>
          </w:p>
        </w:tc>
        <w:tc>
          <w:tcPr>
            <w:tcW w:w="4300" w:type="dxa"/>
            <w:vAlign w:val="bottom"/>
          </w:tcPr>
          <w:p>
            <w:pPr>
              <w:ind w:left="320"/>
              <w:spacing w:after="0"/>
              <w:rPr>
                <w:sz w:val="20"/>
                <w:szCs w:val="20"/>
                <w:color w:val="auto"/>
              </w:rPr>
            </w:pPr>
            <w:r>
              <w:rPr>
                <w:rFonts w:ascii="Arial" w:cs="Arial" w:eastAsia="Arial" w:hAnsi="Arial"/>
                <w:sz w:val="16"/>
                <w:szCs w:val="16"/>
                <w:color w:val="auto"/>
              </w:rPr>
              <w:t>Inability to Determine Interest Rate; Illegality</w:t>
            </w:r>
          </w:p>
        </w:tc>
        <w:tc>
          <w:tcPr>
            <w:tcW w:w="64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2.20</w:t>
            </w:r>
          </w:p>
        </w:tc>
        <w:tc>
          <w:tcPr>
            <w:tcW w:w="4300" w:type="dxa"/>
            <w:vAlign w:val="bottom"/>
          </w:tcPr>
          <w:p>
            <w:pPr>
              <w:ind w:left="320"/>
              <w:spacing w:after="0"/>
              <w:rPr>
                <w:sz w:val="20"/>
                <w:szCs w:val="20"/>
                <w:color w:val="auto"/>
              </w:rPr>
            </w:pPr>
            <w:r>
              <w:rPr>
                <w:rFonts w:ascii="Arial" w:cs="Arial" w:eastAsia="Arial" w:hAnsi="Arial"/>
                <w:sz w:val="16"/>
                <w:szCs w:val="16"/>
                <w:color w:val="auto"/>
              </w:rPr>
              <w:t>Pro Rata Treatment and Payments; Evidence of Debt</w:t>
            </w:r>
          </w:p>
        </w:tc>
        <w:tc>
          <w:tcPr>
            <w:tcW w:w="64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2.21</w:t>
            </w:r>
          </w:p>
        </w:tc>
        <w:tc>
          <w:tcPr>
            <w:tcW w:w="4300" w:type="dxa"/>
            <w:vAlign w:val="bottom"/>
          </w:tcPr>
          <w:p>
            <w:pPr>
              <w:ind w:left="320"/>
              <w:spacing w:after="0"/>
              <w:rPr>
                <w:sz w:val="20"/>
                <w:szCs w:val="20"/>
                <w:color w:val="auto"/>
              </w:rPr>
            </w:pPr>
            <w:r>
              <w:rPr>
                <w:rFonts w:ascii="Arial" w:cs="Arial" w:eastAsia="Arial" w:hAnsi="Arial"/>
                <w:sz w:val="16"/>
                <w:szCs w:val="16"/>
                <w:color w:val="auto"/>
              </w:rPr>
              <w:t>Requirements of Law</w:t>
            </w:r>
          </w:p>
        </w:tc>
        <w:tc>
          <w:tcPr>
            <w:tcW w:w="64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2.22</w:t>
            </w:r>
          </w:p>
        </w:tc>
        <w:tc>
          <w:tcPr>
            <w:tcW w:w="4300" w:type="dxa"/>
            <w:vAlign w:val="bottom"/>
          </w:tcPr>
          <w:p>
            <w:pPr>
              <w:ind w:left="320"/>
              <w:spacing w:after="0"/>
              <w:rPr>
                <w:sz w:val="20"/>
                <w:szCs w:val="20"/>
                <w:color w:val="auto"/>
              </w:rPr>
            </w:pPr>
            <w:r>
              <w:rPr>
                <w:rFonts w:ascii="Arial" w:cs="Arial" w:eastAsia="Arial" w:hAnsi="Arial"/>
                <w:sz w:val="16"/>
                <w:szCs w:val="16"/>
                <w:color w:val="auto"/>
              </w:rPr>
              <w:t>Taxes</w:t>
            </w:r>
          </w:p>
        </w:tc>
        <w:tc>
          <w:tcPr>
            <w:tcW w:w="6400" w:type="dxa"/>
            <w:vAlign w:val="bottom"/>
          </w:tcPr>
          <w:p>
            <w:pPr>
              <w:jc w:val="right"/>
              <w:spacing w:after="0"/>
              <w:rPr>
                <w:sz w:val="20"/>
                <w:szCs w:val="20"/>
                <w:color w:val="auto"/>
              </w:rPr>
            </w:pPr>
            <w:r>
              <w:rPr>
                <w:rFonts w:ascii="Arial" w:cs="Arial" w:eastAsia="Arial" w:hAnsi="Arial"/>
                <w:sz w:val="16"/>
                <w:szCs w:val="16"/>
                <w:color w:val="auto"/>
              </w:rPr>
              <w:t>48</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340"/>
          </w:cols>
          <w:pgMar w:left="220" w:top="254" w:right="339" w:bottom="1440" w:gutter="0" w:footer="0" w:header="0"/>
        </w:sectPr>
      </w:pPr>
    </w:p>
    <w:bookmarkStart w:id="201" w:name="page202"/>
    <w:bookmarkEnd w:id="201"/>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6"/>
                <w:szCs w:val="16"/>
                <w:color w:val="auto"/>
              </w:rPr>
              <w:t>2.23</w:t>
            </w:r>
          </w:p>
        </w:tc>
        <w:tc>
          <w:tcPr>
            <w:tcW w:w="7980" w:type="dxa"/>
            <w:vAlign w:val="bottom"/>
          </w:tcPr>
          <w:p>
            <w:pPr>
              <w:ind w:left="320"/>
              <w:spacing w:after="0"/>
              <w:rPr>
                <w:sz w:val="20"/>
                <w:szCs w:val="20"/>
                <w:color w:val="auto"/>
              </w:rPr>
            </w:pPr>
            <w:r>
              <w:rPr>
                <w:rFonts w:ascii="Arial" w:cs="Arial" w:eastAsia="Arial" w:hAnsi="Arial"/>
                <w:sz w:val="16"/>
                <w:szCs w:val="16"/>
                <w:color w:val="auto"/>
              </w:rPr>
              <w:t>Indemnity</w:t>
            </w:r>
          </w:p>
        </w:tc>
        <w:tc>
          <w:tcPr>
            <w:tcW w:w="27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2.24</w:t>
            </w:r>
          </w:p>
        </w:tc>
        <w:tc>
          <w:tcPr>
            <w:tcW w:w="7980" w:type="dxa"/>
            <w:vAlign w:val="bottom"/>
          </w:tcPr>
          <w:p>
            <w:pPr>
              <w:ind w:left="320"/>
              <w:spacing w:after="0"/>
              <w:rPr>
                <w:sz w:val="20"/>
                <w:szCs w:val="20"/>
                <w:color w:val="auto"/>
              </w:rPr>
            </w:pPr>
            <w:r>
              <w:rPr>
                <w:rFonts w:ascii="Arial" w:cs="Arial" w:eastAsia="Arial" w:hAnsi="Arial"/>
                <w:sz w:val="16"/>
                <w:szCs w:val="16"/>
                <w:color w:val="auto"/>
              </w:rPr>
              <w:t>Change of Applicable Lending Office</w:t>
            </w:r>
          </w:p>
        </w:tc>
        <w:tc>
          <w:tcPr>
            <w:tcW w:w="27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2.25</w:t>
            </w:r>
          </w:p>
        </w:tc>
        <w:tc>
          <w:tcPr>
            <w:tcW w:w="7980" w:type="dxa"/>
            <w:vAlign w:val="bottom"/>
          </w:tcPr>
          <w:p>
            <w:pPr>
              <w:ind w:left="320"/>
              <w:spacing w:after="0"/>
              <w:rPr>
                <w:sz w:val="20"/>
                <w:szCs w:val="20"/>
                <w:color w:val="auto"/>
              </w:rPr>
            </w:pPr>
            <w:r>
              <w:rPr>
                <w:rFonts w:ascii="Arial" w:cs="Arial" w:eastAsia="Arial" w:hAnsi="Arial"/>
                <w:sz w:val="16"/>
                <w:szCs w:val="16"/>
                <w:color w:val="auto"/>
              </w:rPr>
              <w:t>Replacement/Termination of Lenders</w:t>
            </w:r>
          </w:p>
        </w:tc>
        <w:tc>
          <w:tcPr>
            <w:tcW w:w="27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2.26</w:t>
            </w:r>
          </w:p>
        </w:tc>
        <w:tc>
          <w:tcPr>
            <w:tcW w:w="7980" w:type="dxa"/>
            <w:vAlign w:val="bottom"/>
          </w:tcPr>
          <w:p>
            <w:pPr>
              <w:ind w:left="320"/>
              <w:spacing w:after="0"/>
              <w:rPr>
                <w:sz w:val="20"/>
                <w:szCs w:val="20"/>
                <w:color w:val="auto"/>
              </w:rPr>
            </w:pPr>
            <w:r>
              <w:rPr>
                <w:rFonts w:ascii="Arial" w:cs="Arial" w:eastAsia="Arial" w:hAnsi="Arial"/>
                <w:sz w:val="16"/>
                <w:szCs w:val="16"/>
                <w:color w:val="auto"/>
              </w:rPr>
              <w:t>Defaulting Lender</w:t>
            </w:r>
          </w:p>
        </w:tc>
        <w:tc>
          <w:tcPr>
            <w:tcW w:w="27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2.27</w:t>
            </w:r>
          </w:p>
        </w:tc>
        <w:tc>
          <w:tcPr>
            <w:tcW w:w="7980" w:type="dxa"/>
            <w:vAlign w:val="bottom"/>
          </w:tcPr>
          <w:p>
            <w:pPr>
              <w:ind w:left="320"/>
              <w:spacing w:after="0"/>
              <w:rPr>
                <w:sz w:val="20"/>
                <w:szCs w:val="20"/>
                <w:color w:val="auto"/>
              </w:rPr>
            </w:pPr>
            <w:r>
              <w:rPr>
                <w:rFonts w:ascii="Arial" w:cs="Arial" w:eastAsia="Arial" w:hAnsi="Arial"/>
                <w:sz w:val="16"/>
                <w:szCs w:val="16"/>
                <w:color w:val="auto"/>
              </w:rPr>
              <w:t>Reallocation of Payments for the Account of Defaulting Lenders</w:t>
            </w:r>
          </w:p>
        </w:tc>
        <w:tc>
          <w:tcPr>
            <w:tcW w:w="27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2.28</w:t>
            </w:r>
          </w:p>
        </w:tc>
        <w:tc>
          <w:tcPr>
            <w:tcW w:w="7980" w:type="dxa"/>
            <w:vAlign w:val="bottom"/>
          </w:tcPr>
          <w:p>
            <w:pPr>
              <w:ind w:left="320"/>
              <w:spacing w:after="0"/>
              <w:rPr>
                <w:sz w:val="20"/>
                <w:szCs w:val="20"/>
                <w:color w:val="auto"/>
              </w:rPr>
            </w:pPr>
            <w:r>
              <w:rPr>
                <w:rFonts w:ascii="Arial" w:cs="Arial" w:eastAsia="Arial" w:hAnsi="Arial"/>
                <w:sz w:val="16"/>
                <w:szCs w:val="16"/>
                <w:color w:val="auto"/>
              </w:rPr>
              <w:t>New Local Facilities</w:t>
            </w:r>
          </w:p>
        </w:tc>
        <w:tc>
          <w:tcPr>
            <w:tcW w:w="27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2.29</w:t>
            </w:r>
          </w:p>
        </w:tc>
        <w:tc>
          <w:tcPr>
            <w:tcW w:w="7980" w:type="dxa"/>
            <w:vAlign w:val="bottom"/>
          </w:tcPr>
          <w:p>
            <w:pPr>
              <w:ind w:left="320"/>
              <w:spacing w:after="0"/>
              <w:rPr>
                <w:sz w:val="20"/>
                <w:szCs w:val="20"/>
                <w:color w:val="auto"/>
              </w:rPr>
            </w:pPr>
            <w:r>
              <w:rPr>
                <w:rFonts w:ascii="Arial" w:cs="Arial" w:eastAsia="Arial" w:hAnsi="Arial"/>
                <w:sz w:val="16"/>
                <w:szCs w:val="16"/>
                <w:color w:val="auto"/>
              </w:rPr>
              <w:t>Incremental Commitments/Facilities</w:t>
            </w:r>
          </w:p>
        </w:tc>
        <w:tc>
          <w:tcPr>
            <w:tcW w:w="27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2.30</w:t>
            </w:r>
          </w:p>
        </w:tc>
        <w:tc>
          <w:tcPr>
            <w:tcW w:w="7980" w:type="dxa"/>
            <w:vAlign w:val="bottom"/>
          </w:tcPr>
          <w:p>
            <w:pPr>
              <w:ind w:left="320"/>
              <w:spacing w:after="0"/>
              <w:rPr>
                <w:sz w:val="20"/>
                <w:szCs w:val="20"/>
                <w:color w:val="auto"/>
              </w:rPr>
            </w:pPr>
            <w:r>
              <w:rPr>
                <w:rFonts w:ascii="Arial" w:cs="Arial" w:eastAsia="Arial" w:hAnsi="Arial"/>
                <w:sz w:val="16"/>
                <w:szCs w:val="16"/>
                <w:color w:val="auto"/>
              </w:rPr>
              <w:t>Termination Date Extension</w:t>
            </w:r>
          </w:p>
        </w:tc>
        <w:tc>
          <w:tcPr>
            <w:tcW w:w="27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33"/>
        </w:trPr>
        <w:tc>
          <w:tcPr>
            <w:tcW w:w="8580" w:type="dxa"/>
            <w:vAlign w:val="bottom"/>
            <w:gridSpan w:val="2"/>
          </w:tcPr>
          <w:p>
            <w:pPr>
              <w:spacing w:after="0"/>
              <w:rPr>
                <w:sz w:val="20"/>
                <w:szCs w:val="20"/>
                <w:color w:val="auto"/>
              </w:rPr>
            </w:pPr>
            <w:r>
              <w:rPr>
                <w:rFonts w:ascii="Arial" w:cs="Arial" w:eastAsia="Arial" w:hAnsi="Arial"/>
                <w:sz w:val="16"/>
                <w:szCs w:val="16"/>
                <w:color w:val="auto"/>
              </w:rPr>
              <w:t>SECTION 3 LETTERS OF CREDIT</w:t>
            </w:r>
          </w:p>
        </w:tc>
        <w:tc>
          <w:tcPr>
            <w:tcW w:w="27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3.1</w:t>
            </w:r>
          </w:p>
        </w:tc>
        <w:tc>
          <w:tcPr>
            <w:tcW w:w="7980" w:type="dxa"/>
            <w:vAlign w:val="bottom"/>
          </w:tcPr>
          <w:p>
            <w:pPr>
              <w:ind w:left="320"/>
              <w:spacing w:after="0"/>
              <w:rPr>
                <w:sz w:val="20"/>
                <w:szCs w:val="20"/>
                <w:color w:val="auto"/>
              </w:rPr>
            </w:pPr>
            <w:r>
              <w:rPr>
                <w:rFonts w:ascii="Arial" w:cs="Arial" w:eastAsia="Arial" w:hAnsi="Arial"/>
                <w:sz w:val="16"/>
                <w:szCs w:val="16"/>
                <w:color w:val="auto"/>
              </w:rPr>
              <w:t>L/C Commitment</w:t>
            </w:r>
          </w:p>
        </w:tc>
        <w:tc>
          <w:tcPr>
            <w:tcW w:w="27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3.2</w:t>
            </w:r>
          </w:p>
        </w:tc>
        <w:tc>
          <w:tcPr>
            <w:tcW w:w="7980" w:type="dxa"/>
            <w:vAlign w:val="bottom"/>
          </w:tcPr>
          <w:p>
            <w:pPr>
              <w:ind w:left="320"/>
              <w:spacing w:after="0"/>
              <w:rPr>
                <w:sz w:val="20"/>
                <w:szCs w:val="20"/>
                <w:color w:val="auto"/>
              </w:rPr>
            </w:pPr>
            <w:r>
              <w:rPr>
                <w:rFonts w:ascii="Arial" w:cs="Arial" w:eastAsia="Arial" w:hAnsi="Arial"/>
                <w:sz w:val="16"/>
                <w:szCs w:val="16"/>
                <w:color w:val="auto"/>
              </w:rPr>
              <w:t>Procedure for Issuance of Letters of Credit</w:t>
            </w:r>
          </w:p>
        </w:tc>
        <w:tc>
          <w:tcPr>
            <w:tcW w:w="27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3.3</w:t>
            </w:r>
          </w:p>
        </w:tc>
        <w:tc>
          <w:tcPr>
            <w:tcW w:w="7980" w:type="dxa"/>
            <w:vAlign w:val="bottom"/>
          </w:tcPr>
          <w:p>
            <w:pPr>
              <w:ind w:left="320"/>
              <w:spacing w:after="0"/>
              <w:rPr>
                <w:sz w:val="20"/>
                <w:szCs w:val="20"/>
                <w:color w:val="auto"/>
              </w:rPr>
            </w:pPr>
            <w:r>
              <w:rPr>
                <w:rFonts w:ascii="Arial" w:cs="Arial" w:eastAsia="Arial" w:hAnsi="Arial"/>
                <w:sz w:val="16"/>
                <w:szCs w:val="16"/>
                <w:color w:val="auto"/>
              </w:rPr>
              <w:t>Fees and Other Charges</w:t>
            </w:r>
          </w:p>
        </w:tc>
        <w:tc>
          <w:tcPr>
            <w:tcW w:w="27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3.4</w:t>
            </w:r>
          </w:p>
        </w:tc>
        <w:tc>
          <w:tcPr>
            <w:tcW w:w="7980" w:type="dxa"/>
            <w:vAlign w:val="bottom"/>
          </w:tcPr>
          <w:p>
            <w:pPr>
              <w:ind w:left="320"/>
              <w:spacing w:after="0"/>
              <w:rPr>
                <w:sz w:val="20"/>
                <w:szCs w:val="20"/>
                <w:color w:val="auto"/>
              </w:rPr>
            </w:pPr>
            <w:r>
              <w:rPr>
                <w:rFonts w:ascii="Arial" w:cs="Arial" w:eastAsia="Arial" w:hAnsi="Arial"/>
                <w:sz w:val="16"/>
                <w:szCs w:val="16"/>
                <w:color w:val="auto"/>
              </w:rPr>
              <w:t>L/C Participations</w:t>
            </w:r>
          </w:p>
        </w:tc>
        <w:tc>
          <w:tcPr>
            <w:tcW w:w="27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3.5</w:t>
            </w:r>
          </w:p>
        </w:tc>
        <w:tc>
          <w:tcPr>
            <w:tcW w:w="7980" w:type="dxa"/>
            <w:vAlign w:val="bottom"/>
          </w:tcPr>
          <w:p>
            <w:pPr>
              <w:ind w:left="320"/>
              <w:spacing w:after="0"/>
              <w:rPr>
                <w:sz w:val="20"/>
                <w:szCs w:val="20"/>
                <w:color w:val="auto"/>
              </w:rPr>
            </w:pPr>
            <w:r>
              <w:rPr>
                <w:rFonts w:ascii="Arial" w:cs="Arial" w:eastAsia="Arial" w:hAnsi="Arial"/>
                <w:sz w:val="16"/>
                <w:szCs w:val="16"/>
                <w:color w:val="auto"/>
              </w:rPr>
              <w:t>Reimbursement Obligation of the Company and the Applicable Account Party</w:t>
            </w:r>
          </w:p>
        </w:tc>
        <w:tc>
          <w:tcPr>
            <w:tcW w:w="27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3.6</w:t>
            </w:r>
          </w:p>
        </w:tc>
        <w:tc>
          <w:tcPr>
            <w:tcW w:w="7980" w:type="dxa"/>
            <w:vAlign w:val="bottom"/>
          </w:tcPr>
          <w:p>
            <w:pPr>
              <w:ind w:left="320"/>
              <w:spacing w:after="0"/>
              <w:rPr>
                <w:sz w:val="20"/>
                <w:szCs w:val="20"/>
                <w:color w:val="auto"/>
              </w:rPr>
            </w:pPr>
            <w:r>
              <w:rPr>
                <w:rFonts w:ascii="Arial" w:cs="Arial" w:eastAsia="Arial" w:hAnsi="Arial"/>
                <w:sz w:val="16"/>
                <w:szCs w:val="16"/>
                <w:color w:val="auto"/>
              </w:rPr>
              <w:t>Obligations Absolute</w:t>
            </w:r>
          </w:p>
        </w:tc>
        <w:tc>
          <w:tcPr>
            <w:tcW w:w="27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3.7</w:t>
            </w:r>
          </w:p>
        </w:tc>
        <w:tc>
          <w:tcPr>
            <w:tcW w:w="7980" w:type="dxa"/>
            <w:vAlign w:val="bottom"/>
          </w:tcPr>
          <w:p>
            <w:pPr>
              <w:ind w:left="320"/>
              <w:spacing w:after="0"/>
              <w:rPr>
                <w:sz w:val="20"/>
                <w:szCs w:val="20"/>
                <w:color w:val="auto"/>
              </w:rPr>
            </w:pPr>
            <w:r>
              <w:rPr>
                <w:rFonts w:ascii="Arial" w:cs="Arial" w:eastAsia="Arial" w:hAnsi="Arial"/>
                <w:sz w:val="16"/>
                <w:szCs w:val="16"/>
                <w:color w:val="auto"/>
              </w:rPr>
              <w:t>Letter of Credit Payments</w:t>
            </w:r>
          </w:p>
        </w:tc>
        <w:tc>
          <w:tcPr>
            <w:tcW w:w="27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3.8</w:t>
            </w:r>
          </w:p>
        </w:tc>
        <w:tc>
          <w:tcPr>
            <w:tcW w:w="7980" w:type="dxa"/>
            <w:vAlign w:val="bottom"/>
          </w:tcPr>
          <w:p>
            <w:pPr>
              <w:ind w:left="320"/>
              <w:spacing w:after="0"/>
              <w:rPr>
                <w:sz w:val="20"/>
                <w:szCs w:val="20"/>
                <w:color w:val="auto"/>
              </w:rPr>
            </w:pPr>
            <w:r>
              <w:rPr>
                <w:rFonts w:ascii="Arial" w:cs="Arial" w:eastAsia="Arial" w:hAnsi="Arial"/>
                <w:sz w:val="16"/>
                <w:szCs w:val="16"/>
                <w:color w:val="auto"/>
              </w:rPr>
              <w:t>Applications</w:t>
            </w:r>
          </w:p>
        </w:tc>
        <w:tc>
          <w:tcPr>
            <w:tcW w:w="27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3.9</w:t>
            </w:r>
          </w:p>
        </w:tc>
        <w:tc>
          <w:tcPr>
            <w:tcW w:w="7980" w:type="dxa"/>
            <w:vAlign w:val="bottom"/>
          </w:tcPr>
          <w:p>
            <w:pPr>
              <w:ind w:left="320"/>
              <w:spacing w:after="0"/>
              <w:rPr>
                <w:sz w:val="20"/>
                <w:szCs w:val="20"/>
                <w:color w:val="auto"/>
              </w:rPr>
            </w:pPr>
            <w:r>
              <w:rPr>
                <w:rFonts w:ascii="Arial" w:cs="Arial" w:eastAsia="Arial" w:hAnsi="Arial"/>
                <w:sz w:val="16"/>
                <w:szCs w:val="16"/>
                <w:color w:val="auto"/>
              </w:rPr>
              <w:t>Collateralization</w:t>
            </w:r>
          </w:p>
        </w:tc>
        <w:tc>
          <w:tcPr>
            <w:tcW w:w="27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3.10</w:t>
            </w:r>
          </w:p>
        </w:tc>
        <w:tc>
          <w:tcPr>
            <w:tcW w:w="7980" w:type="dxa"/>
            <w:vAlign w:val="bottom"/>
          </w:tcPr>
          <w:p>
            <w:pPr>
              <w:ind w:left="320"/>
              <w:spacing w:after="0"/>
              <w:rPr>
                <w:sz w:val="20"/>
                <w:szCs w:val="20"/>
                <w:color w:val="auto"/>
              </w:rPr>
            </w:pPr>
            <w:r>
              <w:rPr>
                <w:rFonts w:ascii="Arial" w:cs="Arial" w:eastAsia="Arial" w:hAnsi="Arial"/>
                <w:sz w:val="16"/>
                <w:szCs w:val="16"/>
                <w:color w:val="auto"/>
              </w:rPr>
              <w:t>New Issuing Lenders; L/C Commitments</w:t>
            </w:r>
          </w:p>
        </w:tc>
        <w:tc>
          <w:tcPr>
            <w:tcW w:w="27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3.11</w:t>
            </w:r>
          </w:p>
        </w:tc>
        <w:tc>
          <w:tcPr>
            <w:tcW w:w="7980" w:type="dxa"/>
            <w:vAlign w:val="bottom"/>
          </w:tcPr>
          <w:p>
            <w:pPr>
              <w:ind w:left="320"/>
              <w:spacing w:after="0"/>
              <w:rPr>
                <w:sz w:val="20"/>
                <w:szCs w:val="20"/>
                <w:color w:val="auto"/>
              </w:rPr>
            </w:pPr>
            <w:r>
              <w:rPr>
                <w:rFonts w:ascii="Arial" w:cs="Arial" w:eastAsia="Arial" w:hAnsi="Arial"/>
                <w:sz w:val="16"/>
                <w:szCs w:val="16"/>
                <w:color w:val="auto"/>
              </w:rPr>
              <w:t>Conflicts</w:t>
            </w:r>
          </w:p>
        </w:tc>
        <w:tc>
          <w:tcPr>
            <w:tcW w:w="27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3"/>
        </w:trPr>
        <w:tc>
          <w:tcPr>
            <w:tcW w:w="8580" w:type="dxa"/>
            <w:vAlign w:val="bottom"/>
            <w:gridSpan w:val="2"/>
          </w:tcPr>
          <w:p>
            <w:pPr>
              <w:spacing w:after="0"/>
              <w:rPr>
                <w:sz w:val="20"/>
                <w:szCs w:val="20"/>
                <w:color w:val="auto"/>
              </w:rPr>
            </w:pPr>
            <w:r>
              <w:rPr>
                <w:rFonts w:ascii="Arial" w:cs="Arial" w:eastAsia="Arial" w:hAnsi="Arial"/>
                <w:sz w:val="16"/>
                <w:szCs w:val="16"/>
                <w:color w:val="auto"/>
              </w:rPr>
              <w:t>SECTION 4 REPRESENTATIONS AND WARRANTIES</w:t>
            </w:r>
          </w:p>
        </w:tc>
        <w:tc>
          <w:tcPr>
            <w:tcW w:w="27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4.1</w:t>
            </w:r>
          </w:p>
        </w:tc>
        <w:tc>
          <w:tcPr>
            <w:tcW w:w="7980" w:type="dxa"/>
            <w:vAlign w:val="bottom"/>
          </w:tcPr>
          <w:p>
            <w:pPr>
              <w:ind w:left="320"/>
              <w:spacing w:after="0"/>
              <w:rPr>
                <w:sz w:val="20"/>
                <w:szCs w:val="20"/>
                <w:color w:val="auto"/>
              </w:rPr>
            </w:pPr>
            <w:r>
              <w:rPr>
                <w:rFonts w:ascii="Arial" w:cs="Arial" w:eastAsia="Arial" w:hAnsi="Arial"/>
                <w:sz w:val="16"/>
                <w:szCs w:val="16"/>
                <w:color w:val="auto"/>
              </w:rPr>
              <w:t>Financial Condition</w:t>
            </w:r>
          </w:p>
        </w:tc>
        <w:tc>
          <w:tcPr>
            <w:tcW w:w="27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4.2</w:t>
            </w:r>
          </w:p>
        </w:tc>
        <w:tc>
          <w:tcPr>
            <w:tcW w:w="7980" w:type="dxa"/>
            <w:vAlign w:val="bottom"/>
          </w:tcPr>
          <w:p>
            <w:pPr>
              <w:ind w:left="320"/>
              <w:spacing w:after="0"/>
              <w:rPr>
                <w:sz w:val="20"/>
                <w:szCs w:val="20"/>
                <w:color w:val="auto"/>
              </w:rPr>
            </w:pPr>
            <w:r>
              <w:rPr>
                <w:rFonts w:ascii="Arial" w:cs="Arial" w:eastAsia="Arial" w:hAnsi="Arial"/>
                <w:sz w:val="16"/>
                <w:szCs w:val="16"/>
                <w:color w:val="auto"/>
              </w:rPr>
              <w:t>No Change</w:t>
            </w:r>
          </w:p>
        </w:tc>
        <w:tc>
          <w:tcPr>
            <w:tcW w:w="27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4.3</w:t>
            </w:r>
          </w:p>
        </w:tc>
        <w:tc>
          <w:tcPr>
            <w:tcW w:w="7980" w:type="dxa"/>
            <w:vAlign w:val="bottom"/>
          </w:tcPr>
          <w:p>
            <w:pPr>
              <w:ind w:left="320"/>
              <w:spacing w:after="0"/>
              <w:rPr>
                <w:sz w:val="20"/>
                <w:szCs w:val="20"/>
                <w:color w:val="auto"/>
              </w:rPr>
            </w:pPr>
            <w:r>
              <w:rPr>
                <w:rFonts w:ascii="Arial" w:cs="Arial" w:eastAsia="Arial" w:hAnsi="Arial"/>
                <w:sz w:val="16"/>
                <w:szCs w:val="16"/>
                <w:color w:val="auto"/>
              </w:rPr>
              <w:t>Existence</w:t>
            </w:r>
          </w:p>
        </w:tc>
        <w:tc>
          <w:tcPr>
            <w:tcW w:w="27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4.4</w:t>
            </w:r>
          </w:p>
        </w:tc>
        <w:tc>
          <w:tcPr>
            <w:tcW w:w="7980" w:type="dxa"/>
            <w:vAlign w:val="bottom"/>
          </w:tcPr>
          <w:p>
            <w:pPr>
              <w:ind w:left="320"/>
              <w:spacing w:after="0"/>
              <w:rPr>
                <w:sz w:val="20"/>
                <w:szCs w:val="20"/>
                <w:color w:val="auto"/>
              </w:rPr>
            </w:pPr>
            <w:r>
              <w:rPr>
                <w:rFonts w:ascii="Arial" w:cs="Arial" w:eastAsia="Arial" w:hAnsi="Arial"/>
                <w:sz w:val="16"/>
                <w:szCs w:val="16"/>
                <w:color w:val="auto"/>
              </w:rPr>
              <w:t>Power; Authorization; Enforceable Obligations</w:t>
            </w:r>
          </w:p>
        </w:tc>
        <w:tc>
          <w:tcPr>
            <w:tcW w:w="27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4.5</w:t>
            </w:r>
          </w:p>
        </w:tc>
        <w:tc>
          <w:tcPr>
            <w:tcW w:w="7980" w:type="dxa"/>
            <w:vAlign w:val="bottom"/>
          </w:tcPr>
          <w:p>
            <w:pPr>
              <w:ind w:left="320"/>
              <w:spacing w:after="0"/>
              <w:rPr>
                <w:sz w:val="20"/>
                <w:szCs w:val="20"/>
                <w:color w:val="auto"/>
              </w:rPr>
            </w:pPr>
            <w:r>
              <w:rPr>
                <w:rFonts w:ascii="Arial" w:cs="Arial" w:eastAsia="Arial" w:hAnsi="Arial"/>
                <w:sz w:val="16"/>
                <w:szCs w:val="16"/>
                <w:color w:val="auto"/>
              </w:rPr>
              <w:t>No Legal Bar</w:t>
            </w:r>
          </w:p>
        </w:tc>
        <w:tc>
          <w:tcPr>
            <w:tcW w:w="27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4.6</w:t>
            </w:r>
          </w:p>
        </w:tc>
        <w:tc>
          <w:tcPr>
            <w:tcW w:w="7980" w:type="dxa"/>
            <w:vAlign w:val="bottom"/>
          </w:tcPr>
          <w:p>
            <w:pPr>
              <w:ind w:left="320"/>
              <w:spacing w:after="0"/>
              <w:rPr>
                <w:sz w:val="20"/>
                <w:szCs w:val="20"/>
                <w:color w:val="auto"/>
              </w:rPr>
            </w:pPr>
            <w:r>
              <w:rPr>
                <w:rFonts w:ascii="Arial" w:cs="Arial" w:eastAsia="Arial" w:hAnsi="Arial"/>
                <w:sz w:val="16"/>
                <w:szCs w:val="16"/>
                <w:color w:val="auto"/>
              </w:rPr>
              <w:t>Litigation</w:t>
            </w:r>
          </w:p>
        </w:tc>
        <w:tc>
          <w:tcPr>
            <w:tcW w:w="27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4.7</w:t>
            </w:r>
          </w:p>
        </w:tc>
        <w:tc>
          <w:tcPr>
            <w:tcW w:w="7980" w:type="dxa"/>
            <w:vAlign w:val="bottom"/>
          </w:tcPr>
          <w:p>
            <w:pPr>
              <w:ind w:left="320"/>
              <w:spacing w:after="0"/>
              <w:rPr>
                <w:sz w:val="20"/>
                <w:szCs w:val="20"/>
                <w:color w:val="auto"/>
              </w:rPr>
            </w:pPr>
            <w:r>
              <w:rPr>
                <w:rFonts w:ascii="Arial" w:cs="Arial" w:eastAsia="Arial" w:hAnsi="Arial"/>
                <w:sz w:val="16"/>
                <w:szCs w:val="16"/>
                <w:color w:val="auto"/>
              </w:rPr>
              <w:t>No Default</w:t>
            </w:r>
          </w:p>
        </w:tc>
        <w:tc>
          <w:tcPr>
            <w:tcW w:w="27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4.8</w:t>
            </w:r>
          </w:p>
        </w:tc>
        <w:tc>
          <w:tcPr>
            <w:tcW w:w="7980" w:type="dxa"/>
            <w:vAlign w:val="bottom"/>
          </w:tcPr>
          <w:p>
            <w:pPr>
              <w:ind w:left="320"/>
              <w:spacing w:after="0"/>
              <w:rPr>
                <w:sz w:val="20"/>
                <w:szCs w:val="20"/>
                <w:color w:val="auto"/>
              </w:rPr>
            </w:pPr>
            <w:r>
              <w:rPr>
                <w:rFonts w:ascii="Arial" w:cs="Arial" w:eastAsia="Arial" w:hAnsi="Arial"/>
                <w:sz w:val="16"/>
                <w:szCs w:val="16"/>
                <w:color w:val="auto"/>
              </w:rPr>
              <w:t>Ownership of Property</w:t>
            </w:r>
          </w:p>
        </w:tc>
        <w:tc>
          <w:tcPr>
            <w:tcW w:w="27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4.9</w:t>
            </w:r>
          </w:p>
        </w:tc>
        <w:tc>
          <w:tcPr>
            <w:tcW w:w="7980" w:type="dxa"/>
            <w:vAlign w:val="bottom"/>
          </w:tcPr>
          <w:p>
            <w:pPr>
              <w:ind w:left="320"/>
              <w:spacing w:after="0"/>
              <w:rPr>
                <w:sz w:val="20"/>
                <w:szCs w:val="20"/>
                <w:color w:val="auto"/>
              </w:rPr>
            </w:pPr>
            <w:r>
              <w:rPr>
                <w:rFonts w:ascii="Arial" w:cs="Arial" w:eastAsia="Arial" w:hAnsi="Arial"/>
                <w:sz w:val="16"/>
                <w:szCs w:val="16"/>
                <w:color w:val="auto"/>
              </w:rPr>
              <w:t>Intellectual Property</w:t>
            </w:r>
          </w:p>
        </w:tc>
        <w:tc>
          <w:tcPr>
            <w:tcW w:w="2720" w:type="dxa"/>
            <w:vAlign w:val="bottom"/>
          </w:tcPr>
          <w:p>
            <w:pPr>
              <w:jc w:val="right"/>
              <w:spacing w:after="0"/>
              <w:rPr>
                <w:sz w:val="20"/>
                <w:szCs w:val="20"/>
                <w:color w:val="auto"/>
              </w:rPr>
            </w:pPr>
            <w:r>
              <w:rPr>
                <w:rFonts w:ascii="Arial" w:cs="Arial" w:eastAsia="Arial" w:hAnsi="Arial"/>
                <w:sz w:val="16"/>
                <w:szCs w:val="16"/>
                <w:color w:val="auto"/>
              </w:rPr>
              <w:t>65</w:t>
            </w:r>
          </w:p>
        </w:tc>
      </w:tr>
    </w:tbl>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340"/>
          </w:cols>
          <w:pgMar w:left="220" w:top="258" w:right="339" w:bottom="1440" w:gutter="0" w:footer="0" w:header="0"/>
        </w:sectPr>
      </w:pPr>
    </w:p>
    <w:bookmarkStart w:id="202" w:name="page203"/>
    <w:bookmarkEnd w:id="202"/>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6"/>
                <w:szCs w:val="16"/>
                <w:color w:val="auto"/>
              </w:rPr>
              <w:t>4.10</w:t>
            </w:r>
          </w:p>
        </w:tc>
        <w:tc>
          <w:tcPr>
            <w:tcW w:w="6720" w:type="dxa"/>
            <w:vAlign w:val="bottom"/>
          </w:tcPr>
          <w:p>
            <w:pPr>
              <w:ind w:left="320"/>
              <w:spacing w:after="0"/>
              <w:rPr>
                <w:sz w:val="20"/>
                <w:szCs w:val="20"/>
                <w:color w:val="auto"/>
              </w:rPr>
            </w:pPr>
            <w:r>
              <w:rPr>
                <w:rFonts w:ascii="Arial" w:cs="Arial" w:eastAsia="Arial" w:hAnsi="Arial"/>
                <w:sz w:val="16"/>
                <w:szCs w:val="16"/>
                <w:color w:val="auto"/>
              </w:rPr>
              <w:t>Federal Regulations</w:t>
            </w:r>
          </w:p>
        </w:tc>
        <w:tc>
          <w:tcPr>
            <w:tcW w:w="39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4.11</w:t>
            </w:r>
          </w:p>
        </w:tc>
        <w:tc>
          <w:tcPr>
            <w:tcW w:w="6720" w:type="dxa"/>
            <w:vAlign w:val="bottom"/>
          </w:tcPr>
          <w:p>
            <w:pPr>
              <w:ind w:left="320"/>
              <w:spacing w:after="0"/>
              <w:rPr>
                <w:sz w:val="20"/>
                <w:szCs w:val="20"/>
                <w:color w:val="auto"/>
              </w:rPr>
            </w:pPr>
            <w:r>
              <w:rPr>
                <w:rFonts w:ascii="Arial" w:cs="Arial" w:eastAsia="Arial" w:hAnsi="Arial"/>
                <w:sz w:val="16"/>
                <w:szCs w:val="16"/>
                <w:color w:val="auto"/>
              </w:rPr>
              <w:t>ERISA</w:t>
            </w:r>
          </w:p>
        </w:tc>
        <w:tc>
          <w:tcPr>
            <w:tcW w:w="39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4.12</w:t>
            </w:r>
          </w:p>
        </w:tc>
        <w:tc>
          <w:tcPr>
            <w:tcW w:w="6720" w:type="dxa"/>
            <w:vAlign w:val="bottom"/>
          </w:tcPr>
          <w:p>
            <w:pPr>
              <w:ind w:left="320"/>
              <w:spacing w:after="0"/>
              <w:rPr>
                <w:sz w:val="20"/>
                <w:szCs w:val="20"/>
                <w:color w:val="auto"/>
              </w:rPr>
            </w:pPr>
            <w:r>
              <w:rPr>
                <w:rFonts w:ascii="Arial" w:cs="Arial" w:eastAsia="Arial" w:hAnsi="Arial"/>
                <w:sz w:val="16"/>
                <w:szCs w:val="16"/>
                <w:color w:val="auto"/>
              </w:rPr>
              <w:t>Investment Company Act</w:t>
            </w:r>
          </w:p>
        </w:tc>
        <w:tc>
          <w:tcPr>
            <w:tcW w:w="39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4.13</w:t>
            </w:r>
          </w:p>
        </w:tc>
        <w:tc>
          <w:tcPr>
            <w:tcW w:w="6720" w:type="dxa"/>
            <w:vAlign w:val="bottom"/>
          </w:tcPr>
          <w:p>
            <w:pPr>
              <w:ind w:left="320"/>
              <w:spacing w:after="0"/>
              <w:rPr>
                <w:sz w:val="20"/>
                <w:szCs w:val="20"/>
                <w:color w:val="auto"/>
              </w:rPr>
            </w:pPr>
            <w:r>
              <w:rPr>
                <w:rFonts w:ascii="Arial" w:cs="Arial" w:eastAsia="Arial" w:hAnsi="Arial"/>
                <w:sz w:val="16"/>
                <w:szCs w:val="16"/>
                <w:color w:val="auto"/>
              </w:rPr>
              <w:t>Ownership of the Subsidiary Borrowers</w:t>
            </w:r>
          </w:p>
        </w:tc>
        <w:tc>
          <w:tcPr>
            <w:tcW w:w="39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4.14</w:t>
            </w:r>
          </w:p>
        </w:tc>
        <w:tc>
          <w:tcPr>
            <w:tcW w:w="6720" w:type="dxa"/>
            <w:vAlign w:val="bottom"/>
          </w:tcPr>
          <w:p>
            <w:pPr>
              <w:ind w:left="320"/>
              <w:spacing w:after="0"/>
              <w:rPr>
                <w:sz w:val="20"/>
                <w:szCs w:val="20"/>
                <w:color w:val="auto"/>
              </w:rPr>
            </w:pPr>
            <w:r>
              <w:rPr>
                <w:rFonts w:ascii="Arial" w:cs="Arial" w:eastAsia="Arial" w:hAnsi="Arial"/>
                <w:sz w:val="16"/>
                <w:szCs w:val="16"/>
                <w:color w:val="auto"/>
              </w:rPr>
              <w:t>[Reserved]</w:t>
            </w:r>
          </w:p>
        </w:tc>
        <w:tc>
          <w:tcPr>
            <w:tcW w:w="39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4.15</w:t>
            </w:r>
          </w:p>
        </w:tc>
        <w:tc>
          <w:tcPr>
            <w:tcW w:w="6720" w:type="dxa"/>
            <w:vAlign w:val="bottom"/>
          </w:tcPr>
          <w:p>
            <w:pPr>
              <w:ind w:left="320"/>
              <w:spacing w:after="0"/>
              <w:rPr>
                <w:sz w:val="20"/>
                <w:szCs w:val="20"/>
                <w:color w:val="auto"/>
              </w:rPr>
            </w:pPr>
            <w:r>
              <w:rPr>
                <w:rFonts w:ascii="Arial" w:cs="Arial" w:eastAsia="Arial" w:hAnsi="Arial"/>
                <w:sz w:val="16"/>
                <w:szCs w:val="16"/>
                <w:color w:val="auto"/>
              </w:rPr>
              <w:t>Use of Proceeds</w:t>
            </w:r>
          </w:p>
        </w:tc>
        <w:tc>
          <w:tcPr>
            <w:tcW w:w="39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4.16</w:t>
            </w:r>
          </w:p>
        </w:tc>
        <w:tc>
          <w:tcPr>
            <w:tcW w:w="6720" w:type="dxa"/>
            <w:vAlign w:val="bottom"/>
          </w:tcPr>
          <w:p>
            <w:pPr>
              <w:ind w:left="320"/>
              <w:spacing w:after="0"/>
              <w:rPr>
                <w:sz w:val="20"/>
                <w:szCs w:val="20"/>
                <w:color w:val="auto"/>
              </w:rPr>
            </w:pPr>
            <w:r>
              <w:rPr>
                <w:rFonts w:ascii="Arial" w:cs="Arial" w:eastAsia="Arial" w:hAnsi="Arial"/>
                <w:sz w:val="16"/>
                <w:szCs w:val="16"/>
                <w:color w:val="auto"/>
              </w:rPr>
              <w:t>Anti-Corruption Laws and Sanctions</w:t>
            </w:r>
          </w:p>
        </w:tc>
        <w:tc>
          <w:tcPr>
            <w:tcW w:w="39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3"/>
        </w:trPr>
        <w:tc>
          <w:tcPr>
            <w:tcW w:w="7320" w:type="dxa"/>
            <w:vAlign w:val="bottom"/>
            <w:gridSpan w:val="2"/>
          </w:tcPr>
          <w:p>
            <w:pPr>
              <w:spacing w:after="0"/>
              <w:rPr>
                <w:sz w:val="20"/>
                <w:szCs w:val="20"/>
                <w:color w:val="auto"/>
              </w:rPr>
            </w:pPr>
            <w:r>
              <w:rPr>
                <w:rFonts w:ascii="Arial" w:cs="Arial" w:eastAsia="Arial" w:hAnsi="Arial"/>
                <w:sz w:val="16"/>
                <w:szCs w:val="16"/>
                <w:color w:val="auto"/>
              </w:rPr>
              <w:t>SECTION 5 CONDITIONS PRECEDENT</w:t>
            </w:r>
          </w:p>
        </w:tc>
        <w:tc>
          <w:tcPr>
            <w:tcW w:w="39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5.1</w:t>
            </w:r>
          </w:p>
        </w:tc>
        <w:tc>
          <w:tcPr>
            <w:tcW w:w="6720" w:type="dxa"/>
            <w:vAlign w:val="bottom"/>
          </w:tcPr>
          <w:p>
            <w:pPr>
              <w:ind w:left="320"/>
              <w:spacing w:after="0"/>
              <w:rPr>
                <w:sz w:val="20"/>
                <w:szCs w:val="20"/>
                <w:color w:val="auto"/>
              </w:rPr>
            </w:pPr>
            <w:r>
              <w:rPr>
                <w:rFonts w:ascii="Arial" w:cs="Arial" w:eastAsia="Arial" w:hAnsi="Arial"/>
                <w:sz w:val="16"/>
                <w:szCs w:val="16"/>
                <w:color w:val="auto"/>
              </w:rPr>
              <w:t>Conditions to Closing Date</w:t>
            </w:r>
          </w:p>
        </w:tc>
        <w:tc>
          <w:tcPr>
            <w:tcW w:w="39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5.2</w:t>
            </w:r>
          </w:p>
        </w:tc>
        <w:tc>
          <w:tcPr>
            <w:tcW w:w="6720" w:type="dxa"/>
            <w:vAlign w:val="bottom"/>
          </w:tcPr>
          <w:p>
            <w:pPr>
              <w:ind w:left="320"/>
              <w:spacing w:after="0"/>
              <w:rPr>
                <w:sz w:val="20"/>
                <w:szCs w:val="20"/>
                <w:color w:val="auto"/>
              </w:rPr>
            </w:pPr>
            <w:r>
              <w:rPr>
                <w:rFonts w:ascii="Arial" w:cs="Arial" w:eastAsia="Arial" w:hAnsi="Arial"/>
                <w:sz w:val="16"/>
                <w:szCs w:val="16"/>
                <w:color w:val="auto"/>
              </w:rPr>
              <w:t>Conditions to Each Extension of Credit</w:t>
            </w:r>
          </w:p>
        </w:tc>
        <w:tc>
          <w:tcPr>
            <w:tcW w:w="39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33"/>
        </w:trPr>
        <w:tc>
          <w:tcPr>
            <w:tcW w:w="7320" w:type="dxa"/>
            <w:vAlign w:val="bottom"/>
            <w:gridSpan w:val="2"/>
          </w:tcPr>
          <w:p>
            <w:pPr>
              <w:spacing w:after="0"/>
              <w:rPr>
                <w:sz w:val="20"/>
                <w:szCs w:val="20"/>
                <w:color w:val="auto"/>
              </w:rPr>
            </w:pPr>
            <w:r>
              <w:rPr>
                <w:rFonts w:ascii="Arial" w:cs="Arial" w:eastAsia="Arial" w:hAnsi="Arial"/>
                <w:sz w:val="16"/>
                <w:szCs w:val="16"/>
                <w:color w:val="auto"/>
              </w:rPr>
              <w:t>SECTION 6 AFFIRMATIVE COVENANTS</w:t>
            </w:r>
          </w:p>
        </w:tc>
        <w:tc>
          <w:tcPr>
            <w:tcW w:w="39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6.1</w:t>
            </w:r>
          </w:p>
        </w:tc>
        <w:tc>
          <w:tcPr>
            <w:tcW w:w="6720" w:type="dxa"/>
            <w:vAlign w:val="bottom"/>
          </w:tcPr>
          <w:p>
            <w:pPr>
              <w:ind w:left="320"/>
              <w:spacing w:after="0"/>
              <w:rPr>
                <w:sz w:val="20"/>
                <w:szCs w:val="20"/>
                <w:color w:val="auto"/>
              </w:rPr>
            </w:pPr>
            <w:r>
              <w:rPr>
                <w:rFonts w:ascii="Arial" w:cs="Arial" w:eastAsia="Arial" w:hAnsi="Arial"/>
                <w:sz w:val="16"/>
                <w:szCs w:val="16"/>
                <w:color w:val="auto"/>
              </w:rPr>
              <w:t>Financial Statements</w:t>
            </w:r>
          </w:p>
        </w:tc>
        <w:tc>
          <w:tcPr>
            <w:tcW w:w="39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6.2</w:t>
            </w:r>
          </w:p>
        </w:tc>
        <w:tc>
          <w:tcPr>
            <w:tcW w:w="6720" w:type="dxa"/>
            <w:vAlign w:val="bottom"/>
          </w:tcPr>
          <w:p>
            <w:pPr>
              <w:ind w:left="320"/>
              <w:spacing w:after="0"/>
              <w:rPr>
                <w:sz w:val="20"/>
                <w:szCs w:val="20"/>
                <w:color w:val="auto"/>
              </w:rPr>
            </w:pPr>
            <w:r>
              <w:rPr>
                <w:rFonts w:ascii="Arial" w:cs="Arial" w:eastAsia="Arial" w:hAnsi="Arial"/>
                <w:sz w:val="16"/>
                <w:szCs w:val="16"/>
                <w:color w:val="auto"/>
              </w:rPr>
              <w:t>Compliance Certificates</w:t>
            </w:r>
          </w:p>
        </w:tc>
        <w:tc>
          <w:tcPr>
            <w:tcW w:w="39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6.3</w:t>
            </w:r>
          </w:p>
        </w:tc>
        <w:tc>
          <w:tcPr>
            <w:tcW w:w="6720" w:type="dxa"/>
            <w:vAlign w:val="bottom"/>
          </w:tcPr>
          <w:p>
            <w:pPr>
              <w:ind w:left="320"/>
              <w:spacing w:after="0"/>
              <w:rPr>
                <w:sz w:val="20"/>
                <w:szCs w:val="20"/>
                <w:color w:val="auto"/>
              </w:rPr>
            </w:pPr>
            <w:r>
              <w:rPr>
                <w:rFonts w:ascii="Arial" w:cs="Arial" w:eastAsia="Arial" w:hAnsi="Arial"/>
                <w:sz w:val="16"/>
                <w:szCs w:val="16"/>
                <w:color w:val="auto"/>
              </w:rPr>
              <w:t>Maintenance of Business; Existence</w:t>
            </w:r>
          </w:p>
        </w:tc>
        <w:tc>
          <w:tcPr>
            <w:tcW w:w="39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6.4</w:t>
            </w:r>
          </w:p>
        </w:tc>
        <w:tc>
          <w:tcPr>
            <w:tcW w:w="6720" w:type="dxa"/>
            <w:vAlign w:val="bottom"/>
          </w:tcPr>
          <w:p>
            <w:pPr>
              <w:ind w:left="320"/>
              <w:spacing w:after="0"/>
              <w:rPr>
                <w:sz w:val="20"/>
                <w:szCs w:val="20"/>
                <w:color w:val="auto"/>
              </w:rPr>
            </w:pPr>
            <w:r>
              <w:rPr>
                <w:rFonts w:ascii="Arial" w:cs="Arial" w:eastAsia="Arial" w:hAnsi="Arial"/>
                <w:sz w:val="16"/>
                <w:szCs w:val="16"/>
                <w:color w:val="auto"/>
              </w:rPr>
              <w:t>Maintenance of Insurance</w:t>
            </w:r>
          </w:p>
        </w:tc>
        <w:tc>
          <w:tcPr>
            <w:tcW w:w="39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6.5</w:t>
            </w:r>
          </w:p>
        </w:tc>
        <w:tc>
          <w:tcPr>
            <w:tcW w:w="6720" w:type="dxa"/>
            <w:vAlign w:val="bottom"/>
          </w:tcPr>
          <w:p>
            <w:pPr>
              <w:ind w:left="320"/>
              <w:spacing w:after="0"/>
              <w:rPr>
                <w:sz w:val="20"/>
                <w:szCs w:val="20"/>
                <w:color w:val="auto"/>
              </w:rPr>
            </w:pPr>
            <w:r>
              <w:rPr>
                <w:rFonts w:ascii="Arial" w:cs="Arial" w:eastAsia="Arial" w:hAnsi="Arial"/>
                <w:sz w:val="16"/>
                <w:szCs w:val="16"/>
                <w:color w:val="auto"/>
              </w:rPr>
              <w:t>Notices</w:t>
            </w:r>
          </w:p>
        </w:tc>
        <w:tc>
          <w:tcPr>
            <w:tcW w:w="39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6.6</w:t>
            </w:r>
          </w:p>
        </w:tc>
        <w:tc>
          <w:tcPr>
            <w:tcW w:w="6720" w:type="dxa"/>
            <w:vAlign w:val="bottom"/>
          </w:tcPr>
          <w:p>
            <w:pPr>
              <w:ind w:left="320"/>
              <w:spacing w:after="0"/>
              <w:rPr>
                <w:sz w:val="20"/>
                <w:szCs w:val="20"/>
                <w:color w:val="auto"/>
              </w:rPr>
            </w:pPr>
            <w:r>
              <w:rPr>
                <w:rFonts w:ascii="Arial" w:cs="Arial" w:eastAsia="Arial" w:hAnsi="Arial"/>
                <w:sz w:val="16"/>
                <w:szCs w:val="16"/>
                <w:color w:val="auto"/>
              </w:rPr>
              <w:t>[Reserved].</w:t>
            </w:r>
          </w:p>
        </w:tc>
        <w:tc>
          <w:tcPr>
            <w:tcW w:w="39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6.7</w:t>
            </w:r>
          </w:p>
        </w:tc>
        <w:tc>
          <w:tcPr>
            <w:tcW w:w="6720" w:type="dxa"/>
            <w:vAlign w:val="bottom"/>
          </w:tcPr>
          <w:p>
            <w:pPr>
              <w:ind w:left="320"/>
              <w:spacing w:after="0"/>
              <w:rPr>
                <w:sz w:val="20"/>
                <w:szCs w:val="20"/>
                <w:color w:val="auto"/>
              </w:rPr>
            </w:pPr>
            <w:r>
              <w:rPr>
                <w:rFonts w:ascii="Arial" w:cs="Arial" w:eastAsia="Arial" w:hAnsi="Arial"/>
                <w:sz w:val="16"/>
                <w:szCs w:val="16"/>
                <w:color w:val="auto"/>
              </w:rPr>
              <w:t>Reinstated Guarantors, etc.</w:t>
            </w:r>
          </w:p>
        </w:tc>
        <w:tc>
          <w:tcPr>
            <w:tcW w:w="39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6.8</w:t>
            </w:r>
          </w:p>
        </w:tc>
        <w:tc>
          <w:tcPr>
            <w:tcW w:w="6720" w:type="dxa"/>
            <w:vAlign w:val="bottom"/>
          </w:tcPr>
          <w:p>
            <w:pPr>
              <w:ind w:left="320"/>
              <w:spacing w:after="0"/>
              <w:rPr>
                <w:sz w:val="20"/>
                <w:szCs w:val="20"/>
                <w:color w:val="auto"/>
              </w:rPr>
            </w:pPr>
            <w:r>
              <w:rPr>
                <w:rFonts w:ascii="Arial" w:cs="Arial" w:eastAsia="Arial" w:hAnsi="Arial"/>
                <w:sz w:val="16"/>
                <w:szCs w:val="16"/>
                <w:color w:val="auto"/>
              </w:rPr>
              <w:t>[Reserved].</w:t>
            </w:r>
          </w:p>
        </w:tc>
        <w:tc>
          <w:tcPr>
            <w:tcW w:w="39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6.9</w:t>
            </w:r>
          </w:p>
        </w:tc>
        <w:tc>
          <w:tcPr>
            <w:tcW w:w="6720" w:type="dxa"/>
            <w:vAlign w:val="bottom"/>
          </w:tcPr>
          <w:p>
            <w:pPr>
              <w:ind w:left="320"/>
              <w:spacing w:after="0"/>
              <w:rPr>
                <w:sz w:val="20"/>
                <w:szCs w:val="20"/>
                <w:color w:val="auto"/>
              </w:rPr>
            </w:pPr>
            <w:r>
              <w:rPr>
                <w:rFonts w:ascii="Arial" w:cs="Arial" w:eastAsia="Arial" w:hAnsi="Arial"/>
                <w:sz w:val="16"/>
                <w:szCs w:val="16"/>
                <w:color w:val="auto"/>
              </w:rPr>
              <w:t>Books and Records</w:t>
            </w:r>
          </w:p>
        </w:tc>
        <w:tc>
          <w:tcPr>
            <w:tcW w:w="39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6.10</w:t>
            </w:r>
          </w:p>
        </w:tc>
        <w:tc>
          <w:tcPr>
            <w:tcW w:w="6720" w:type="dxa"/>
            <w:vAlign w:val="bottom"/>
          </w:tcPr>
          <w:p>
            <w:pPr>
              <w:ind w:left="320"/>
              <w:spacing w:after="0"/>
              <w:rPr>
                <w:sz w:val="20"/>
                <w:szCs w:val="20"/>
                <w:color w:val="auto"/>
              </w:rPr>
            </w:pPr>
            <w:r>
              <w:rPr>
                <w:rFonts w:ascii="Arial" w:cs="Arial" w:eastAsia="Arial" w:hAnsi="Arial"/>
                <w:sz w:val="16"/>
                <w:szCs w:val="16"/>
                <w:color w:val="auto"/>
              </w:rPr>
              <w:t>Ratings</w:t>
            </w:r>
          </w:p>
        </w:tc>
        <w:tc>
          <w:tcPr>
            <w:tcW w:w="39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3"/>
        </w:trPr>
        <w:tc>
          <w:tcPr>
            <w:tcW w:w="7320" w:type="dxa"/>
            <w:vAlign w:val="bottom"/>
            <w:gridSpan w:val="2"/>
          </w:tcPr>
          <w:p>
            <w:pPr>
              <w:spacing w:after="0"/>
              <w:rPr>
                <w:sz w:val="20"/>
                <w:szCs w:val="20"/>
                <w:color w:val="auto"/>
              </w:rPr>
            </w:pPr>
            <w:r>
              <w:rPr>
                <w:rFonts w:ascii="Arial" w:cs="Arial" w:eastAsia="Arial" w:hAnsi="Arial"/>
                <w:sz w:val="16"/>
                <w:szCs w:val="16"/>
                <w:color w:val="auto"/>
              </w:rPr>
              <w:t>SECTION 7 NEGATIVE COVENANTS</w:t>
            </w:r>
          </w:p>
        </w:tc>
        <w:tc>
          <w:tcPr>
            <w:tcW w:w="39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7.1</w:t>
            </w:r>
          </w:p>
        </w:tc>
        <w:tc>
          <w:tcPr>
            <w:tcW w:w="6720" w:type="dxa"/>
            <w:vAlign w:val="bottom"/>
          </w:tcPr>
          <w:p>
            <w:pPr>
              <w:ind w:left="320"/>
              <w:spacing w:after="0"/>
              <w:rPr>
                <w:sz w:val="20"/>
                <w:szCs w:val="20"/>
                <w:color w:val="auto"/>
              </w:rPr>
            </w:pPr>
            <w:r>
              <w:rPr>
                <w:rFonts w:ascii="Arial" w:cs="Arial" w:eastAsia="Arial" w:hAnsi="Arial"/>
                <w:sz w:val="16"/>
                <w:szCs w:val="16"/>
                <w:color w:val="auto"/>
              </w:rPr>
              <w:t>[Reserved]</w:t>
            </w:r>
          </w:p>
        </w:tc>
        <w:tc>
          <w:tcPr>
            <w:tcW w:w="39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7.2</w:t>
            </w:r>
          </w:p>
        </w:tc>
        <w:tc>
          <w:tcPr>
            <w:tcW w:w="6720" w:type="dxa"/>
            <w:vAlign w:val="bottom"/>
          </w:tcPr>
          <w:p>
            <w:pPr>
              <w:ind w:left="320"/>
              <w:spacing w:after="0"/>
              <w:rPr>
                <w:sz w:val="20"/>
                <w:szCs w:val="20"/>
                <w:color w:val="auto"/>
              </w:rPr>
            </w:pPr>
            <w:r>
              <w:rPr>
                <w:rFonts w:ascii="Arial" w:cs="Arial" w:eastAsia="Arial" w:hAnsi="Arial"/>
                <w:sz w:val="16"/>
                <w:szCs w:val="16"/>
                <w:color w:val="auto"/>
              </w:rPr>
              <w:t>Minimum Liquidity</w:t>
            </w:r>
          </w:p>
        </w:tc>
        <w:tc>
          <w:tcPr>
            <w:tcW w:w="39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7.3</w:t>
            </w:r>
          </w:p>
        </w:tc>
        <w:tc>
          <w:tcPr>
            <w:tcW w:w="6720" w:type="dxa"/>
            <w:vAlign w:val="bottom"/>
          </w:tcPr>
          <w:p>
            <w:pPr>
              <w:ind w:left="320"/>
              <w:spacing w:after="0"/>
              <w:rPr>
                <w:sz w:val="20"/>
                <w:szCs w:val="20"/>
                <w:color w:val="auto"/>
              </w:rPr>
            </w:pPr>
            <w:r>
              <w:rPr>
                <w:rFonts w:ascii="Arial" w:cs="Arial" w:eastAsia="Arial" w:hAnsi="Arial"/>
                <w:sz w:val="16"/>
                <w:szCs w:val="16"/>
                <w:color w:val="auto"/>
              </w:rPr>
              <w:t>[Reserved]</w:t>
            </w:r>
          </w:p>
        </w:tc>
        <w:tc>
          <w:tcPr>
            <w:tcW w:w="39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7.4</w:t>
            </w:r>
          </w:p>
        </w:tc>
        <w:tc>
          <w:tcPr>
            <w:tcW w:w="6720" w:type="dxa"/>
            <w:vAlign w:val="bottom"/>
          </w:tcPr>
          <w:p>
            <w:pPr>
              <w:ind w:left="320"/>
              <w:spacing w:after="0"/>
              <w:rPr>
                <w:sz w:val="20"/>
                <w:szCs w:val="20"/>
                <w:color w:val="auto"/>
              </w:rPr>
            </w:pPr>
            <w:r>
              <w:rPr>
                <w:rFonts w:ascii="Arial" w:cs="Arial" w:eastAsia="Arial" w:hAnsi="Arial"/>
                <w:sz w:val="16"/>
                <w:szCs w:val="16"/>
                <w:color w:val="auto"/>
              </w:rPr>
              <w:t>Indebtedness</w:t>
            </w:r>
          </w:p>
        </w:tc>
        <w:tc>
          <w:tcPr>
            <w:tcW w:w="39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7.5</w:t>
            </w:r>
          </w:p>
        </w:tc>
        <w:tc>
          <w:tcPr>
            <w:tcW w:w="6720" w:type="dxa"/>
            <w:vAlign w:val="bottom"/>
          </w:tcPr>
          <w:p>
            <w:pPr>
              <w:ind w:left="320"/>
              <w:spacing w:after="0"/>
              <w:rPr>
                <w:sz w:val="20"/>
                <w:szCs w:val="20"/>
                <w:color w:val="auto"/>
              </w:rPr>
            </w:pPr>
            <w:r>
              <w:rPr>
                <w:rFonts w:ascii="Arial" w:cs="Arial" w:eastAsia="Arial" w:hAnsi="Arial"/>
                <w:sz w:val="16"/>
                <w:szCs w:val="16"/>
                <w:color w:val="auto"/>
              </w:rPr>
              <w:t>Asset Sale Restrictions</w:t>
            </w:r>
          </w:p>
        </w:tc>
        <w:tc>
          <w:tcPr>
            <w:tcW w:w="39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7.6</w:t>
            </w:r>
          </w:p>
        </w:tc>
        <w:tc>
          <w:tcPr>
            <w:tcW w:w="6720" w:type="dxa"/>
            <w:vAlign w:val="bottom"/>
          </w:tcPr>
          <w:p>
            <w:pPr>
              <w:ind w:left="320"/>
              <w:spacing w:after="0"/>
              <w:rPr>
                <w:sz w:val="20"/>
                <w:szCs w:val="20"/>
                <w:color w:val="auto"/>
              </w:rPr>
            </w:pPr>
            <w:r>
              <w:rPr>
                <w:rFonts w:ascii="Arial" w:cs="Arial" w:eastAsia="Arial" w:hAnsi="Arial"/>
                <w:sz w:val="16"/>
                <w:szCs w:val="16"/>
                <w:color w:val="auto"/>
              </w:rPr>
              <w:t>[Reserved].</w:t>
            </w:r>
          </w:p>
        </w:tc>
        <w:tc>
          <w:tcPr>
            <w:tcW w:w="39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7.7</w:t>
            </w:r>
          </w:p>
        </w:tc>
        <w:tc>
          <w:tcPr>
            <w:tcW w:w="6720" w:type="dxa"/>
            <w:vAlign w:val="bottom"/>
          </w:tcPr>
          <w:p>
            <w:pPr>
              <w:ind w:left="320"/>
              <w:spacing w:after="0"/>
              <w:rPr>
                <w:sz w:val="20"/>
                <w:szCs w:val="20"/>
                <w:color w:val="auto"/>
              </w:rPr>
            </w:pPr>
            <w:r>
              <w:rPr>
                <w:rFonts w:ascii="Arial" w:cs="Arial" w:eastAsia="Arial" w:hAnsi="Arial"/>
                <w:sz w:val="16"/>
                <w:szCs w:val="16"/>
                <w:color w:val="auto"/>
              </w:rPr>
              <w:t>Fundamental Changes</w:t>
            </w:r>
          </w:p>
        </w:tc>
        <w:tc>
          <w:tcPr>
            <w:tcW w:w="39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7.8</w:t>
            </w:r>
          </w:p>
        </w:tc>
        <w:tc>
          <w:tcPr>
            <w:tcW w:w="6720" w:type="dxa"/>
            <w:vAlign w:val="bottom"/>
          </w:tcPr>
          <w:p>
            <w:pPr>
              <w:ind w:left="320"/>
              <w:spacing w:after="0"/>
              <w:rPr>
                <w:sz w:val="20"/>
                <w:szCs w:val="20"/>
                <w:color w:val="auto"/>
              </w:rPr>
            </w:pPr>
            <w:r>
              <w:rPr>
                <w:rFonts w:ascii="Arial" w:cs="Arial" w:eastAsia="Arial" w:hAnsi="Arial"/>
                <w:sz w:val="16"/>
                <w:szCs w:val="16"/>
                <w:color w:val="auto"/>
              </w:rPr>
              <w:t>Anti-Corruption Laws and Sanctions</w:t>
            </w:r>
          </w:p>
        </w:tc>
        <w:tc>
          <w:tcPr>
            <w:tcW w:w="3980" w:type="dxa"/>
            <w:vAlign w:val="bottom"/>
          </w:tcPr>
          <w:p>
            <w:pPr>
              <w:jc w:val="right"/>
              <w:spacing w:after="0"/>
              <w:rPr>
                <w:sz w:val="20"/>
                <w:szCs w:val="20"/>
                <w:color w:val="auto"/>
              </w:rPr>
            </w:pPr>
            <w:r>
              <w:rPr>
                <w:rFonts w:ascii="Arial" w:cs="Arial" w:eastAsia="Arial" w:hAnsi="Arial"/>
                <w:sz w:val="16"/>
                <w:szCs w:val="16"/>
                <w:color w:val="auto"/>
              </w:rPr>
              <w:t>72</w:t>
            </w:r>
          </w:p>
        </w:tc>
      </w:tr>
    </w:tbl>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340"/>
          </w:cols>
          <w:pgMar w:left="220" w:top="258" w:right="339" w:bottom="1440" w:gutter="0" w:footer="0" w:header="0"/>
        </w:sectPr>
      </w:pPr>
    </w:p>
    <w:bookmarkStart w:id="203" w:name="page204"/>
    <w:bookmarkEnd w:id="203"/>
    <w:tbl>
      <w:tblPr>
        <w:tblLayout w:type="fixed"/>
        <w:tblInd w:w="40" w:type="dxa"/>
        <w:tblCellMar>
          <w:top w:w="0" w:type="dxa"/>
          <w:left w:w="0" w:type="dxa"/>
          <w:bottom w:w="0" w:type="dxa"/>
          <w:right w:w="0" w:type="dxa"/>
        </w:tblCellMar>
      </w:tblPr>
      <w:tr>
        <w:trPr>
          <w:trHeight w:val="207"/>
        </w:trPr>
        <w:tc>
          <w:tcPr>
            <w:tcW w:w="10480" w:type="dxa"/>
            <w:vAlign w:val="bottom"/>
            <w:gridSpan w:val="2"/>
          </w:tcPr>
          <w:p>
            <w:pPr>
              <w:spacing w:after="0"/>
              <w:rPr>
                <w:sz w:val="20"/>
                <w:szCs w:val="20"/>
                <w:color w:val="auto"/>
              </w:rPr>
            </w:pPr>
            <w:r>
              <w:rPr>
                <w:rFonts w:ascii="Arial" w:cs="Arial" w:eastAsia="Arial" w:hAnsi="Arial"/>
                <w:sz w:val="16"/>
                <w:szCs w:val="16"/>
                <w:color w:val="auto"/>
              </w:rPr>
              <w:t>SECTION 8 EVENTS OF DEFAULT</w:t>
            </w:r>
          </w:p>
        </w:tc>
        <w:tc>
          <w:tcPr>
            <w:tcW w:w="8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33"/>
        </w:trPr>
        <w:tc>
          <w:tcPr>
            <w:tcW w:w="10480" w:type="dxa"/>
            <w:vAlign w:val="bottom"/>
            <w:gridSpan w:val="2"/>
          </w:tcPr>
          <w:p>
            <w:pPr>
              <w:spacing w:after="0"/>
              <w:rPr>
                <w:sz w:val="20"/>
                <w:szCs w:val="20"/>
                <w:color w:val="auto"/>
              </w:rPr>
            </w:pPr>
            <w:r>
              <w:rPr>
                <w:rFonts w:ascii="Arial" w:cs="Arial" w:eastAsia="Arial" w:hAnsi="Arial"/>
                <w:sz w:val="16"/>
                <w:szCs w:val="16"/>
                <w:color w:val="auto"/>
              </w:rPr>
              <w:t>SECTION 9 THE AGENTS</w:t>
            </w: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9.1</w:t>
            </w:r>
          </w:p>
        </w:tc>
        <w:tc>
          <w:tcPr>
            <w:tcW w:w="9840" w:type="dxa"/>
            <w:vAlign w:val="bottom"/>
          </w:tcPr>
          <w:p>
            <w:pPr>
              <w:ind w:left="280"/>
              <w:spacing w:after="0"/>
              <w:rPr>
                <w:sz w:val="20"/>
                <w:szCs w:val="20"/>
                <w:color w:val="auto"/>
              </w:rPr>
            </w:pPr>
            <w:r>
              <w:rPr>
                <w:rFonts w:ascii="Arial" w:cs="Arial" w:eastAsia="Arial" w:hAnsi="Arial"/>
                <w:sz w:val="16"/>
                <w:szCs w:val="16"/>
                <w:color w:val="auto"/>
              </w:rPr>
              <w:t>Appointment</w:t>
            </w: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9.2</w:t>
            </w:r>
          </w:p>
        </w:tc>
        <w:tc>
          <w:tcPr>
            <w:tcW w:w="9840" w:type="dxa"/>
            <w:vAlign w:val="bottom"/>
          </w:tcPr>
          <w:p>
            <w:pPr>
              <w:ind w:left="280"/>
              <w:spacing w:after="0"/>
              <w:rPr>
                <w:sz w:val="20"/>
                <w:szCs w:val="20"/>
                <w:color w:val="auto"/>
              </w:rPr>
            </w:pPr>
            <w:r>
              <w:rPr>
                <w:rFonts w:ascii="Arial" w:cs="Arial" w:eastAsia="Arial" w:hAnsi="Arial"/>
                <w:sz w:val="16"/>
                <w:szCs w:val="16"/>
                <w:color w:val="auto"/>
              </w:rPr>
              <w:t>Delegation of Duties</w:t>
            </w: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9.3</w:t>
            </w:r>
          </w:p>
        </w:tc>
        <w:tc>
          <w:tcPr>
            <w:tcW w:w="9840" w:type="dxa"/>
            <w:vAlign w:val="bottom"/>
          </w:tcPr>
          <w:p>
            <w:pPr>
              <w:ind w:left="280"/>
              <w:spacing w:after="0"/>
              <w:rPr>
                <w:sz w:val="20"/>
                <w:szCs w:val="20"/>
                <w:color w:val="auto"/>
              </w:rPr>
            </w:pPr>
            <w:r>
              <w:rPr>
                <w:rFonts w:ascii="Arial" w:cs="Arial" w:eastAsia="Arial" w:hAnsi="Arial"/>
                <w:sz w:val="16"/>
                <w:szCs w:val="16"/>
                <w:color w:val="auto"/>
              </w:rPr>
              <w:t>Exculpatory Provisions</w:t>
            </w: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9.4</w:t>
            </w:r>
          </w:p>
        </w:tc>
        <w:tc>
          <w:tcPr>
            <w:tcW w:w="9840" w:type="dxa"/>
            <w:vAlign w:val="bottom"/>
          </w:tcPr>
          <w:p>
            <w:pPr>
              <w:ind w:left="280"/>
              <w:spacing w:after="0"/>
              <w:rPr>
                <w:sz w:val="20"/>
                <w:szCs w:val="20"/>
                <w:color w:val="auto"/>
              </w:rPr>
            </w:pPr>
            <w:r>
              <w:rPr>
                <w:rFonts w:ascii="Arial" w:cs="Arial" w:eastAsia="Arial" w:hAnsi="Arial"/>
                <w:sz w:val="16"/>
                <w:szCs w:val="16"/>
                <w:color w:val="auto"/>
              </w:rPr>
              <w:t>Reliance by Administrative Agent and the Brazilian Administrative Agent</w:t>
            </w:r>
          </w:p>
        </w:tc>
        <w:tc>
          <w:tcPr>
            <w:tcW w:w="8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9.5</w:t>
            </w:r>
          </w:p>
        </w:tc>
        <w:tc>
          <w:tcPr>
            <w:tcW w:w="9840" w:type="dxa"/>
            <w:vAlign w:val="bottom"/>
          </w:tcPr>
          <w:p>
            <w:pPr>
              <w:ind w:left="280"/>
              <w:spacing w:after="0"/>
              <w:rPr>
                <w:sz w:val="20"/>
                <w:szCs w:val="20"/>
                <w:color w:val="auto"/>
              </w:rPr>
            </w:pPr>
            <w:r>
              <w:rPr>
                <w:rFonts w:ascii="Arial" w:cs="Arial" w:eastAsia="Arial" w:hAnsi="Arial"/>
                <w:sz w:val="16"/>
                <w:szCs w:val="16"/>
                <w:color w:val="auto"/>
              </w:rPr>
              <w:t>Notice of Default</w:t>
            </w:r>
          </w:p>
        </w:tc>
        <w:tc>
          <w:tcPr>
            <w:tcW w:w="8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9.6</w:t>
            </w:r>
          </w:p>
        </w:tc>
        <w:tc>
          <w:tcPr>
            <w:tcW w:w="9840" w:type="dxa"/>
            <w:vAlign w:val="bottom"/>
          </w:tcPr>
          <w:p>
            <w:pPr>
              <w:ind w:left="280"/>
              <w:spacing w:after="0"/>
              <w:rPr>
                <w:sz w:val="20"/>
                <w:szCs w:val="20"/>
                <w:color w:val="auto"/>
              </w:rPr>
            </w:pPr>
            <w:r>
              <w:rPr>
                <w:rFonts w:ascii="Arial" w:cs="Arial" w:eastAsia="Arial" w:hAnsi="Arial"/>
                <w:sz w:val="16"/>
                <w:szCs w:val="16"/>
                <w:color w:val="auto"/>
              </w:rPr>
              <w:t>Non-Reliance on Agents and Other Lenders</w:t>
            </w: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9.7</w:t>
            </w:r>
          </w:p>
        </w:tc>
        <w:tc>
          <w:tcPr>
            <w:tcW w:w="9840" w:type="dxa"/>
            <w:vAlign w:val="bottom"/>
          </w:tcPr>
          <w:p>
            <w:pPr>
              <w:ind w:left="280"/>
              <w:spacing w:after="0"/>
              <w:rPr>
                <w:sz w:val="20"/>
                <w:szCs w:val="20"/>
                <w:color w:val="auto"/>
              </w:rPr>
            </w:pPr>
            <w:r>
              <w:rPr>
                <w:rFonts w:ascii="Arial" w:cs="Arial" w:eastAsia="Arial" w:hAnsi="Arial"/>
                <w:sz w:val="16"/>
                <w:szCs w:val="16"/>
                <w:color w:val="auto"/>
              </w:rPr>
              <w:t>Indemnification</w:t>
            </w: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9.8</w:t>
            </w:r>
          </w:p>
        </w:tc>
        <w:tc>
          <w:tcPr>
            <w:tcW w:w="9840" w:type="dxa"/>
            <w:vAlign w:val="bottom"/>
          </w:tcPr>
          <w:p>
            <w:pPr>
              <w:ind w:left="280"/>
              <w:spacing w:after="0"/>
              <w:rPr>
                <w:sz w:val="20"/>
                <w:szCs w:val="20"/>
                <w:color w:val="auto"/>
              </w:rPr>
            </w:pPr>
            <w:r>
              <w:rPr>
                <w:rFonts w:ascii="Arial" w:cs="Arial" w:eastAsia="Arial" w:hAnsi="Arial"/>
                <w:sz w:val="16"/>
                <w:szCs w:val="16"/>
                <w:color w:val="auto"/>
              </w:rPr>
              <w:t>Agent in Its Individual Capacity</w:t>
            </w: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9.9</w:t>
            </w:r>
          </w:p>
        </w:tc>
        <w:tc>
          <w:tcPr>
            <w:tcW w:w="9840" w:type="dxa"/>
            <w:vAlign w:val="bottom"/>
          </w:tcPr>
          <w:p>
            <w:pPr>
              <w:ind w:left="280"/>
              <w:spacing w:after="0"/>
              <w:rPr>
                <w:sz w:val="20"/>
                <w:szCs w:val="20"/>
                <w:color w:val="auto"/>
              </w:rPr>
            </w:pPr>
            <w:r>
              <w:rPr>
                <w:rFonts w:ascii="Arial" w:cs="Arial" w:eastAsia="Arial" w:hAnsi="Arial"/>
                <w:sz w:val="16"/>
                <w:szCs w:val="16"/>
                <w:color w:val="auto"/>
              </w:rPr>
              <w:t>Successor Administrative Agent</w:t>
            </w:r>
          </w:p>
        </w:tc>
        <w:tc>
          <w:tcPr>
            <w:tcW w:w="8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9.10</w:t>
            </w:r>
          </w:p>
        </w:tc>
        <w:tc>
          <w:tcPr>
            <w:tcW w:w="9840" w:type="dxa"/>
            <w:vAlign w:val="bottom"/>
          </w:tcPr>
          <w:p>
            <w:pPr>
              <w:ind w:left="280"/>
              <w:spacing w:after="0"/>
              <w:rPr>
                <w:sz w:val="20"/>
                <w:szCs w:val="20"/>
                <w:color w:val="auto"/>
              </w:rPr>
            </w:pPr>
            <w:r>
              <w:rPr>
                <w:rFonts w:ascii="Arial" w:cs="Arial" w:eastAsia="Arial" w:hAnsi="Arial"/>
                <w:sz w:val="16"/>
                <w:szCs w:val="16"/>
                <w:color w:val="auto"/>
              </w:rPr>
              <w:t>Replacement of Brazilian Administrative Agent</w:t>
            </w:r>
          </w:p>
        </w:tc>
        <w:tc>
          <w:tcPr>
            <w:tcW w:w="8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9.11</w:t>
            </w:r>
          </w:p>
        </w:tc>
        <w:tc>
          <w:tcPr>
            <w:tcW w:w="9840" w:type="dxa"/>
            <w:vAlign w:val="bottom"/>
          </w:tcPr>
          <w:p>
            <w:pPr>
              <w:ind w:left="280"/>
              <w:spacing w:after="0"/>
              <w:rPr>
                <w:sz w:val="20"/>
                <w:szCs w:val="20"/>
                <w:color w:val="auto"/>
              </w:rPr>
            </w:pPr>
            <w:r>
              <w:rPr>
                <w:rFonts w:ascii="Arial" w:cs="Arial" w:eastAsia="Arial" w:hAnsi="Arial"/>
                <w:sz w:val="16"/>
                <w:szCs w:val="16"/>
                <w:color w:val="auto"/>
                <w:w w:val="99"/>
              </w:rPr>
              <w:t>Bookrunners, Lead Arrangers, Global and Regional Coordinators, Documentation Agents, Syndication Agent and Co-Syndication Agent</w:t>
            </w:r>
          </w:p>
        </w:tc>
        <w:tc>
          <w:tcPr>
            <w:tcW w:w="8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33"/>
        </w:trPr>
        <w:tc>
          <w:tcPr>
            <w:tcW w:w="10480" w:type="dxa"/>
            <w:vAlign w:val="bottom"/>
            <w:gridSpan w:val="2"/>
          </w:tcPr>
          <w:p>
            <w:pPr>
              <w:spacing w:after="0"/>
              <w:rPr>
                <w:sz w:val="20"/>
                <w:szCs w:val="20"/>
                <w:color w:val="auto"/>
              </w:rPr>
            </w:pPr>
            <w:r>
              <w:rPr>
                <w:rFonts w:ascii="Arial" w:cs="Arial" w:eastAsia="Arial" w:hAnsi="Arial"/>
                <w:sz w:val="16"/>
                <w:szCs w:val="16"/>
                <w:color w:val="auto"/>
              </w:rPr>
              <w:t>SECTION 10 MISCELLANEOUS</w:t>
            </w:r>
          </w:p>
        </w:tc>
        <w:tc>
          <w:tcPr>
            <w:tcW w:w="8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10.1</w:t>
            </w:r>
          </w:p>
        </w:tc>
        <w:tc>
          <w:tcPr>
            <w:tcW w:w="9840" w:type="dxa"/>
            <w:vAlign w:val="bottom"/>
          </w:tcPr>
          <w:p>
            <w:pPr>
              <w:ind w:left="280"/>
              <w:spacing w:after="0"/>
              <w:rPr>
                <w:sz w:val="20"/>
                <w:szCs w:val="20"/>
                <w:color w:val="auto"/>
              </w:rPr>
            </w:pPr>
            <w:r>
              <w:rPr>
                <w:rFonts w:ascii="Arial" w:cs="Arial" w:eastAsia="Arial" w:hAnsi="Arial"/>
                <w:sz w:val="16"/>
                <w:szCs w:val="16"/>
                <w:color w:val="auto"/>
              </w:rPr>
              <w:t>Amendments and Waivers</w:t>
            </w:r>
          </w:p>
        </w:tc>
        <w:tc>
          <w:tcPr>
            <w:tcW w:w="8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10.2</w:t>
            </w:r>
          </w:p>
        </w:tc>
        <w:tc>
          <w:tcPr>
            <w:tcW w:w="9840" w:type="dxa"/>
            <w:vAlign w:val="bottom"/>
          </w:tcPr>
          <w:p>
            <w:pPr>
              <w:ind w:left="280"/>
              <w:spacing w:after="0"/>
              <w:rPr>
                <w:sz w:val="20"/>
                <w:szCs w:val="20"/>
                <w:color w:val="auto"/>
              </w:rPr>
            </w:pPr>
            <w:r>
              <w:rPr>
                <w:rFonts w:ascii="Arial" w:cs="Arial" w:eastAsia="Arial" w:hAnsi="Arial"/>
                <w:sz w:val="16"/>
                <w:szCs w:val="16"/>
                <w:color w:val="auto"/>
              </w:rPr>
              <w:t>Notices</w:t>
            </w:r>
          </w:p>
        </w:tc>
        <w:tc>
          <w:tcPr>
            <w:tcW w:w="82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10.3</w:t>
            </w:r>
          </w:p>
        </w:tc>
        <w:tc>
          <w:tcPr>
            <w:tcW w:w="9840" w:type="dxa"/>
            <w:vAlign w:val="bottom"/>
          </w:tcPr>
          <w:p>
            <w:pPr>
              <w:ind w:left="280"/>
              <w:spacing w:after="0"/>
              <w:rPr>
                <w:sz w:val="20"/>
                <w:szCs w:val="20"/>
                <w:color w:val="auto"/>
              </w:rPr>
            </w:pPr>
            <w:r>
              <w:rPr>
                <w:rFonts w:ascii="Arial" w:cs="Arial" w:eastAsia="Arial" w:hAnsi="Arial"/>
                <w:sz w:val="16"/>
                <w:szCs w:val="16"/>
                <w:color w:val="auto"/>
              </w:rPr>
              <w:t>No Waiver; Cumulative Remedies</w:t>
            </w:r>
          </w:p>
        </w:tc>
        <w:tc>
          <w:tcPr>
            <w:tcW w:w="8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10.4</w:t>
            </w:r>
          </w:p>
        </w:tc>
        <w:tc>
          <w:tcPr>
            <w:tcW w:w="9840" w:type="dxa"/>
            <w:vAlign w:val="bottom"/>
          </w:tcPr>
          <w:p>
            <w:pPr>
              <w:ind w:left="280"/>
              <w:spacing w:after="0"/>
              <w:rPr>
                <w:sz w:val="20"/>
                <w:szCs w:val="20"/>
                <w:color w:val="auto"/>
              </w:rPr>
            </w:pPr>
            <w:r>
              <w:rPr>
                <w:rFonts w:ascii="Arial" w:cs="Arial" w:eastAsia="Arial" w:hAnsi="Arial"/>
                <w:sz w:val="16"/>
                <w:szCs w:val="16"/>
                <w:color w:val="auto"/>
              </w:rPr>
              <w:t>Survival of Representations and Warranties</w:t>
            </w:r>
          </w:p>
        </w:tc>
        <w:tc>
          <w:tcPr>
            <w:tcW w:w="8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10.5</w:t>
            </w:r>
          </w:p>
        </w:tc>
        <w:tc>
          <w:tcPr>
            <w:tcW w:w="9840" w:type="dxa"/>
            <w:vAlign w:val="bottom"/>
          </w:tcPr>
          <w:p>
            <w:pPr>
              <w:ind w:left="280"/>
              <w:spacing w:after="0"/>
              <w:rPr>
                <w:sz w:val="20"/>
                <w:szCs w:val="20"/>
                <w:color w:val="auto"/>
              </w:rPr>
            </w:pPr>
            <w:r>
              <w:rPr>
                <w:rFonts w:ascii="Arial" w:cs="Arial" w:eastAsia="Arial" w:hAnsi="Arial"/>
                <w:sz w:val="16"/>
                <w:szCs w:val="16"/>
                <w:color w:val="auto"/>
              </w:rPr>
              <w:t>Payment of Expenses</w:t>
            </w:r>
          </w:p>
        </w:tc>
        <w:tc>
          <w:tcPr>
            <w:tcW w:w="8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10.6</w:t>
            </w:r>
          </w:p>
        </w:tc>
        <w:tc>
          <w:tcPr>
            <w:tcW w:w="9840" w:type="dxa"/>
            <w:vAlign w:val="bottom"/>
          </w:tcPr>
          <w:p>
            <w:pPr>
              <w:ind w:left="280"/>
              <w:spacing w:after="0"/>
              <w:rPr>
                <w:sz w:val="20"/>
                <w:szCs w:val="20"/>
                <w:color w:val="auto"/>
              </w:rPr>
            </w:pPr>
            <w:r>
              <w:rPr>
                <w:rFonts w:ascii="Arial" w:cs="Arial" w:eastAsia="Arial" w:hAnsi="Arial"/>
                <w:sz w:val="16"/>
                <w:szCs w:val="16"/>
                <w:color w:val="auto"/>
              </w:rPr>
              <w:t>Successors and Assigns; Participations and Assignments</w:t>
            </w:r>
          </w:p>
        </w:tc>
        <w:tc>
          <w:tcPr>
            <w:tcW w:w="8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10.7</w:t>
            </w:r>
          </w:p>
        </w:tc>
        <w:tc>
          <w:tcPr>
            <w:tcW w:w="9840" w:type="dxa"/>
            <w:vAlign w:val="bottom"/>
          </w:tcPr>
          <w:p>
            <w:pPr>
              <w:ind w:left="280"/>
              <w:spacing w:after="0"/>
              <w:rPr>
                <w:sz w:val="20"/>
                <w:szCs w:val="20"/>
                <w:color w:val="auto"/>
              </w:rPr>
            </w:pPr>
            <w:r>
              <w:rPr>
                <w:rFonts w:ascii="Arial" w:cs="Arial" w:eastAsia="Arial" w:hAnsi="Arial"/>
                <w:sz w:val="16"/>
                <w:szCs w:val="16"/>
                <w:color w:val="auto"/>
              </w:rPr>
              <w:t>Adjustments</w:t>
            </w: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10.8</w:t>
            </w:r>
          </w:p>
        </w:tc>
        <w:tc>
          <w:tcPr>
            <w:tcW w:w="9840" w:type="dxa"/>
            <w:vAlign w:val="bottom"/>
          </w:tcPr>
          <w:p>
            <w:pPr>
              <w:ind w:left="280"/>
              <w:spacing w:after="0"/>
              <w:rPr>
                <w:sz w:val="20"/>
                <w:szCs w:val="20"/>
                <w:color w:val="auto"/>
              </w:rPr>
            </w:pPr>
            <w:r>
              <w:rPr>
                <w:rFonts w:ascii="Arial" w:cs="Arial" w:eastAsia="Arial" w:hAnsi="Arial"/>
                <w:sz w:val="16"/>
                <w:szCs w:val="16"/>
                <w:color w:val="auto"/>
              </w:rPr>
              <w:t>Counterparts</w:t>
            </w: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10.9</w:t>
            </w:r>
          </w:p>
        </w:tc>
        <w:tc>
          <w:tcPr>
            <w:tcW w:w="9840" w:type="dxa"/>
            <w:vAlign w:val="bottom"/>
          </w:tcPr>
          <w:p>
            <w:pPr>
              <w:ind w:left="280"/>
              <w:spacing w:after="0"/>
              <w:rPr>
                <w:sz w:val="20"/>
                <w:szCs w:val="20"/>
                <w:color w:val="auto"/>
              </w:rPr>
            </w:pPr>
            <w:r>
              <w:rPr>
                <w:rFonts w:ascii="Arial" w:cs="Arial" w:eastAsia="Arial" w:hAnsi="Arial"/>
                <w:sz w:val="16"/>
                <w:szCs w:val="16"/>
                <w:color w:val="auto"/>
              </w:rPr>
              <w:t>Severability</w:t>
            </w: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10.10</w:t>
            </w:r>
          </w:p>
        </w:tc>
        <w:tc>
          <w:tcPr>
            <w:tcW w:w="9840" w:type="dxa"/>
            <w:vAlign w:val="bottom"/>
          </w:tcPr>
          <w:p>
            <w:pPr>
              <w:ind w:left="280"/>
              <w:spacing w:after="0"/>
              <w:rPr>
                <w:sz w:val="20"/>
                <w:szCs w:val="20"/>
                <w:color w:val="auto"/>
              </w:rPr>
            </w:pPr>
            <w:r>
              <w:rPr>
                <w:rFonts w:ascii="Arial" w:cs="Arial" w:eastAsia="Arial" w:hAnsi="Arial"/>
                <w:sz w:val="16"/>
                <w:szCs w:val="16"/>
                <w:color w:val="auto"/>
              </w:rPr>
              <w:t>Integration</w:t>
            </w: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10.11</w:t>
            </w:r>
          </w:p>
        </w:tc>
        <w:tc>
          <w:tcPr>
            <w:tcW w:w="9840" w:type="dxa"/>
            <w:vAlign w:val="bottom"/>
          </w:tcPr>
          <w:p>
            <w:pPr>
              <w:ind w:left="280"/>
              <w:spacing w:after="0"/>
              <w:rPr>
                <w:sz w:val="20"/>
                <w:szCs w:val="20"/>
                <w:color w:val="auto"/>
              </w:rPr>
            </w:pPr>
            <w:r>
              <w:rPr>
                <w:rFonts w:ascii="Arial" w:cs="Arial" w:eastAsia="Arial" w:hAnsi="Arial"/>
                <w:sz w:val="16"/>
                <w:szCs w:val="16"/>
                <w:color w:val="auto"/>
              </w:rPr>
              <w:t>GOVERNING LAW</w:t>
            </w:r>
          </w:p>
        </w:tc>
        <w:tc>
          <w:tcPr>
            <w:tcW w:w="8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10.12</w:t>
            </w:r>
          </w:p>
        </w:tc>
        <w:tc>
          <w:tcPr>
            <w:tcW w:w="9840" w:type="dxa"/>
            <w:vAlign w:val="bottom"/>
          </w:tcPr>
          <w:p>
            <w:pPr>
              <w:ind w:left="280"/>
              <w:spacing w:after="0"/>
              <w:rPr>
                <w:sz w:val="20"/>
                <w:szCs w:val="20"/>
                <w:color w:val="auto"/>
              </w:rPr>
            </w:pPr>
            <w:r>
              <w:rPr>
                <w:rFonts w:ascii="Arial" w:cs="Arial" w:eastAsia="Arial" w:hAnsi="Arial"/>
                <w:sz w:val="16"/>
                <w:szCs w:val="16"/>
                <w:color w:val="auto"/>
              </w:rPr>
              <w:t>Submission to Jurisdiction; Waivers</w:t>
            </w:r>
          </w:p>
        </w:tc>
        <w:tc>
          <w:tcPr>
            <w:tcW w:w="8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10.13</w:t>
            </w:r>
          </w:p>
        </w:tc>
        <w:tc>
          <w:tcPr>
            <w:tcW w:w="9840" w:type="dxa"/>
            <w:vAlign w:val="bottom"/>
          </w:tcPr>
          <w:p>
            <w:pPr>
              <w:ind w:left="280"/>
              <w:spacing w:after="0"/>
              <w:rPr>
                <w:sz w:val="20"/>
                <w:szCs w:val="20"/>
                <w:color w:val="auto"/>
              </w:rPr>
            </w:pPr>
            <w:r>
              <w:rPr>
                <w:rFonts w:ascii="Arial" w:cs="Arial" w:eastAsia="Arial" w:hAnsi="Arial"/>
                <w:sz w:val="16"/>
                <w:szCs w:val="16"/>
                <w:color w:val="auto"/>
              </w:rPr>
              <w:t>Judgment</w:t>
            </w: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10.14</w:t>
            </w:r>
          </w:p>
        </w:tc>
        <w:tc>
          <w:tcPr>
            <w:tcW w:w="9840" w:type="dxa"/>
            <w:vAlign w:val="bottom"/>
          </w:tcPr>
          <w:p>
            <w:pPr>
              <w:ind w:left="280"/>
              <w:spacing w:after="0"/>
              <w:rPr>
                <w:sz w:val="20"/>
                <w:szCs w:val="20"/>
                <w:color w:val="auto"/>
              </w:rPr>
            </w:pPr>
            <w:r>
              <w:rPr>
                <w:rFonts w:ascii="Arial" w:cs="Arial" w:eastAsia="Arial" w:hAnsi="Arial"/>
                <w:sz w:val="16"/>
                <w:szCs w:val="16"/>
                <w:color w:val="auto"/>
              </w:rPr>
              <w:t>Acknowledgements</w:t>
            </w: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10.15</w:t>
            </w:r>
          </w:p>
        </w:tc>
        <w:tc>
          <w:tcPr>
            <w:tcW w:w="9840" w:type="dxa"/>
            <w:vAlign w:val="bottom"/>
          </w:tcPr>
          <w:p>
            <w:pPr>
              <w:ind w:left="280"/>
              <w:spacing w:after="0"/>
              <w:rPr>
                <w:sz w:val="20"/>
                <w:szCs w:val="20"/>
                <w:color w:val="auto"/>
              </w:rPr>
            </w:pPr>
            <w:r>
              <w:rPr>
                <w:rFonts w:ascii="Arial" w:cs="Arial" w:eastAsia="Arial" w:hAnsi="Arial"/>
                <w:sz w:val="16"/>
                <w:szCs w:val="16"/>
                <w:color w:val="auto"/>
              </w:rPr>
              <w:t>Releases of Guarantees and Liens</w:t>
            </w: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33"/>
        </w:trPr>
        <w:tc>
          <w:tcPr>
            <w:tcW w:w="640" w:type="dxa"/>
            <w:vAlign w:val="bottom"/>
          </w:tcPr>
          <w:p>
            <w:pPr>
              <w:spacing w:after="0"/>
              <w:rPr>
                <w:sz w:val="20"/>
                <w:szCs w:val="20"/>
                <w:color w:val="auto"/>
              </w:rPr>
            </w:pPr>
            <w:r>
              <w:rPr>
                <w:rFonts w:ascii="Arial" w:cs="Arial" w:eastAsia="Arial" w:hAnsi="Arial"/>
                <w:sz w:val="16"/>
                <w:szCs w:val="16"/>
                <w:color w:val="auto"/>
              </w:rPr>
              <w:t>10.16</w:t>
            </w:r>
          </w:p>
        </w:tc>
        <w:tc>
          <w:tcPr>
            <w:tcW w:w="9840" w:type="dxa"/>
            <w:vAlign w:val="bottom"/>
          </w:tcPr>
          <w:p>
            <w:pPr>
              <w:ind w:left="280"/>
              <w:spacing w:after="0"/>
              <w:rPr>
                <w:sz w:val="20"/>
                <w:szCs w:val="20"/>
                <w:color w:val="auto"/>
              </w:rPr>
            </w:pPr>
            <w:r>
              <w:rPr>
                <w:rFonts w:ascii="Arial" w:cs="Arial" w:eastAsia="Arial" w:hAnsi="Arial"/>
                <w:sz w:val="16"/>
                <w:szCs w:val="16"/>
                <w:color w:val="auto"/>
              </w:rPr>
              <w:t>Confidentiality</w:t>
            </w:r>
          </w:p>
        </w:tc>
        <w:tc>
          <w:tcPr>
            <w:tcW w:w="820" w:type="dxa"/>
            <w:vAlign w:val="bottom"/>
          </w:tcPr>
          <w:p>
            <w:pPr>
              <w:jc w:val="right"/>
              <w:spacing w:after="0"/>
              <w:rPr>
                <w:sz w:val="20"/>
                <w:szCs w:val="20"/>
                <w:color w:val="auto"/>
              </w:rPr>
            </w:pPr>
            <w:r>
              <w:rPr>
                <w:rFonts w:ascii="Arial" w:cs="Arial" w:eastAsia="Arial" w:hAnsi="Arial"/>
                <w:sz w:val="16"/>
                <w:szCs w:val="16"/>
                <w:color w:val="auto"/>
              </w:rPr>
              <w:t>92</w:t>
            </w:r>
          </w:p>
        </w:tc>
      </w:tr>
    </w:tbl>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340"/>
          </w:cols>
          <w:pgMar w:left="220" w:top="258" w:right="339" w:bottom="1440" w:gutter="0" w:footer="0" w:header="0"/>
        </w:sectPr>
      </w:pPr>
    </w:p>
    <w:bookmarkStart w:id="204" w:name="page205"/>
    <w:bookmarkEnd w:id="204"/>
    <w:tbl>
      <w:tblPr>
        <w:tblLayout w:type="fixed"/>
        <w:tblInd w:w="40" w:type="dxa"/>
        <w:tblCellMar>
          <w:top w:w="0" w:type="dxa"/>
          <w:left w:w="0" w:type="dxa"/>
          <w:bottom w:w="0" w:type="dxa"/>
          <w:right w:w="0" w:type="dxa"/>
        </w:tblCellMar>
      </w:tblPr>
      <w:tr>
        <w:trPr>
          <w:trHeight w:val="207"/>
        </w:trPr>
        <w:tc>
          <w:tcPr>
            <w:tcW w:w="640" w:type="dxa"/>
            <w:vAlign w:val="bottom"/>
          </w:tcPr>
          <w:p>
            <w:pPr>
              <w:jc w:val="right"/>
              <w:ind w:right="199"/>
              <w:spacing w:after="0"/>
              <w:rPr>
                <w:sz w:val="20"/>
                <w:szCs w:val="20"/>
                <w:color w:val="auto"/>
              </w:rPr>
            </w:pPr>
            <w:r>
              <w:rPr>
                <w:rFonts w:ascii="Arial" w:cs="Arial" w:eastAsia="Arial" w:hAnsi="Arial"/>
                <w:sz w:val="16"/>
                <w:szCs w:val="16"/>
                <w:color w:val="auto"/>
                <w:w w:val="84"/>
              </w:rPr>
              <w:t>10.17</w:t>
            </w:r>
          </w:p>
        </w:tc>
        <w:tc>
          <w:tcPr>
            <w:tcW w:w="6360" w:type="dxa"/>
            <w:vAlign w:val="bottom"/>
          </w:tcPr>
          <w:p>
            <w:pPr>
              <w:ind w:left="280"/>
              <w:spacing w:after="0"/>
              <w:rPr>
                <w:sz w:val="20"/>
                <w:szCs w:val="20"/>
                <w:color w:val="auto"/>
              </w:rPr>
            </w:pPr>
            <w:r>
              <w:rPr>
                <w:rFonts w:ascii="Arial" w:cs="Arial" w:eastAsia="Arial" w:hAnsi="Arial"/>
                <w:sz w:val="16"/>
                <w:szCs w:val="16"/>
                <w:color w:val="auto"/>
              </w:rPr>
              <w:t>WAIVERS OF JURY TRIAL</w:t>
            </w:r>
          </w:p>
        </w:tc>
        <w:tc>
          <w:tcPr>
            <w:tcW w:w="43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33"/>
        </w:trPr>
        <w:tc>
          <w:tcPr>
            <w:tcW w:w="640" w:type="dxa"/>
            <w:vAlign w:val="bottom"/>
          </w:tcPr>
          <w:p>
            <w:pPr>
              <w:jc w:val="right"/>
              <w:ind w:right="199"/>
              <w:spacing w:after="0"/>
              <w:rPr>
                <w:sz w:val="20"/>
                <w:szCs w:val="20"/>
                <w:color w:val="auto"/>
              </w:rPr>
            </w:pPr>
            <w:r>
              <w:rPr>
                <w:rFonts w:ascii="Arial" w:cs="Arial" w:eastAsia="Arial" w:hAnsi="Arial"/>
                <w:sz w:val="16"/>
                <w:szCs w:val="16"/>
                <w:color w:val="auto"/>
                <w:w w:val="84"/>
              </w:rPr>
              <w:t>10.18</w:t>
            </w:r>
          </w:p>
        </w:tc>
        <w:tc>
          <w:tcPr>
            <w:tcW w:w="6360" w:type="dxa"/>
            <w:vAlign w:val="bottom"/>
          </w:tcPr>
          <w:p>
            <w:pPr>
              <w:ind w:left="280"/>
              <w:spacing w:after="0"/>
              <w:rPr>
                <w:sz w:val="20"/>
                <w:szCs w:val="20"/>
                <w:color w:val="auto"/>
              </w:rPr>
            </w:pPr>
            <w:r>
              <w:rPr>
                <w:rFonts w:ascii="Arial" w:cs="Arial" w:eastAsia="Arial" w:hAnsi="Arial"/>
                <w:sz w:val="16"/>
                <w:szCs w:val="16"/>
                <w:color w:val="auto"/>
              </w:rPr>
              <w:t>USA Patriot Act</w:t>
            </w:r>
          </w:p>
        </w:tc>
        <w:tc>
          <w:tcPr>
            <w:tcW w:w="43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33"/>
        </w:trPr>
        <w:tc>
          <w:tcPr>
            <w:tcW w:w="640" w:type="dxa"/>
            <w:vAlign w:val="bottom"/>
          </w:tcPr>
          <w:p>
            <w:pPr>
              <w:jc w:val="right"/>
              <w:ind w:right="199"/>
              <w:spacing w:after="0"/>
              <w:rPr>
                <w:sz w:val="20"/>
                <w:szCs w:val="20"/>
                <w:color w:val="auto"/>
              </w:rPr>
            </w:pPr>
            <w:r>
              <w:rPr>
                <w:rFonts w:ascii="Arial" w:cs="Arial" w:eastAsia="Arial" w:hAnsi="Arial"/>
                <w:sz w:val="16"/>
                <w:szCs w:val="16"/>
                <w:color w:val="auto"/>
                <w:w w:val="84"/>
              </w:rPr>
              <w:t>10.19</w:t>
            </w:r>
          </w:p>
        </w:tc>
        <w:tc>
          <w:tcPr>
            <w:tcW w:w="6360" w:type="dxa"/>
            <w:vAlign w:val="bottom"/>
          </w:tcPr>
          <w:p>
            <w:pPr>
              <w:ind w:left="280"/>
              <w:spacing w:after="0"/>
              <w:rPr>
                <w:sz w:val="20"/>
                <w:szCs w:val="20"/>
                <w:color w:val="auto"/>
              </w:rPr>
            </w:pPr>
            <w:r>
              <w:rPr>
                <w:rFonts w:ascii="Arial" w:cs="Arial" w:eastAsia="Arial" w:hAnsi="Arial"/>
                <w:sz w:val="16"/>
                <w:szCs w:val="16"/>
                <w:color w:val="auto"/>
              </w:rPr>
              <w:t>[Reserved]</w:t>
            </w:r>
          </w:p>
        </w:tc>
        <w:tc>
          <w:tcPr>
            <w:tcW w:w="43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33"/>
        </w:trPr>
        <w:tc>
          <w:tcPr>
            <w:tcW w:w="640" w:type="dxa"/>
            <w:vAlign w:val="bottom"/>
          </w:tcPr>
          <w:p>
            <w:pPr>
              <w:jc w:val="right"/>
              <w:ind w:right="199"/>
              <w:spacing w:after="0"/>
              <w:rPr>
                <w:sz w:val="20"/>
                <w:szCs w:val="20"/>
                <w:color w:val="auto"/>
              </w:rPr>
            </w:pPr>
            <w:r>
              <w:rPr>
                <w:rFonts w:ascii="Arial" w:cs="Arial" w:eastAsia="Arial" w:hAnsi="Arial"/>
                <w:sz w:val="16"/>
                <w:szCs w:val="16"/>
                <w:color w:val="auto"/>
                <w:w w:val="84"/>
              </w:rPr>
              <w:t>10.20</w:t>
            </w:r>
          </w:p>
        </w:tc>
        <w:tc>
          <w:tcPr>
            <w:tcW w:w="6360" w:type="dxa"/>
            <w:vAlign w:val="bottom"/>
          </w:tcPr>
          <w:p>
            <w:pPr>
              <w:ind w:left="280"/>
              <w:spacing w:after="0"/>
              <w:rPr>
                <w:sz w:val="20"/>
                <w:szCs w:val="20"/>
                <w:color w:val="auto"/>
              </w:rPr>
            </w:pPr>
            <w:r>
              <w:rPr>
                <w:rFonts w:ascii="Arial" w:cs="Arial" w:eastAsia="Arial" w:hAnsi="Arial"/>
                <w:sz w:val="16"/>
                <w:szCs w:val="16"/>
                <w:color w:val="auto"/>
              </w:rPr>
              <w:t>No Novation</w:t>
            </w:r>
          </w:p>
        </w:tc>
        <w:tc>
          <w:tcPr>
            <w:tcW w:w="4300" w:type="dxa"/>
            <w:vAlign w:val="bottom"/>
          </w:tcPr>
          <w:p>
            <w:pPr>
              <w:jc w:val="right"/>
              <w:spacing w:after="0"/>
              <w:rPr>
                <w:sz w:val="20"/>
                <w:szCs w:val="20"/>
                <w:color w:val="auto"/>
              </w:rPr>
            </w:pPr>
            <w:r>
              <w:rPr>
                <w:rFonts w:ascii="Arial" w:cs="Arial" w:eastAsia="Arial" w:hAnsi="Arial"/>
                <w:sz w:val="16"/>
                <w:szCs w:val="16"/>
                <w:color w:val="auto"/>
              </w:rPr>
              <w:t>93</w:t>
            </w:r>
          </w:p>
        </w:tc>
      </w:tr>
    </w:tbl>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340"/>
          </w:cols>
          <w:pgMar w:left="220" w:top="258" w:right="339" w:bottom="1440" w:gutter="0" w:footer="0" w:header="0"/>
        </w:sectPr>
      </w:pPr>
    </w:p>
    <w:bookmarkStart w:id="205" w:name="page206"/>
    <w:bookmarkEnd w:id="205"/>
    <w:p>
      <w:pPr>
        <w:ind w:left="60"/>
        <w:spacing w:after="0"/>
        <w:rPr>
          <w:sz w:val="20"/>
          <w:szCs w:val="20"/>
          <w:color w:val="auto"/>
        </w:rPr>
      </w:pPr>
      <w:r>
        <w:rPr>
          <w:rFonts w:ascii="Arial" w:cs="Arial" w:eastAsia="Arial" w:hAnsi="Arial"/>
          <w:sz w:val="16"/>
          <w:szCs w:val="16"/>
          <w:color w:val="auto"/>
        </w:rPr>
        <w:t>SCHEDULES:</w:t>
      </w:r>
    </w:p>
    <w:p>
      <w:pPr>
        <w:spacing w:after="0" w:line="4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6"/>
                <w:szCs w:val="16"/>
                <w:color w:val="auto"/>
              </w:rPr>
              <w:t>1.1A</w:t>
            </w:r>
          </w:p>
        </w:tc>
        <w:tc>
          <w:tcPr>
            <w:tcW w:w="2180" w:type="dxa"/>
            <w:vAlign w:val="bottom"/>
          </w:tcPr>
          <w:p>
            <w:pPr>
              <w:ind w:left="300"/>
              <w:spacing w:after="0"/>
              <w:rPr>
                <w:sz w:val="20"/>
                <w:szCs w:val="20"/>
                <w:color w:val="auto"/>
              </w:rPr>
            </w:pPr>
            <w:r>
              <w:rPr>
                <w:rFonts w:ascii="Arial" w:cs="Arial" w:eastAsia="Arial" w:hAnsi="Arial"/>
                <w:sz w:val="16"/>
                <w:szCs w:val="16"/>
                <w:color w:val="auto"/>
              </w:rPr>
              <w:t>Commitments</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1.1B</w:t>
            </w:r>
          </w:p>
        </w:tc>
        <w:tc>
          <w:tcPr>
            <w:tcW w:w="2180" w:type="dxa"/>
            <w:vAlign w:val="bottom"/>
          </w:tcPr>
          <w:p>
            <w:pPr>
              <w:ind w:left="300"/>
              <w:spacing w:after="0"/>
              <w:rPr>
                <w:sz w:val="20"/>
                <w:szCs w:val="20"/>
                <w:color w:val="auto"/>
              </w:rPr>
            </w:pPr>
            <w:r>
              <w:rPr>
                <w:rFonts w:ascii="Arial" w:cs="Arial" w:eastAsia="Arial" w:hAnsi="Arial"/>
                <w:sz w:val="16"/>
                <w:szCs w:val="16"/>
                <w:color w:val="auto"/>
                <w:w w:val="93"/>
              </w:rPr>
              <w:t>Initial Excluded Subsidiaries</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1.1C</w:t>
            </w:r>
          </w:p>
        </w:tc>
        <w:tc>
          <w:tcPr>
            <w:tcW w:w="2180" w:type="dxa"/>
            <w:vAlign w:val="bottom"/>
          </w:tcPr>
          <w:p>
            <w:pPr>
              <w:ind w:left="300"/>
              <w:spacing w:after="0"/>
              <w:rPr>
                <w:sz w:val="20"/>
                <w:szCs w:val="20"/>
                <w:color w:val="auto"/>
              </w:rPr>
            </w:pPr>
            <w:r>
              <w:rPr>
                <w:rFonts w:ascii="Arial" w:cs="Arial" w:eastAsia="Arial" w:hAnsi="Arial"/>
                <w:sz w:val="16"/>
                <w:szCs w:val="16"/>
                <w:color w:val="auto"/>
              </w:rPr>
              <w:t>Applicable Pricing Grid</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1.1D</w:t>
            </w:r>
          </w:p>
        </w:tc>
        <w:tc>
          <w:tcPr>
            <w:tcW w:w="2180" w:type="dxa"/>
            <w:vAlign w:val="bottom"/>
          </w:tcPr>
          <w:p>
            <w:pPr>
              <w:ind w:left="300"/>
              <w:spacing w:after="0"/>
              <w:rPr>
                <w:sz w:val="20"/>
                <w:szCs w:val="20"/>
                <w:color w:val="auto"/>
              </w:rPr>
            </w:pPr>
            <w:r>
              <w:rPr>
                <w:rFonts w:ascii="Arial" w:cs="Arial" w:eastAsia="Arial" w:hAnsi="Arial"/>
                <w:sz w:val="16"/>
                <w:szCs w:val="16"/>
                <w:color w:val="auto"/>
              </w:rPr>
              <w:t>Existing Liens</w:t>
            </w:r>
          </w:p>
        </w:tc>
      </w:tr>
      <w:tr>
        <w:trPr>
          <w:trHeight w:val="233"/>
        </w:trPr>
        <w:tc>
          <w:tcPr>
            <w:tcW w:w="600" w:type="dxa"/>
            <w:vAlign w:val="bottom"/>
          </w:tcPr>
          <w:p>
            <w:pPr>
              <w:spacing w:after="0"/>
              <w:rPr>
                <w:sz w:val="20"/>
                <w:szCs w:val="20"/>
                <w:color w:val="auto"/>
              </w:rPr>
            </w:pPr>
            <w:r>
              <w:rPr>
                <w:rFonts w:ascii="Arial" w:cs="Arial" w:eastAsia="Arial" w:hAnsi="Arial"/>
                <w:sz w:val="16"/>
                <w:szCs w:val="16"/>
                <w:color w:val="auto"/>
              </w:rPr>
              <w:t>4.6</w:t>
            </w:r>
          </w:p>
        </w:tc>
        <w:tc>
          <w:tcPr>
            <w:tcW w:w="2180" w:type="dxa"/>
            <w:vAlign w:val="bottom"/>
          </w:tcPr>
          <w:p>
            <w:pPr>
              <w:ind w:left="300"/>
              <w:spacing w:after="0"/>
              <w:rPr>
                <w:sz w:val="20"/>
                <w:szCs w:val="20"/>
                <w:color w:val="auto"/>
              </w:rPr>
            </w:pPr>
            <w:r>
              <w:rPr>
                <w:rFonts w:ascii="Arial" w:cs="Arial" w:eastAsia="Arial" w:hAnsi="Arial"/>
                <w:sz w:val="16"/>
                <w:szCs w:val="16"/>
                <w:color w:val="auto"/>
              </w:rPr>
              <w:t>Litigation</w:t>
            </w:r>
          </w:p>
        </w:tc>
      </w:tr>
    </w:tbl>
    <w:p>
      <w:pPr>
        <w:spacing w:after="0" w:line="358"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EXHIBITS:</w:t>
      </w:r>
    </w:p>
    <w:p>
      <w:pPr>
        <w:spacing w:after="0" w:line="49" w:lineRule="exact"/>
        <w:rPr>
          <w:sz w:val="20"/>
          <w:szCs w:val="20"/>
          <w:color w:val="auto"/>
        </w:rPr>
      </w:pPr>
    </w:p>
    <w:p>
      <w:pPr>
        <w:ind w:left="960" w:hanging="902"/>
        <w:spacing w:after="0"/>
        <w:tabs>
          <w:tab w:leader="none" w:pos="9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Form of Guarantee</w:t>
      </w:r>
    </w:p>
    <w:p>
      <w:pPr>
        <w:spacing w:after="0" w:line="49" w:lineRule="exact"/>
        <w:rPr>
          <w:sz w:val="20"/>
          <w:szCs w:val="20"/>
          <w:color w:val="auto"/>
        </w:rPr>
      </w:pPr>
    </w:p>
    <w:p>
      <w:pPr>
        <w:ind w:left="960" w:hanging="902"/>
        <w:spacing w:after="0"/>
        <w:tabs>
          <w:tab w:leader="none" w:pos="9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[Reserved]</w:t>
      </w:r>
    </w:p>
    <w:p>
      <w:pPr>
        <w:spacing w:after="0" w:line="49" w:lineRule="exact"/>
        <w:rPr>
          <w:sz w:val="20"/>
          <w:szCs w:val="20"/>
          <w:color w:val="auto"/>
        </w:rPr>
      </w:pPr>
    </w:p>
    <w:p>
      <w:pPr>
        <w:ind w:left="960" w:hanging="902"/>
        <w:spacing w:after="0"/>
        <w:tabs>
          <w:tab w:leader="none" w:pos="9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Form of Competitive Bid Request</w:t>
      </w:r>
    </w:p>
    <w:p>
      <w:pPr>
        <w:spacing w:after="0" w:line="49" w:lineRule="exact"/>
        <w:rPr>
          <w:sz w:val="20"/>
          <w:szCs w:val="20"/>
          <w:color w:val="auto"/>
        </w:rPr>
      </w:pPr>
    </w:p>
    <w:p>
      <w:pPr>
        <w:ind w:left="960" w:hanging="902"/>
        <w:spacing w:after="0"/>
        <w:tabs>
          <w:tab w:leader="none" w:pos="9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Form of Competitive Bid</w:t>
      </w:r>
    </w:p>
    <w:p>
      <w:pPr>
        <w:spacing w:after="0" w:line="49" w:lineRule="exact"/>
        <w:rPr>
          <w:sz w:val="20"/>
          <w:szCs w:val="20"/>
          <w:color w:val="auto"/>
        </w:rPr>
      </w:pPr>
    </w:p>
    <w:p>
      <w:pPr>
        <w:ind w:left="960" w:hanging="902"/>
        <w:spacing w:after="0"/>
        <w:tabs>
          <w:tab w:leader="none" w:pos="9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Form of Competitive Bid Accept/Reject Letter</w:t>
      </w:r>
    </w:p>
    <w:p>
      <w:pPr>
        <w:spacing w:after="0" w:line="49" w:lineRule="exact"/>
        <w:rPr>
          <w:sz w:val="20"/>
          <w:szCs w:val="20"/>
          <w:color w:val="auto"/>
        </w:rPr>
      </w:pPr>
    </w:p>
    <w:p>
      <w:pPr>
        <w:ind w:left="960" w:hanging="902"/>
        <w:spacing w:after="0"/>
        <w:tabs>
          <w:tab w:leader="none" w:pos="9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[Reserved]</w:t>
      </w:r>
    </w:p>
    <w:p>
      <w:pPr>
        <w:spacing w:after="0" w:line="49" w:lineRule="exact"/>
        <w:rPr>
          <w:sz w:val="20"/>
          <w:szCs w:val="20"/>
          <w:color w:val="auto"/>
        </w:rPr>
      </w:pPr>
    </w:p>
    <w:p>
      <w:pPr>
        <w:ind w:left="960" w:hanging="902"/>
        <w:spacing w:after="0"/>
        <w:tabs>
          <w:tab w:leader="none" w:pos="9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Form of Incremental Loan Activation Notice</w:t>
      </w:r>
    </w:p>
    <w:p>
      <w:pPr>
        <w:spacing w:after="0" w:line="49" w:lineRule="exact"/>
        <w:rPr>
          <w:sz w:val="20"/>
          <w:szCs w:val="20"/>
          <w:color w:val="auto"/>
        </w:rPr>
      </w:pPr>
    </w:p>
    <w:p>
      <w:pPr>
        <w:ind w:left="960" w:hanging="902"/>
        <w:spacing w:after="0"/>
        <w:tabs>
          <w:tab w:leader="none" w:pos="9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Form of Closing Certificate</w:t>
      </w:r>
    </w:p>
    <w:p>
      <w:pPr>
        <w:spacing w:after="0" w:line="49" w:lineRule="exact"/>
        <w:rPr>
          <w:sz w:val="20"/>
          <w:szCs w:val="20"/>
          <w:color w:val="auto"/>
        </w:rPr>
      </w:pPr>
    </w:p>
    <w:p>
      <w:pPr>
        <w:ind w:left="960" w:hanging="902"/>
        <w:spacing w:after="0"/>
        <w:tabs>
          <w:tab w:leader="none" w:pos="9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Form of Assignment and Assumption</w:t>
      </w:r>
    </w:p>
    <w:p>
      <w:pPr>
        <w:spacing w:after="0" w:line="49" w:lineRule="exact"/>
        <w:rPr>
          <w:sz w:val="20"/>
          <w:szCs w:val="20"/>
          <w:color w:val="auto"/>
        </w:rPr>
      </w:pPr>
    </w:p>
    <w:p>
      <w:pPr>
        <w:ind w:left="960" w:hanging="902"/>
        <w:spacing w:after="0"/>
        <w:tabs>
          <w:tab w:leader="none" w:pos="9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Form of Borrower Joinder Agreement</w:t>
      </w:r>
    </w:p>
    <w:p>
      <w:pPr>
        <w:spacing w:after="0" w:line="4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6"/>
                <w:szCs w:val="16"/>
                <w:color w:val="auto"/>
              </w:rPr>
              <w:t>K-1</w:t>
            </w:r>
          </w:p>
        </w:tc>
        <w:tc>
          <w:tcPr>
            <w:tcW w:w="5140" w:type="dxa"/>
            <w:vAlign w:val="bottom"/>
          </w:tcPr>
          <w:p>
            <w:pPr>
              <w:ind w:left="320"/>
              <w:spacing w:after="0"/>
              <w:rPr>
                <w:sz w:val="20"/>
                <w:szCs w:val="20"/>
                <w:color w:val="auto"/>
              </w:rPr>
            </w:pPr>
            <w:r>
              <w:rPr>
                <w:rFonts w:ascii="Arial" w:cs="Arial" w:eastAsia="Arial" w:hAnsi="Arial"/>
                <w:sz w:val="16"/>
                <w:szCs w:val="16"/>
                <w:color w:val="auto"/>
                <w:w w:val="98"/>
              </w:rPr>
              <w:t>Form of Exemption Certificate for Non-Partnership Non-U.S. Lenders</w:t>
            </w:r>
          </w:p>
        </w:tc>
      </w:tr>
      <w:tr>
        <w:trPr>
          <w:trHeight w:val="233"/>
        </w:trPr>
        <w:tc>
          <w:tcPr>
            <w:tcW w:w="580" w:type="dxa"/>
            <w:vAlign w:val="bottom"/>
          </w:tcPr>
          <w:p>
            <w:pPr>
              <w:spacing w:after="0"/>
              <w:rPr>
                <w:sz w:val="20"/>
                <w:szCs w:val="20"/>
                <w:color w:val="auto"/>
              </w:rPr>
            </w:pPr>
            <w:r>
              <w:rPr>
                <w:rFonts w:ascii="Arial" w:cs="Arial" w:eastAsia="Arial" w:hAnsi="Arial"/>
                <w:sz w:val="16"/>
                <w:szCs w:val="16"/>
                <w:color w:val="auto"/>
              </w:rPr>
              <w:t>K-2</w:t>
            </w:r>
          </w:p>
        </w:tc>
        <w:tc>
          <w:tcPr>
            <w:tcW w:w="5140" w:type="dxa"/>
            <w:vAlign w:val="bottom"/>
          </w:tcPr>
          <w:p>
            <w:pPr>
              <w:ind w:left="320"/>
              <w:spacing w:after="0"/>
              <w:rPr>
                <w:sz w:val="20"/>
                <w:szCs w:val="20"/>
                <w:color w:val="auto"/>
              </w:rPr>
            </w:pPr>
            <w:r>
              <w:rPr>
                <w:rFonts w:ascii="Arial" w:cs="Arial" w:eastAsia="Arial" w:hAnsi="Arial"/>
                <w:sz w:val="16"/>
                <w:szCs w:val="16"/>
                <w:color w:val="auto"/>
              </w:rPr>
              <w:t>Form of Exemption Certificate for Partnership Non-U.S. Lenders</w:t>
            </w:r>
          </w:p>
        </w:tc>
      </w:tr>
      <w:tr>
        <w:trPr>
          <w:trHeight w:val="233"/>
        </w:trPr>
        <w:tc>
          <w:tcPr>
            <w:tcW w:w="580" w:type="dxa"/>
            <w:vAlign w:val="bottom"/>
          </w:tcPr>
          <w:p>
            <w:pPr>
              <w:spacing w:after="0"/>
              <w:rPr>
                <w:sz w:val="20"/>
                <w:szCs w:val="20"/>
                <w:color w:val="auto"/>
              </w:rPr>
            </w:pPr>
            <w:r>
              <w:rPr>
                <w:rFonts w:ascii="Arial" w:cs="Arial" w:eastAsia="Arial" w:hAnsi="Arial"/>
                <w:sz w:val="16"/>
                <w:szCs w:val="16"/>
                <w:color w:val="auto"/>
              </w:rPr>
              <w:t>K-3</w:t>
            </w:r>
          </w:p>
        </w:tc>
        <w:tc>
          <w:tcPr>
            <w:tcW w:w="5140" w:type="dxa"/>
            <w:vAlign w:val="bottom"/>
          </w:tcPr>
          <w:p>
            <w:pPr>
              <w:ind w:left="320"/>
              <w:spacing w:after="0"/>
              <w:rPr>
                <w:sz w:val="20"/>
                <w:szCs w:val="20"/>
                <w:color w:val="auto"/>
              </w:rPr>
            </w:pPr>
            <w:r>
              <w:rPr>
                <w:rFonts w:ascii="Arial" w:cs="Arial" w:eastAsia="Arial" w:hAnsi="Arial"/>
                <w:sz w:val="16"/>
                <w:szCs w:val="16"/>
                <w:color w:val="auto"/>
                <w:w w:val="93"/>
              </w:rPr>
              <w:t>Form of Exemption Certificate for Non-Partnership Non-U.S. Participants</w:t>
            </w:r>
          </w:p>
        </w:tc>
      </w:tr>
      <w:tr>
        <w:trPr>
          <w:trHeight w:val="233"/>
        </w:trPr>
        <w:tc>
          <w:tcPr>
            <w:tcW w:w="580" w:type="dxa"/>
            <w:vAlign w:val="bottom"/>
          </w:tcPr>
          <w:p>
            <w:pPr>
              <w:spacing w:after="0"/>
              <w:rPr>
                <w:sz w:val="20"/>
                <w:szCs w:val="20"/>
                <w:color w:val="auto"/>
              </w:rPr>
            </w:pPr>
            <w:r>
              <w:rPr>
                <w:rFonts w:ascii="Arial" w:cs="Arial" w:eastAsia="Arial" w:hAnsi="Arial"/>
                <w:sz w:val="16"/>
                <w:szCs w:val="16"/>
                <w:color w:val="auto"/>
              </w:rPr>
              <w:t>K-4</w:t>
            </w:r>
          </w:p>
        </w:tc>
        <w:tc>
          <w:tcPr>
            <w:tcW w:w="5140" w:type="dxa"/>
            <w:vAlign w:val="bottom"/>
          </w:tcPr>
          <w:p>
            <w:pPr>
              <w:ind w:left="320"/>
              <w:spacing w:after="0"/>
              <w:rPr>
                <w:sz w:val="20"/>
                <w:szCs w:val="20"/>
                <w:color w:val="auto"/>
              </w:rPr>
            </w:pPr>
            <w:r>
              <w:rPr>
                <w:rFonts w:ascii="Arial" w:cs="Arial" w:eastAsia="Arial" w:hAnsi="Arial"/>
                <w:sz w:val="16"/>
                <w:szCs w:val="16"/>
                <w:color w:val="auto"/>
              </w:rPr>
              <w:t>Form of Exemption Certificate for Partnership Non-U.S. Participants</w:t>
            </w:r>
          </w:p>
        </w:tc>
      </w:tr>
    </w:tbl>
    <w:p>
      <w:pPr>
        <w:spacing w:after="0" w:line="26" w:lineRule="exact"/>
        <w:rPr>
          <w:sz w:val="20"/>
          <w:szCs w:val="20"/>
          <w:color w:val="auto"/>
        </w:rPr>
      </w:pPr>
    </w:p>
    <w:p>
      <w:pPr>
        <w:ind w:left="960" w:hanging="902"/>
        <w:spacing w:after="0"/>
        <w:tabs>
          <w:tab w:leader="none" w:pos="9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Form of Compliance Certificate</w:t>
      </w:r>
    </w:p>
    <w:p>
      <w:pPr>
        <w:spacing w:after="0" w:line="49" w:lineRule="exact"/>
        <w:rPr>
          <w:sz w:val="20"/>
          <w:szCs w:val="20"/>
          <w:color w:val="auto"/>
        </w:rPr>
      </w:pPr>
    </w:p>
    <w:p>
      <w:pPr>
        <w:ind w:left="960" w:hanging="902"/>
        <w:spacing w:after="0"/>
        <w:tabs>
          <w:tab w:leader="none" w:pos="9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Form of Note</w:t>
      </w:r>
    </w:p>
    <w:p>
      <w:pPr>
        <w:spacing w:after="0" w:line="49" w:lineRule="exact"/>
        <w:rPr>
          <w:sz w:val="20"/>
          <w:szCs w:val="20"/>
          <w:color w:val="auto"/>
        </w:rPr>
      </w:pPr>
    </w:p>
    <w:p>
      <w:pPr>
        <w:ind w:left="960" w:hanging="902"/>
        <w:spacing w:after="0"/>
        <w:tabs>
          <w:tab w:leader="none" w:pos="9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Form of Borrowing Request</w:t>
      </w:r>
    </w:p>
    <w:p>
      <w:pPr>
        <w:spacing w:after="0" w:line="200" w:lineRule="exact"/>
        <w:rPr>
          <w:sz w:val="20"/>
          <w:szCs w:val="20"/>
          <w:color w:val="auto"/>
        </w:rPr>
      </w:pPr>
    </w:p>
    <w:p>
      <w:pPr>
        <w:spacing w:after="0" w:line="389"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vi</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0239"/>
          </w:cols>
          <w:pgMar w:left="220" w:top="258" w:right="1440" w:bottom="1440" w:gutter="0" w:footer="0" w:header="0"/>
        </w:sectPr>
      </w:pPr>
    </w:p>
    <w:bookmarkStart w:id="206" w:name="page207"/>
    <w:bookmarkEnd w:id="206"/>
    <w:p>
      <w:pPr>
        <w:ind w:right="100" w:firstLine="1063"/>
        <w:spacing w:after="0" w:line="263" w:lineRule="auto"/>
        <w:rPr>
          <w:sz w:val="20"/>
          <w:szCs w:val="20"/>
          <w:color w:val="auto"/>
        </w:rPr>
      </w:pPr>
      <w:r>
        <w:rPr>
          <w:rFonts w:ascii="Arial" w:cs="Arial" w:eastAsia="Arial" w:hAnsi="Arial"/>
          <w:sz w:val="17"/>
          <w:szCs w:val="17"/>
          <w:color w:val="auto"/>
        </w:rPr>
        <w:t>AMENDED AND RESTATED FIVE YEAR REVOLVING CREDIT AGREEMENT, dated as of October 17, 2014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General Motors do Brasil Ltda., a Brazilian 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other Subsidiary Borrowers (as defined herein) from time to time parties hereto, the several banks and other financial institutions or entities from time to time parties hereto, as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(and any of its branches and affiliates acting on its behalf in such capacity), as administrative agent for the Lenders (in such capacity, the “</w:t>
      </w:r>
      <w:r>
        <w:rPr>
          <w:rFonts w:ascii="Arial" w:cs="Arial" w:eastAsia="Arial" w:hAnsi="Arial"/>
          <w:sz w:val="17"/>
          <w:szCs w:val="17"/>
          <w:u w:val="single" w:color="auto"/>
          <w:color w:val="auto"/>
        </w:rPr>
        <w:t>Administrative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Banco do Brasil S.A. (and any of its branches and affiliates acting on its behalf in such capacity) as administrative agent for the Brazilian Lenders (in such capacity, the “</w:t>
      </w:r>
      <w:r>
        <w:rPr>
          <w:rFonts w:ascii="Arial" w:cs="Arial" w:eastAsia="Arial" w:hAnsi="Arial"/>
          <w:sz w:val="17"/>
          <w:szCs w:val="17"/>
          <w:u w:val="single" w:color="auto"/>
          <w:color w:val="auto"/>
        </w:rPr>
        <w:t>Brazilian Administrative Agent</w:t>
      </w:r>
      <w:r>
        <w:rPr>
          <w:rFonts w:ascii="Arial" w:cs="Arial" w:eastAsia="Arial" w:hAnsi="Arial"/>
          <w:sz w:val="17"/>
          <w:szCs w:val="17"/>
          <w:color w:val="auto"/>
        </w:rPr>
        <w:t>”), CITIBANK, 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and BANK OF AMERICA, N.A., as co-syndication agent (in such capacity, the “</w:t>
      </w:r>
      <w:r>
        <w:rPr>
          <w:rFonts w:ascii="Arial" w:cs="Arial" w:eastAsia="Arial" w:hAnsi="Arial"/>
          <w:sz w:val="17"/>
          <w:szCs w:val="17"/>
          <w:u w:val="single" w:color="auto"/>
          <w:color w:val="auto"/>
        </w:rPr>
        <w:t>Co-Syndication Agent</w:t>
      </w:r>
      <w:r>
        <w:rPr>
          <w:rFonts w:ascii="Arial" w:cs="Arial" w:eastAsia="Arial" w:hAnsi="Arial"/>
          <w:sz w:val="17"/>
          <w:szCs w:val="17"/>
          <w:color w:val="auto"/>
        </w:rPr>
        <w:t>”).</w:t>
      </w:r>
    </w:p>
    <w:p>
      <w:pPr>
        <w:spacing w:after="0" w:line="147" w:lineRule="exact"/>
        <w:rPr>
          <w:sz w:val="20"/>
          <w:szCs w:val="20"/>
          <w:color w:val="auto"/>
        </w:rPr>
      </w:pPr>
    </w:p>
    <w:p>
      <w:pPr>
        <w:ind w:right="60" w:firstLine="1063"/>
        <w:spacing w:after="0" w:line="300" w:lineRule="auto"/>
        <w:rPr>
          <w:sz w:val="20"/>
          <w:szCs w:val="20"/>
          <w:color w:val="auto"/>
        </w:rPr>
      </w:pPr>
      <w:r>
        <w:rPr>
          <w:rFonts w:ascii="Arial" w:cs="Arial" w:eastAsia="Arial" w:hAnsi="Arial"/>
          <w:sz w:val="16"/>
          <w:szCs w:val="16"/>
          <w:color w:val="auto"/>
        </w:rPr>
        <w:t>WHEREAS, General Motors Holdings LLC, a Delaware limited liability company (“</w:t>
      </w:r>
      <w:r>
        <w:rPr>
          <w:rFonts w:ascii="Arial" w:cs="Arial" w:eastAsia="Arial" w:hAnsi="Arial"/>
          <w:sz w:val="16"/>
          <w:szCs w:val="16"/>
          <w:u w:val="single" w:color="auto"/>
          <w:color w:val="auto"/>
        </w:rPr>
        <w:t>GM Holdings</w:t>
      </w:r>
      <w:r>
        <w:rPr>
          <w:rFonts w:ascii="Arial" w:cs="Arial" w:eastAsia="Arial" w:hAnsi="Arial"/>
          <w:sz w:val="16"/>
          <w:szCs w:val="16"/>
          <w:color w:val="auto"/>
        </w:rPr>
        <w:t>”) entered into that certain Five Year Revolving Credit Agreement, dated as of November 5, 2012 (the “</w:t>
      </w:r>
      <w:r>
        <w:rPr>
          <w:rFonts w:ascii="Arial" w:cs="Arial" w:eastAsia="Arial" w:hAnsi="Arial"/>
          <w:sz w:val="16"/>
          <w:szCs w:val="16"/>
          <w:u w:val="single" w:color="auto"/>
          <w:color w:val="auto"/>
        </w:rPr>
        <w:t>Existing Five Year Credit Agreement</w:t>
      </w:r>
      <w:r>
        <w:rPr>
          <w:rFonts w:ascii="Arial" w:cs="Arial" w:eastAsia="Arial" w:hAnsi="Arial"/>
          <w:sz w:val="16"/>
          <w:szCs w:val="16"/>
          <w:color w:val="auto"/>
        </w:rPr>
        <w:t>”), with the other subsidiary borrowers from time to time party thereto, the several lenders from time to time party thereto, JPMorgan Chase Bank, N.A., as administrative agent, and the other agents party thereto;</w:t>
      </w:r>
    </w:p>
    <w:p>
      <w:pPr>
        <w:spacing w:after="0" w:line="118" w:lineRule="exact"/>
        <w:rPr>
          <w:sz w:val="20"/>
          <w:szCs w:val="20"/>
          <w:color w:val="auto"/>
        </w:rPr>
      </w:pPr>
    </w:p>
    <w:p>
      <w:pPr>
        <w:ind w:right="660" w:firstLine="1063"/>
        <w:spacing w:after="0" w:line="326" w:lineRule="auto"/>
        <w:rPr>
          <w:sz w:val="20"/>
          <w:szCs w:val="20"/>
          <w:color w:val="auto"/>
        </w:rPr>
      </w:pPr>
      <w:r>
        <w:rPr>
          <w:rFonts w:ascii="Arial" w:cs="Arial" w:eastAsia="Arial" w:hAnsi="Arial"/>
          <w:sz w:val="16"/>
          <w:szCs w:val="16"/>
          <w:color w:val="auto"/>
        </w:rPr>
        <w:t>WHEREAS, the parties have agreed to amend and restate the Existing Five Year Credit Agreement as provided in this Agreement, which Agreement shall become effective upon the satisfaction (or waiver pursuant to Section 10.1) of the conditions set forth in Section 5.1;</w:t>
      </w:r>
    </w:p>
    <w:p>
      <w:pPr>
        <w:spacing w:after="0" w:line="98" w:lineRule="exact"/>
        <w:rPr>
          <w:sz w:val="20"/>
          <w:szCs w:val="20"/>
          <w:color w:val="auto"/>
        </w:rPr>
      </w:pPr>
    </w:p>
    <w:p>
      <w:pPr>
        <w:ind w:right="160" w:firstLine="1063"/>
        <w:spacing w:after="0" w:line="326" w:lineRule="auto"/>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hereby agree that on the Closing Date (as defined below), the Existing Five Year Credit Agreement shall be amended and restated in its entirety as follows: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DEFINITIONS</w:t>
      </w:r>
    </w:p>
    <w:p>
      <w:pPr>
        <w:spacing w:after="0" w:line="214"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 xml:space="preserve">Defined Terms. </w:t>
      </w:r>
      <w:r>
        <w:rPr>
          <w:rFonts w:ascii="Arial" w:cs="Arial" w:eastAsia="Arial" w:hAnsi="Arial"/>
          <w:sz w:val="16"/>
          <w:szCs w:val="16"/>
          <w:color w:val="auto"/>
        </w:rPr>
        <w:t>As used in this Agreement, the terms listed in this Section 1.1 shall have the respective meanings set forth in this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2013 10-K</w:t>
      </w:r>
      <w:r>
        <w:rPr>
          <w:rFonts w:ascii="Arial" w:cs="Arial" w:eastAsia="Arial" w:hAnsi="Arial"/>
          <w:sz w:val="18"/>
          <w:szCs w:val="18"/>
          <w:color w:val="auto"/>
        </w:rPr>
        <w:t>” has the meaning assigned to such term in Section 4.1.</w:t>
      </w:r>
    </w:p>
    <w:p>
      <w:pPr>
        <w:spacing w:after="0" w:line="181" w:lineRule="exact"/>
        <w:rPr>
          <w:sz w:val="20"/>
          <w:szCs w:val="20"/>
          <w:color w:val="auto"/>
        </w:rPr>
      </w:pPr>
    </w:p>
    <w:p>
      <w:pPr>
        <w:ind w:firstLine="10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Revolving Credit Agreement</w:t>
      </w:r>
      <w:r>
        <w:rPr>
          <w:rFonts w:ascii="Arial" w:cs="Arial" w:eastAsia="Arial" w:hAnsi="Arial"/>
          <w:sz w:val="17"/>
          <w:szCs w:val="17"/>
          <w:color w:val="auto"/>
        </w:rPr>
        <w:t>” means (i) that certain Amended and Restated Three Year Revolving Credit Agreement, dated as of the date hereof, among the Company, GMF, GM Europe Treasury Company AB, GMB,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07" w:name="page208"/>
    <w:bookmarkEnd w:id="207"/>
    <w:p>
      <w:pPr>
        <w:ind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Available Commitments</w:t>
      </w:r>
      <w:r>
        <w:rPr>
          <w:rFonts w:ascii="Arial" w:cs="Arial" w:eastAsia="Arial" w:hAnsi="Arial"/>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56" w:lineRule="exact"/>
        <w:rPr>
          <w:sz w:val="20"/>
          <w:szCs w:val="20"/>
          <w:color w:val="auto"/>
        </w:rPr>
      </w:pPr>
    </w:p>
    <w:p>
      <w:pPr>
        <w:ind w:right="260"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Total Commitments</w:t>
      </w:r>
      <w:r>
        <w:rPr>
          <w:rFonts w:ascii="Arial" w:cs="Arial" w:eastAsia="Arial" w:hAnsi="Arial"/>
          <w:sz w:val="16"/>
          <w:szCs w:val="16"/>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18" w:lineRule="exact"/>
        <w:rPr>
          <w:sz w:val="20"/>
          <w:szCs w:val="20"/>
          <w:color w:val="auto"/>
        </w:rPr>
      </w:pPr>
    </w:p>
    <w:p>
      <w:pPr>
        <w:jc w:val="both"/>
        <w:ind w:right="180"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Total Extensions of Credit</w:t>
      </w:r>
      <w:r>
        <w:rPr>
          <w:rFonts w:ascii="Arial" w:cs="Arial" w:eastAsia="Arial" w:hAnsi="Arial"/>
          <w:sz w:val="16"/>
          <w:szCs w:val="16"/>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18" w:lineRule="exact"/>
        <w:rPr>
          <w:sz w:val="20"/>
          <w:szCs w:val="20"/>
          <w:color w:val="auto"/>
        </w:rPr>
      </w:pPr>
    </w:p>
    <w:p>
      <w:pPr>
        <w:ind w:right="40" w:firstLine="1063"/>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means for any day, a rate per annum (rounded upwards, if necessary, to the next 1/16 of 1.00%) equal to the greatest of (a) the Prime Rate in effect on such day, (b) the Federal Funds Effective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½ of 1.00% and (c) the Eurocurrency Rate, calculated as of such date in respect of a proposed Eurocurrency Loan denominated in Dollars with a one-month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Any change in the ABR due to a change in the Prime Rate, the Federal Funds Effective Rate or the Eurocurrency Rate shall be effective as of the opening of business on the effective day of such change in the Prime Rate, the Federal Funds Effective Rate or the Eurocurrency Rate, respectively.</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 has the meaning assigned to such term in Section 2.19(a)(iii).</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and the Brazilian Administrative Agent, collectively.</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right="16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Rate</w:t>
      </w:r>
      <w:r>
        <w:rPr>
          <w:rFonts w:ascii="Arial" w:cs="Arial" w:eastAsia="Arial" w:hAnsi="Arial"/>
          <w:sz w:val="18"/>
          <w:szCs w:val="18"/>
          <w:color w:val="auto"/>
        </w:rPr>
        <w:t xml:space="preserve">” means, for any day, the sum of (a) a rate per annum selected by the Administrative Agent, in its reasonable discretion based on market conditions in consultation with the Company (and any applicable Subsidiary Borrower) and the relevant Lenders,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Applicable Margin for Eurocurrency Loans. When used in reference to any Loan, “Alternate Rate” refers to whether such Loan is bearing interest at a rate determined by reference to the Alternate Rate.</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has the meaning assigned to such term in Section 3.1(a).</w:t>
      </w:r>
    </w:p>
    <w:p>
      <w:pPr>
        <w:spacing w:after="0" w:line="181" w:lineRule="exact"/>
        <w:rPr>
          <w:sz w:val="20"/>
          <w:szCs w:val="20"/>
          <w:color w:val="auto"/>
        </w:rPr>
      </w:pPr>
    </w:p>
    <w:p>
      <w:pPr>
        <w:ind w:right="10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Lending Office</w:t>
      </w:r>
      <w:r>
        <w:rPr>
          <w:rFonts w:ascii="Arial" w:cs="Arial" w:eastAsia="Arial" w:hAnsi="Arial"/>
          <w:sz w:val="16"/>
          <w:szCs w:val="16"/>
          <w:color w:val="auto"/>
        </w:rPr>
        <w:t>” means, for any Lender, such Lender’s office, branch or affiliate designated for Eurocurrency Loans denominated in the applicable Currency, ABR Loans, CDI Loans, L/C Obligations or Letters of Credit denominated in the applicable Currency, as applicable, as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08" w:name="page209"/>
    <w:bookmarkEnd w:id="208"/>
    <w:p>
      <w:pPr>
        <w:ind w:right="140"/>
        <w:spacing w:after="0" w:line="253" w:lineRule="auto"/>
        <w:rPr>
          <w:sz w:val="20"/>
          <w:szCs w:val="20"/>
          <w:color w:val="auto"/>
        </w:rPr>
      </w:pPr>
      <w:r>
        <w:rPr>
          <w:rFonts w:ascii="Arial" w:cs="Arial" w:eastAsia="Arial" w:hAnsi="Arial"/>
          <w:sz w:val="18"/>
          <w:szCs w:val="18"/>
          <w:color w:val="auto"/>
        </w:rPr>
        <w:t>notified to the Administrative Agent and the Company or as otherwise specified in the Assignment and Assumption pursuant to which such Lender became a party hereto, any of which offices may, subject to Section 2.24, be changed by such Lender upon 10 days’ prior written notice to the Administrative Agent and the Company.</w:t>
      </w:r>
    </w:p>
    <w:p>
      <w:pPr>
        <w:spacing w:after="0" w:line="154" w:lineRule="exact"/>
        <w:rPr>
          <w:sz w:val="20"/>
          <w:szCs w:val="20"/>
          <w:color w:val="auto"/>
        </w:rPr>
      </w:pPr>
    </w:p>
    <w:p>
      <w:pPr>
        <w:jc w:val="both"/>
        <w:ind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for any day, with respect to any ABR Loan, CDI Loan or Eurocurrency Loan, as the case may be, the applicable rate per annum set forth under the relevant column heading in the Applicable Pricing Grid, based upon the Facility Rating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the time that the Company has delivered Facility Ratings pursuant to Section 6.10, the Applicable Margin shall be (i) [***] per annum in the case of ABR Loans and (ii) [***] per annum in the case of Eurocurrency Loans.</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the table set forth on Schedule 1.1C.</w:t>
      </w:r>
    </w:p>
    <w:p>
      <w:pPr>
        <w:spacing w:after="0" w:line="181" w:lineRule="exact"/>
        <w:rPr>
          <w:sz w:val="20"/>
          <w:szCs w:val="20"/>
          <w:color w:val="auto"/>
        </w:rPr>
      </w:pPr>
    </w:p>
    <w:p>
      <w:pPr>
        <w:ind w:right="2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181" w:lineRule="exact"/>
        <w:rPr>
          <w:sz w:val="20"/>
          <w:szCs w:val="20"/>
          <w:color w:val="auto"/>
        </w:rPr>
      </w:pPr>
    </w:p>
    <w:p>
      <w:pPr>
        <w:jc w:val="both"/>
        <w:ind w:right="10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I.</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181" w:lineRule="exact"/>
        <w:rPr>
          <w:sz w:val="20"/>
          <w:szCs w:val="20"/>
          <w:color w:val="auto"/>
        </w:rPr>
      </w:pPr>
    </w:p>
    <w:p>
      <w:pPr>
        <w:jc w:val="both"/>
        <w:ind w:right="100"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GMB, GMF or any other Subsidiary Borrower designated from time to time by the Company until (in the case of any Subsidiary Borrower) such time as such Subsidiary Borrower is removed as a party hereto pursuant to Section 10.1(d).</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J.</w:t>
      </w:r>
    </w:p>
    <w:p>
      <w:pPr>
        <w:spacing w:after="0" w:line="181" w:lineRule="exact"/>
        <w:rPr>
          <w:sz w:val="20"/>
          <w:szCs w:val="20"/>
          <w:color w:val="auto"/>
        </w:rPr>
      </w:pPr>
    </w:p>
    <w:p>
      <w:pPr>
        <w:ind w:right="3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means a request by any Borrower for a Domestic Loan or Multicurrency Loan, in substantially the form of Exhibit N.</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00"/>
          </w:cols>
          <w:pgMar w:left="220" w:top="134" w:right="279" w:bottom="1440" w:gutter="0" w:footer="0" w:header="0"/>
        </w:sectPr>
      </w:pPr>
    </w:p>
    <w:bookmarkStart w:id="209" w:name="page210"/>
    <w:bookmarkEnd w:id="209"/>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right="3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Bank Certificate</w:t>
      </w:r>
      <w:r>
        <w:rPr>
          <w:rFonts w:ascii="Arial" w:cs="Arial" w:eastAsia="Arial" w:hAnsi="Arial"/>
          <w:sz w:val="18"/>
          <w:szCs w:val="18"/>
          <w:color w:val="auto"/>
        </w:rPr>
        <w:t>” means each bank credit certificate, issued by any Brazilian Subsidiary Borrower in favor of any Brazilian Lender pursuant to which such Brazilian Lender agrees to make Brazilian Loans.</w:t>
      </w:r>
    </w:p>
    <w:p>
      <w:pPr>
        <w:spacing w:after="0" w:line="144" w:lineRule="exact"/>
        <w:rPr>
          <w:sz w:val="20"/>
          <w:szCs w:val="20"/>
          <w:color w:val="auto"/>
        </w:rPr>
      </w:pPr>
    </w:p>
    <w:p>
      <w:pPr>
        <w:ind w:firstLine="1063"/>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Brazilian Commitment</w:t>
      </w:r>
      <w:r>
        <w:rPr>
          <w:rFonts w:ascii="Arial" w:cs="Arial" w:eastAsia="Arial" w:hAnsi="Arial"/>
          <w:sz w:val="16"/>
          <w:szCs w:val="16"/>
          <w:color w:val="auto"/>
        </w:rPr>
        <w:t>” means as to any Lender, the obligation of such Lender, if any, to make Brazilian Loans in an aggregate principal amount in Brazilian Reais the Dollar Equivalent of which shall not exceed the amount set forth under the heading “Brazilian Commitment” opposite such Lender’s name on Schedule 1.1A or in the Assignment and Assumption pursuant to which such Lender became a party hereto, as the same may be changed from time to time pursuant to the terms hereof. The aggregate principal amount in Brazilian Reais of the Brazilian Commitment shall be (i) calculated based on the Real/U.S. Dollars exchange rate, expressed as the amount of Real for conversion into Dollars as reported by the Central Bank of Brazil and on its website (which, at the date hereof, is located at http://www.bcb.gov.br/?txcambio), under transaction “Cotações e Boletins” option “Cotações de fechamento de todas as moedas em uma data”, “Venda” (or any successor screen established by the Central Bank of Brazil) (such rate, the “PTAX”) on each valuation date of the exchange rates; (ii) the Brazilian Commitment shall be updated every quarter as of the issuance date of each Brazilian Bank Certificate based on the exchange rate above available on the Business Day prior to the date of issuance of a written amendment to the respective Brazilian Bank Certificate and (iii) informed by the Brazilian Administrative Agent to each Brazilian Lender and the relevant Brazilian Subsidiary Borrower on the disbursement date of each borrowing under the Brazilian Commitment or at any day if so requested by any Brazilian Subsidiary Borrower and/or any Brazilian Lender. If the PTAX is not available, for any reason, the sale closing average quotations received from three leading Brazilian banks as selected by GMB in its sole discretion shall be applied. Notwithstanding the foregoing, if such rate cannot be determined, the conversion rate shall be jointly defined by GMB and the Brazilian Lenders.</w:t>
      </w:r>
    </w:p>
    <w:p>
      <w:pPr>
        <w:spacing w:after="0" w:line="142" w:lineRule="exact"/>
        <w:rPr>
          <w:sz w:val="20"/>
          <w:szCs w:val="20"/>
          <w:color w:val="auto"/>
        </w:rPr>
      </w:pPr>
    </w:p>
    <w:p>
      <w:pPr>
        <w:ind w:right="6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Extensions of Credit</w:t>
      </w:r>
      <w:r>
        <w:rPr>
          <w:rFonts w:ascii="Arial" w:cs="Arial" w:eastAsia="Arial" w:hAnsi="Arial"/>
          <w:sz w:val="18"/>
          <w:szCs w:val="18"/>
          <w:color w:val="auto"/>
        </w:rPr>
        <w:t>” means, as to any Brazilian Lender at any time, an amount equal to the Dollar Equivalent of the aggregate principal amount of all Brazilian Loans held by such Lender then outstanding.</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Facility</w:t>
      </w:r>
      <w:r>
        <w:rPr>
          <w:rFonts w:ascii="Arial" w:cs="Arial" w:eastAsia="Arial" w:hAnsi="Arial"/>
          <w:sz w:val="18"/>
          <w:szCs w:val="18"/>
          <w:color w:val="auto"/>
        </w:rPr>
        <w:t>” means the Brazilian Commitments and the extensions of credit made thereunder.</w:t>
      </w:r>
    </w:p>
    <w:p>
      <w:pPr>
        <w:spacing w:after="0" w:line="181" w:lineRule="exact"/>
        <w:rPr>
          <w:sz w:val="20"/>
          <w:szCs w:val="20"/>
          <w:color w:val="auto"/>
        </w:rPr>
      </w:pPr>
    </w:p>
    <w:p>
      <w:pPr>
        <w:ind w:right="3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Intercreditor Agreement</w:t>
      </w:r>
      <w:r>
        <w:rPr>
          <w:rFonts w:ascii="Arial" w:cs="Arial" w:eastAsia="Arial" w:hAnsi="Arial"/>
          <w:sz w:val="18"/>
          <w:szCs w:val="18"/>
          <w:color w:val="auto"/>
        </w:rPr>
        <w:t>” means the Creditors’ Agreement (as defined in the Brazilian Bank Certificate dated as of the date hereof) after the execution thereof.</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Lender</w:t>
      </w:r>
      <w:r>
        <w:rPr>
          <w:rFonts w:ascii="Arial" w:cs="Arial" w:eastAsia="Arial" w:hAnsi="Arial"/>
          <w:sz w:val="18"/>
          <w:szCs w:val="18"/>
          <w:color w:val="auto"/>
        </w:rPr>
        <w:t>” means each Lender that has a Brazilian Commitment or that holds Brazilian Loans.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Loans</w:t>
      </w:r>
      <w:r>
        <w:rPr>
          <w:rFonts w:ascii="Arial" w:cs="Arial" w:eastAsia="Arial" w:hAnsi="Arial"/>
          <w:sz w:val="18"/>
          <w:szCs w:val="18"/>
          <w:color w:val="auto"/>
        </w:rPr>
        <w:t>” has the meaning assigned to such term in Section 2.5(a).</w:t>
      </w:r>
    </w:p>
    <w:p>
      <w:pPr>
        <w:spacing w:after="0" w:line="181" w:lineRule="exact"/>
        <w:rPr>
          <w:sz w:val="20"/>
          <w:szCs w:val="20"/>
          <w:color w:val="auto"/>
        </w:rPr>
      </w:pPr>
    </w:p>
    <w:p>
      <w:pPr>
        <w:ind w:right="6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Percentage</w:t>
      </w:r>
      <w:r>
        <w:rPr>
          <w:rFonts w:ascii="Arial" w:cs="Arial" w:eastAsia="Arial" w:hAnsi="Arial"/>
          <w:sz w:val="18"/>
          <w:szCs w:val="18"/>
          <w:color w:val="auto"/>
        </w:rPr>
        <w:t>” means as to any Brazilian Lender at any time, the percentage which such Lender’s Brazilian Commitment then constitutes of the aggregate amount of the Brazilian Commitments then in effect or, at any time after the Brazilian Commitments shall have expired or terminated, the percentage which the aggregate Outstanding Amount of Brazilian Extensions of Credit of such Lender then outstanding constitutes of the aggregate Outstanding Amount of Brazilian Extensions of Credit of the Brazilian Lenders then outstanding.</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10" w:name="page211"/>
    <w:bookmarkEnd w:id="210"/>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181" w:lineRule="exact"/>
        <w:rPr>
          <w:sz w:val="20"/>
          <w:szCs w:val="20"/>
          <w:color w:val="auto"/>
        </w:rPr>
      </w:pPr>
    </w:p>
    <w:p>
      <w:pPr>
        <w:jc w:val="both"/>
        <w:ind w:right="1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Subsidiary Borrower</w:t>
      </w:r>
      <w:r>
        <w:rPr>
          <w:rFonts w:ascii="Arial" w:cs="Arial" w:eastAsia="Arial" w:hAnsi="Arial"/>
          <w:sz w:val="17"/>
          <w:szCs w:val="17"/>
          <w:color w:val="auto"/>
        </w:rPr>
        <w:t>” means GMB and any Subsidiary Borrower that is a Subsidiary of GMF or GMB and which is a Brazilian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167" w:lineRule="exact"/>
        <w:rPr>
          <w:sz w:val="20"/>
          <w:szCs w:val="20"/>
          <w:color w:val="auto"/>
        </w:rPr>
      </w:pPr>
    </w:p>
    <w:p>
      <w:pPr>
        <w:ind w:firstLine="10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Saturday, Sunday or other day on which banks in New York City and, solely in connection with matters relating to the Brazilian Lenders, São Paulo and São Caetano do Sul, both in the State of São Paulo, Brazil, are permitted to 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when used in connection with (a) a Eurocurrency Loan, the term “Business Day” shall also exclude any day on which banks are not open for dealings in Dollar deposits or deposits in any Optional Currency, as applicable, in the London Interbank market, (b) an extension of credit denominated in Euros, the term “Business Day” shall also exclude any day that is not a TARGET Day and (c) an extension of credit denominated in any Optional Currency (other than Euros) or any other currency, the term “Business Day” shall also exclude any day on which banks in the principal financial center of the country of such Optional Currency or other currency are not open for general business.</w:t>
      </w:r>
    </w:p>
    <w:p>
      <w:pPr>
        <w:spacing w:after="0" w:line="145" w:lineRule="exact"/>
        <w:rPr>
          <w:sz w:val="20"/>
          <w:szCs w:val="20"/>
          <w:color w:val="auto"/>
        </w:rPr>
      </w:pPr>
    </w:p>
    <w:p>
      <w:pPr>
        <w:ind w:right="14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56" w:lineRule="exact"/>
        <w:rPr>
          <w:sz w:val="20"/>
          <w:szCs w:val="20"/>
          <w:color w:val="auto"/>
        </w:rPr>
      </w:pPr>
    </w:p>
    <w:p>
      <w:pPr>
        <w:ind w:right="6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98" w:lineRule="exact"/>
        <w:rPr>
          <w:sz w:val="20"/>
          <w:szCs w:val="20"/>
          <w:color w:val="auto"/>
        </w:rPr>
      </w:pPr>
    </w:p>
    <w:p>
      <w:pPr>
        <w:jc w:val="both"/>
        <w:ind w:right="220" w:firstLine="1063"/>
        <w:spacing w:after="0" w:line="40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CDI</w:t>
      </w:r>
      <w:r>
        <w:rPr>
          <w:rFonts w:ascii="Arial" w:cs="Arial" w:eastAsia="Arial" w:hAnsi="Arial"/>
          <w:sz w:val="14"/>
          <w:szCs w:val="14"/>
          <w:color w:val="auto"/>
        </w:rPr>
        <w:t>” means the daily average rate of the DI - Depósitos Interfinanceiros de um dia, “over extra-grupo”, expressed in the form of a percentage per annum, based upon 252 business days, calculated and published daily by the CETIP S.A. - Mercados Organizados, at the website http://www.cetip.com.br.</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 Loans</w:t>
      </w:r>
      <w:r>
        <w:rPr>
          <w:rFonts w:ascii="Arial" w:cs="Arial" w:eastAsia="Arial" w:hAnsi="Arial"/>
          <w:sz w:val="18"/>
          <w:szCs w:val="18"/>
          <w:color w:val="auto"/>
        </w:rPr>
        <w:t>” means Loans the rate of interest applicable to which is based upon the CDI.</w:t>
      </w:r>
    </w:p>
    <w:p>
      <w:pPr>
        <w:spacing w:after="0" w:line="181"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2.21,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2.21, (x) the Dodd-Frank Wall Street Reform and Consumer Protection Act and all requests, rules, guidelines, requirements and directives thereunder or issued in connection therewith or in implementation thereof (whether or not having the force of law) and</w:t>
      </w:r>
    </w:p>
    <w:p>
      <w:pPr>
        <w:spacing w:after="0" w:line="2" w:lineRule="exact"/>
        <w:rPr>
          <w:sz w:val="20"/>
          <w:szCs w:val="20"/>
          <w:color w:val="auto"/>
        </w:rPr>
      </w:pPr>
    </w:p>
    <w:p>
      <w:pPr>
        <w:ind w:right="620" w:firstLine="9"/>
        <w:spacing w:after="0" w:line="247" w:lineRule="auto"/>
        <w:tabs>
          <w:tab w:leader="none" w:pos="25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requests, rules, regulations, guidelines, requirements or directives promulgated by the Bank for International Settlements, the Basel Committee on Banking Supervision (or any successor or similar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11" w:name="page212"/>
    <w:bookmarkEnd w:id="211"/>
    <w:p>
      <w:pPr>
        <w:ind w:right="300"/>
        <w:spacing w:after="0" w:line="326" w:lineRule="auto"/>
        <w:rPr>
          <w:sz w:val="20"/>
          <w:szCs w:val="20"/>
          <w:color w:val="auto"/>
        </w:rPr>
      </w:pPr>
      <w:r>
        <w:rPr>
          <w:rFonts w:ascii="Arial" w:cs="Arial" w:eastAsia="Arial" w:hAnsi="Arial"/>
          <w:sz w:val="16"/>
          <w:szCs w:val="16"/>
          <w:color w:val="auto"/>
        </w:rPr>
        <w:t>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2.22(a).</w:t>
      </w:r>
    </w:p>
    <w:p>
      <w:pPr>
        <w:spacing w:after="0" w:line="181" w:lineRule="exact"/>
        <w:rPr>
          <w:sz w:val="20"/>
          <w:szCs w:val="20"/>
          <w:color w:val="auto"/>
        </w:rPr>
      </w:pPr>
    </w:p>
    <w:p>
      <w:pPr>
        <w:ind w:right="100" w:firstLine="106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of any of the following events: (a) any “</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group</w:t>
      </w:r>
      <w:r>
        <w:rPr>
          <w:rFonts w:ascii="Arial" w:cs="Arial" w:eastAsia="Arial" w:hAnsi="Arial"/>
          <w:sz w:val="17"/>
          <w:szCs w:val="17"/>
          <w:color w:val="auto"/>
        </w:rPr>
        <w:t>” (as such terms are used in Sections 13(d) and 14(d) of the Exchange Act) shall become, or obtain rights (whether by means of warrants, options or otherwise) to become, the “</w:t>
      </w:r>
      <w:r>
        <w:rPr>
          <w:rFonts w:ascii="Arial" w:cs="Arial" w:eastAsia="Arial" w:hAnsi="Arial"/>
          <w:sz w:val="17"/>
          <w:szCs w:val="17"/>
          <w:u w:val="single" w:color="auto"/>
          <w:color w:val="auto"/>
        </w:rPr>
        <w:t>beneficial owner</w:t>
      </w:r>
      <w:r>
        <w:rPr>
          <w:rFonts w:ascii="Arial" w:cs="Arial" w:eastAsia="Arial" w:hAnsi="Arial"/>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42" w:lineRule="exact"/>
        <w:rPr>
          <w:sz w:val="20"/>
          <w:szCs w:val="20"/>
          <w:color w:val="auto"/>
        </w:rPr>
      </w:pPr>
    </w:p>
    <w:p>
      <w:pPr>
        <w:ind w:right="2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October 17,</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81" w:lineRule="exact"/>
        <w:rPr>
          <w:sz w:val="20"/>
          <w:szCs w:val="20"/>
          <w:color w:val="auto"/>
        </w:rPr>
      </w:pPr>
    </w:p>
    <w:p>
      <w:pPr>
        <w:ind w:right="1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Trust Agreement</w:t>
      </w:r>
      <w:r>
        <w:rPr>
          <w:rFonts w:ascii="Arial" w:cs="Arial" w:eastAsia="Arial" w:hAnsi="Arial"/>
          <w:sz w:val="18"/>
          <w:szCs w:val="18"/>
          <w:color w:val="auto"/>
        </w:rPr>
        <w:t>” means the Collateral Trust Agreement, dated as of October 27, 2010, among GM Holdings, certain Subsidiaries of GM Holdings party thereto, the Collateral Trustee and the other parties named therein.</w:t>
      </w:r>
    </w:p>
    <w:p>
      <w:pPr>
        <w:spacing w:after="0" w:line="144" w:lineRule="exact"/>
        <w:rPr>
          <w:sz w:val="20"/>
          <w:szCs w:val="20"/>
          <w:color w:val="auto"/>
        </w:rPr>
      </w:pPr>
    </w:p>
    <w:p>
      <w:pPr>
        <w:ind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Trustee</w:t>
      </w:r>
      <w:r>
        <w:rPr>
          <w:rFonts w:ascii="Arial" w:cs="Arial" w:eastAsia="Arial" w:hAnsi="Arial"/>
          <w:sz w:val="16"/>
          <w:szCs w:val="16"/>
          <w:color w:val="auto"/>
        </w:rPr>
        <w:t>” means Wilmington Trust Company, in its capacity as trustee under the Collateral Trust Agreement (and any successor thereto under the Collateral Trust Agreement) and, as the context may require, any co-trustee appointed pursuant to the terms of the Collateral Trust Agreement.</w:t>
      </w:r>
    </w:p>
    <w:p>
      <w:pPr>
        <w:spacing w:after="0" w:line="98" w:lineRule="exact"/>
        <w:rPr>
          <w:sz w:val="20"/>
          <w:szCs w:val="20"/>
          <w:color w:val="auto"/>
        </w:rPr>
      </w:pPr>
    </w:p>
    <w:p>
      <w:pPr>
        <w:ind w:right="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Collateralized</w:t>
      </w:r>
      <w:r>
        <w:rPr>
          <w:rFonts w:ascii="Arial" w:cs="Arial" w:eastAsia="Arial" w:hAnsi="Arial"/>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54" w:lineRule="exact"/>
        <w:rPr>
          <w:sz w:val="20"/>
          <w:szCs w:val="20"/>
          <w:color w:val="auto"/>
        </w:rPr>
      </w:pPr>
    </w:p>
    <w:p>
      <w:pPr>
        <w:ind w:right="70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individually and collectively, the Brazilian Commitments, the Domestic Commitments and the Multicurrency Commitments. To the extent any Incremental Facility or New Local Facility is established, the “Commitments” shall, to the extent appropriate, include commitments under such Facilities.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assigned to such term in Section 2.29(a).</w:t>
      </w:r>
    </w:p>
    <w:p>
      <w:pPr>
        <w:spacing w:after="0" w:line="181" w:lineRule="exact"/>
        <w:rPr>
          <w:sz w:val="20"/>
          <w:szCs w:val="20"/>
          <w:color w:val="auto"/>
        </w:rPr>
      </w:pPr>
    </w:p>
    <w:p>
      <w:pPr>
        <w:ind w:right="8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44" w:lineRule="exact"/>
        <w:rPr>
          <w:sz w:val="20"/>
          <w:szCs w:val="20"/>
          <w:color w:val="auto"/>
        </w:rPr>
      </w:pPr>
    </w:p>
    <w:p>
      <w:pPr>
        <w:ind w:right="4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12" w:name="page213"/>
    <w:bookmarkEnd w:id="212"/>
    <w:p>
      <w:pPr>
        <w:ind w:right="14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the Brazilian Intercreditor Agreement or otherwise transmitted between the parties hereto relating to this Agreement, the other Loan Documents, the Brazilian Intercreditor Agreement, any Loan Party or its affiliates, or the transactions contemplated by this Agreement or the other Loan Documents or the Brazilian Intercreditor Agreement.</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2.10.</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Accept/Reject Letter</w:t>
      </w:r>
      <w:r>
        <w:rPr>
          <w:rFonts w:ascii="Arial" w:cs="Arial" w:eastAsia="Arial" w:hAnsi="Arial"/>
          <w:sz w:val="16"/>
          <w:szCs w:val="16"/>
          <w:color w:val="auto"/>
        </w:rPr>
        <w:t>” means a notification made by the Company pursuant to Section 2.10, substantially in the form of Exhibit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167" w:lineRule="exact"/>
        <w:rPr>
          <w:sz w:val="20"/>
          <w:szCs w:val="20"/>
          <w:color w:val="auto"/>
        </w:rPr>
      </w:pPr>
    </w:p>
    <w:p>
      <w:pPr>
        <w:ind w:right="1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2.10, substantially in the form of Exhibit C.</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2.10.</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L.</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Domestic Liquidity</w:t>
      </w:r>
      <w:r>
        <w:rPr>
          <w:rFonts w:ascii="Arial" w:cs="Arial" w:eastAsia="Arial" w:hAnsi="Arial"/>
          <w:sz w:val="16"/>
          <w:szCs w:val="16"/>
          <w:color w:val="auto"/>
        </w:rPr>
        <w:t>” means, as of any date of determination, the sum of (a) the Total Available Commitments as of such date plus</w:t>
      </w:r>
    </w:p>
    <w:p>
      <w:pPr>
        <w:spacing w:after="0" w:line="40" w:lineRule="exact"/>
        <w:rPr>
          <w:sz w:val="20"/>
          <w:szCs w:val="20"/>
          <w:color w:val="auto"/>
        </w:rPr>
      </w:pPr>
    </w:p>
    <w:p>
      <w:pPr>
        <w:ind w:firstLine="9"/>
        <w:spacing w:after="0" w:line="261" w:lineRule="auto"/>
        <w:tabs>
          <w:tab w:leader="none" w:pos="25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3-Year Total Available Commitments at such date plus (c) the total available commitments (after giving effect to any applicable borrowing base limitations) under other then-effective committed credit facilities of the Company or any Domestic Subsidiary (including any Ancillary Commitments under and as defined in the 3-Year Revolving Credit Agreement, which may at such time be reallocated to provide availability to the Company or any Domestic Subsidiary)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49" w:lineRule="exact"/>
        <w:rPr>
          <w:sz w:val="20"/>
          <w:szCs w:val="20"/>
          <w:color w:val="auto"/>
        </w:rPr>
      </w:pPr>
    </w:p>
    <w:p>
      <w:pPr>
        <w:ind w:right="40" w:firstLine="1063"/>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Global Liquidity</w:t>
      </w:r>
      <w:r>
        <w:rPr>
          <w:rFonts w:ascii="Arial" w:cs="Arial" w:eastAsia="Arial" w:hAnsi="Arial"/>
          <w:sz w:val="18"/>
          <w:szCs w:val="18"/>
          <w:color w:val="auto"/>
        </w:rPr>
        <w:t xml:space="preserve">” means as of any date of determination, the sum of (a) the Total Available Commitments as of such date plus (b) the 3-Year Total Available Commitments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total available commitments (after giving effect to any applicable borrowing base limitations) under other then-effective committed credit facilities of the Company or any of its Subsidiaries (including any Ancillary Commitments under and as defined in the 3-Year Revolving Credit Agreement available to the Company or any of its Subsidiaries, if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Subsidiaries (other than Subsidiaries of the Company that constitute Finance Subsidiaries, if any), as reported in the</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Company’s most recent Annual Report on Form 10-K or Quarterly Report on Form 10-Q, as applicable, filed with the SEC.</w:t>
      </w:r>
    </w:p>
    <w:p>
      <w:pPr>
        <w:spacing w:after="0" w:line="181" w:lineRule="exact"/>
        <w:rPr>
          <w:sz w:val="20"/>
          <w:szCs w:val="20"/>
          <w:color w:val="auto"/>
        </w:rPr>
      </w:pPr>
    </w:p>
    <w:p>
      <w:pPr>
        <w:jc w:val="both"/>
        <w:ind w:right="60" w:firstLine="106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36" w:lineRule="exact"/>
        <w:rPr>
          <w:sz w:val="20"/>
          <w:szCs w:val="20"/>
          <w:color w:val="auto"/>
        </w:rPr>
      </w:pPr>
    </w:p>
    <w:p>
      <w:pPr>
        <w:ind w:right="2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44" w:lineRule="exact"/>
        <w:rPr>
          <w:sz w:val="20"/>
          <w:szCs w:val="20"/>
          <w:color w:val="auto"/>
        </w:rPr>
      </w:pPr>
    </w:p>
    <w:p>
      <w:pPr>
        <w:ind w:right="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54" w:lineRule="exact"/>
        <w:rPr>
          <w:sz w:val="20"/>
          <w:szCs w:val="20"/>
          <w:color w:val="auto"/>
        </w:rPr>
      </w:pPr>
    </w:p>
    <w:p>
      <w:pPr>
        <w:ind w:right="1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44" w:lineRule="exact"/>
        <w:rPr>
          <w:sz w:val="20"/>
          <w:szCs w:val="20"/>
          <w:color w:val="auto"/>
        </w:rPr>
      </w:pPr>
    </w:p>
    <w:p>
      <w:pPr>
        <w:ind w:right="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Rating</w:t>
      </w:r>
      <w:r>
        <w:rPr>
          <w:rFonts w:ascii="Arial" w:cs="Arial" w:eastAsia="Arial" w:hAnsi="Arial"/>
          <w:sz w:val="18"/>
          <w:szCs w:val="18"/>
          <w:color w:val="auto"/>
        </w:rPr>
        <w:t>” means, as of any date, (a) in the case of S&amp;P, a “Long-Term Local Issuer Credit Rating”; (b) in the case of Moody’s, a “Long-Term Corporate Family Rating” (it being understood that Moody’s does not provide Corporate Ratings for investment grade companies); or (c) in the case of Fitch, a “Long-Term Issuer Default Rating”, as applicable, for the Company.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Optional Currency.</w:t>
      </w:r>
    </w:p>
    <w:p>
      <w:pPr>
        <w:spacing w:after="0" w:line="181" w:lineRule="exact"/>
        <w:rPr>
          <w:sz w:val="20"/>
          <w:szCs w:val="20"/>
          <w:color w:val="auto"/>
        </w:rPr>
      </w:pPr>
    </w:p>
    <w:p>
      <w:pPr>
        <w:ind w:right="10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any of the events specified in Section 8, whether or not any requirement for the giving of notice, the lapse of time, or both, has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been satisfied.</w:t>
      </w:r>
    </w:p>
    <w:p>
      <w:pPr>
        <w:spacing w:after="0" w:line="167" w:lineRule="exact"/>
        <w:rPr>
          <w:sz w:val="20"/>
          <w:szCs w:val="20"/>
          <w:color w:val="auto"/>
        </w:rPr>
      </w:pPr>
    </w:p>
    <w:p>
      <w:pPr>
        <w:ind w:firstLine="106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Lender shall cease to be a Defaulting Lender pursuant to this clause (c) upon the Company’s receipt of such confirmation, or (d) with respect to which a Lender Insolvency Event has occurred and is continuing.</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14" w:name="page215"/>
    <w:bookmarkEnd w:id="214"/>
    <w:p>
      <w:pPr>
        <w:ind w:right="1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means a Principal Trade Name, designated by the Company as the “Designated Principal Trade Name” in a written notice to the Administrative Agent pursuant to the terms hereof; provided that, for the avoidance of doubt, only one Principal Trade Name may be designated as a “Designated Principal Trade Name” during the term of this Agreement.</w:t>
      </w:r>
    </w:p>
    <w:p>
      <w:pPr>
        <w:spacing w:after="0" w:line="154"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means, with respect to any property, any sale, transfer or other disposition thereof; and the terms “Dispose” and “Disposed of” shall have correlative meanings;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56" w:lineRule="exact"/>
        <w:rPr>
          <w:sz w:val="20"/>
          <w:szCs w:val="20"/>
          <w:color w:val="auto"/>
        </w:rPr>
      </w:pPr>
    </w:p>
    <w:p>
      <w:pPr>
        <w:ind w:right="80" w:firstLine="1063"/>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181" w:lineRule="exact"/>
        <w:rPr>
          <w:sz w:val="20"/>
          <w:szCs w:val="20"/>
          <w:color w:val="auto"/>
        </w:rPr>
      </w:pPr>
    </w:p>
    <w:p>
      <w:pPr>
        <w:ind w:right="20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Commitment</w:t>
      </w:r>
      <w:r>
        <w:rPr>
          <w:rFonts w:ascii="Arial" w:cs="Arial" w:eastAsia="Arial" w:hAnsi="Arial"/>
          <w:sz w:val="18"/>
          <w:szCs w:val="18"/>
          <w:color w:val="auto"/>
        </w:rPr>
        <w:t>” means as to any Lender, the obligation of such Lender, if any, to make Domestic Loans and participate in Letters of Credit in an aggregate principal and/or face amount the Dollar Equivalent of which shall not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Competitive Loan</w:t>
      </w:r>
      <w:r>
        <w:rPr>
          <w:rFonts w:ascii="Arial" w:cs="Arial" w:eastAsia="Arial" w:hAnsi="Arial"/>
          <w:sz w:val="18"/>
          <w:szCs w:val="18"/>
          <w:color w:val="auto"/>
        </w:rPr>
        <w:t>” means a Competitive Loan made under the Domestic Facility.</w:t>
      </w:r>
    </w:p>
    <w:p>
      <w:pPr>
        <w:spacing w:after="0" w:line="181" w:lineRule="exact"/>
        <w:rPr>
          <w:sz w:val="20"/>
          <w:szCs w:val="20"/>
          <w:color w:val="auto"/>
        </w:rPr>
      </w:pPr>
    </w:p>
    <w:p>
      <w:pPr>
        <w:ind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Extensions of Credit</w:t>
      </w:r>
      <w:r>
        <w:rPr>
          <w:rFonts w:ascii="Arial" w:cs="Arial" w:eastAsia="Arial" w:hAnsi="Arial"/>
          <w:sz w:val="18"/>
          <w:szCs w:val="18"/>
          <w:color w:val="auto"/>
        </w:rPr>
        <w:t>” means, as to any Domestic Lender at any time, an amount equal to the sum of (a) the aggregate principal amount of all Domestic Loans held by such Lender then outstanding and (b) an amount equal to such Lender’s applicable Domestic Percentage of the aggregate L/C Obligations then outstanding.</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Facility</w:t>
      </w:r>
      <w:r>
        <w:rPr>
          <w:rFonts w:ascii="Arial" w:cs="Arial" w:eastAsia="Arial" w:hAnsi="Arial"/>
          <w:sz w:val="18"/>
          <w:szCs w:val="18"/>
          <w:color w:val="auto"/>
        </w:rPr>
        <w:t>” means the Domestic Commitments and the extensions of credit made thereunder.</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Lender</w:t>
      </w:r>
      <w:r>
        <w:rPr>
          <w:rFonts w:ascii="Arial" w:cs="Arial" w:eastAsia="Arial" w:hAnsi="Arial"/>
          <w:sz w:val="16"/>
          <w:szCs w:val="16"/>
          <w:color w:val="auto"/>
        </w:rPr>
        <w:t>” means each Lender that has a Domestic Commitment or that holds Domestic Loans or other Loans made under the Domestic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Loans</w:t>
      </w:r>
      <w:r>
        <w:rPr>
          <w:rFonts w:ascii="Arial" w:cs="Arial" w:eastAsia="Arial" w:hAnsi="Arial"/>
          <w:sz w:val="18"/>
          <w:szCs w:val="18"/>
          <w:color w:val="auto"/>
        </w:rPr>
        <w:t>” has the meaning assigned to such term in Section 2.1.</w:t>
      </w:r>
    </w:p>
    <w:p>
      <w:pPr>
        <w:spacing w:after="0" w:line="181" w:lineRule="exact"/>
        <w:rPr>
          <w:sz w:val="20"/>
          <w:szCs w:val="20"/>
          <w:color w:val="auto"/>
        </w:rPr>
      </w:pPr>
    </w:p>
    <w:p>
      <w:pPr>
        <w:ind w:right="7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Percentage</w:t>
      </w:r>
      <w:r>
        <w:rPr>
          <w:rFonts w:ascii="Arial" w:cs="Arial" w:eastAsia="Arial" w:hAnsi="Arial"/>
          <w:sz w:val="18"/>
          <w:szCs w:val="18"/>
          <w:color w:val="auto"/>
        </w:rPr>
        <w:t>” means as to any Domestic Lender at any time, the percentage which such Lender’s Domestic Commitment then constitutes of the aggregate amount of the Domestic</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15" w:name="page216"/>
    <w:bookmarkEnd w:id="215"/>
    <w:p>
      <w:pPr>
        <w:jc w:val="both"/>
        <w:ind w:right="180"/>
        <w:spacing w:after="0" w:line="275" w:lineRule="auto"/>
        <w:rPr>
          <w:sz w:val="20"/>
          <w:szCs w:val="20"/>
          <w:color w:val="auto"/>
        </w:rPr>
      </w:pPr>
      <w:r>
        <w:rPr>
          <w:rFonts w:ascii="Arial" w:cs="Arial" w:eastAsia="Arial" w:hAnsi="Arial"/>
          <w:sz w:val="17"/>
          <w:szCs w:val="17"/>
          <w:color w:val="auto"/>
        </w:rPr>
        <w:t>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36" w:lineRule="exact"/>
        <w:rPr>
          <w:sz w:val="20"/>
          <w:szCs w:val="20"/>
          <w:color w:val="auto"/>
        </w:rPr>
      </w:pPr>
    </w:p>
    <w:p>
      <w:pPr>
        <w:ind w:right="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181" w:lineRule="exact"/>
        <w:rPr>
          <w:sz w:val="20"/>
          <w:szCs w:val="20"/>
          <w:color w:val="auto"/>
        </w:rPr>
      </w:pPr>
    </w:p>
    <w:p>
      <w:pPr>
        <w:ind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81" w:lineRule="exact"/>
        <w:rPr>
          <w:sz w:val="20"/>
          <w:szCs w:val="20"/>
          <w:color w:val="auto"/>
        </w:rPr>
      </w:pPr>
    </w:p>
    <w:p>
      <w:pPr>
        <w:jc w:val="both"/>
        <w:ind w:right="4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54" w:lineRule="exact"/>
        <w:rPr>
          <w:sz w:val="20"/>
          <w:szCs w:val="20"/>
          <w:color w:val="auto"/>
        </w:rPr>
      </w:pPr>
    </w:p>
    <w:p>
      <w:pPr>
        <w:ind w:right="80" w:firstLine="10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16" w:name="page217"/>
    <w:bookmarkEnd w:id="216"/>
    <w:p>
      <w:pPr>
        <w:ind w:right="60" w:firstLine="1063"/>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Base Rate</w:t>
      </w:r>
      <w:r>
        <w:rPr>
          <w:rFonts w:ascii="Arial" w:cs="Arial" w:eastAsia="Arial" w:hAnsi="Arial"/>
          <w:sz w:val="17"/>
          <w:szCs w:val="17"/>
          <w:color w:val="auto"/>
        </w:rPr>
        <w:t xml:space="preserve">” means, with respect to each day during each Interest Period pertaining to a Eurocurrency Loan, the London interbank offered rate as administered by the ICE Benchmark Administration (or any other Person that takes over the administration of such rate) for the applicable Currency for a period equal to such Interest Period commencing on the first day of such Interest Period as displayed on page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“Screen Rate”) as of 11:00 A.M., London time, on the Quotation Date; provided, that , if the Screen Rate shall not be available at such time for such Interest Period (an “Impacted Interest Period”) with respect to the applicable Currency, then the Eurocurrency Base Rate shall be the Interpolated Rate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Screen Rate shall be less than zero, such rate shall be deemed to be zero for purposes of this Agreement. “Interpolated Rate”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the applicable Currency) that is shorter than the Impacted Interest Period and (b) the Screen Rate for the shortest period (for which that Screen Rate is available for the applicable Currency) that exceeds the Impacted Interest Period, in each case, at such time, provided that if the Interpolated Rate shall be less than zero, such rate shall be deemed to be zero for purposes of this Agreement.</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Competitive Loans</w:t>
      </w:r>
      <w:r>
        <w:rPr>
          <w:rFonts w:ascii="Arial" w:cs="Arial" w:eastAsia="Arial" w:hAnsi="Arial"/>
          <w:sz w:val="16"/>
          <w:szCs w:val="16"/>
          <w:color w:val="auto"/>
        </w:rPr>
        <w:t>” means Competitive Loans bearing interest at a rate determined by reference to the Eurocurrency Rate.</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181" w:lineRule="exact"/>
        <w:rPr>
          <w:sz w:val="20"/>
          <w:szCs w:val="20"/>
          <w:color w:val="auto"/>
        </w:rPr>
      </w:pPr>
    </w:p>
    <w:p>
      <w:pPr>
        <w:ind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19685</wp:posOffset>
            </wp:positionV>
            <wp:extent cx="452882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28820" cy="6985"/>
                    </a:xfrm>
                    <a:prstGeom prst="rect">
                      <a:avLst/>
                    </a:prstGeom>
                    <a:noFill/>
                  </pic:spPr>
                </pic:pic>
              </a:graphicData>
            </a:graphic>
          </wp:anchor>
        </w:drawing>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 Eurocurrency Reserve Requirements</w:t>
      </w:r>
    </w:p>
    <w:p>
      <w:pPr>
        <w:spacing w:after="0" w:line="236" w:lineRule="exact"/>
        <w:rPr>
          <w:sz w:val="20"/>
          <w:szCs w:val="20"/>
          <w:color w:val="auto"/>
        </w:rPr>
      </w:pPr>
    </w:p>
    <w:p>
      <w:pPr>
        <w:ind w:right="180" w:firstLine="10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17" w:name="page218"/>
    <w:bookmarkEnd w:id="217"/>
    <w:p>
      <w:pPr>
        <w:ind w:right="60" w:firstLine="106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42" w:lineRule="exact"/>
        <w:rPr>
          <w:sz w:val="20"/>
          <w:szCs w:val="20"/>
          <w:color w:val="auto"/>
        </w:rPr>
      </w:pPr>
    </w:p>
    <w:p>
      <w:pPr>
        <w:ind w:right="2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181" w:lineRule="exact"/>
        <w:rPr>
          <w:sz w:val="20"/>
          <w:szCs w:val="20"/>
          <w:color w:val="auto"/>
        </w:rPr>
      </w:pPr>
    </w:p>
    <w:p>
      <w:pPr>
        <w:ind w:firstLine="10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 (ii) Brazilian Reais, the exchange rate (</w:t>
      </w:r>
      <w:r>
        <w:rPr>
          <w:rFonts w:ascii="Arial" w:cs="Arial" w:eastAsia="Arial" w:hAnsi="Arial"/>
          <w:sz w:val="16"/>
          <w:szCs w:val="16"/>
          <w:i w:val="1"/>
          <w:iCs w:val="1"/>
          <w:color w:val="auto"/>
        </w:rPr>
        <w:t>taxa de</w:t>
      </w:r>
      <w:r>
        <w:rPr>
          <w:rFonts w:ascii="Arial" w:cs="Arial" w:eastAsia="Arial" w:hAnsi="Arial"/>
          <w:sz w:val="16"/>
          <w:szCs w:val="16"/>
          <w:color w:val="auto"/>
        </w:rPr>
        <w:t xml:space="preserve"> câmbio) at which such currency may be exchanged into Dollars disclosed by the Central Bank of Brazil on its website (which, at the date hereof, is located at http://www.bcb.gov.br/?txcambio), under transaction “Cotações e Boletins” option “Cotações de fechamento de todas as moedas em uma data”, “Venda”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Local Time, on such day for the purchase of Dollars with such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36" w:lineRule="exact"/>
        <w:rPr>
          <w:sz w:val="20"/>
          <w:szCs w:val="20"/>
          <w:color w:val="auto"/>
        </w:rPr>
      </w:pPr>
    </w:p>
    <w:p>
      <w:pPr>
        <w:ind w:right="40" w:firstLine="10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contract, agreement, instrument, indenture or other Contractual Obligation shall not have been entered into in contemplation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 (f) each Finance Subsidiary of the Company and (g) each Subsidiary that is a dealership.</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Five Year Credit Agreement</w:t>
      </w:r>
      <w:r>
        <w:rPr>
          <w:rFonts w:ascii="Arial" w:cs="Arial" w:eastAsia="Arial" w:hAnsi="Arial"/>
          <w:sz w:val="18"/>
          <w:szCs w:val="18"/>
          <w:color w:val="auto"/>
        </w:rPr>
        <w:t>” has the meaning assigned to such term in the recitals hereto.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18" w:name="page219"/>
    <w:bookmarkEnd w:id="218"/>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w:t>
      </w:r>
      <w:r>
        <w:rPr>
          <w:rFonts w:ascii="Arial" w:cs="Arial" w:eastAsia="Arial" w:hAnsi="Arial"/>
          <w:sz w:val="18"/>
          <w:szCs w:val="18"/>
          <w:color w:val="auto"/>
        </w:rPr>
        <w:t>” means any “Loan” under and as defined in the Existing Five Year Credit Agreement.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Required Lenders</w:t>
      </w:r>
      <w:r>
        <w:rPr>
          <w:rFonts w:ascii="Arial" w:cs="Arial" w:eastAsia="Arial" w:hAnsi="Arial"/>
          <w:sz w:val="18"/>
          <w:szCs w:val="18"/>
          <w:color w:val="auto"/>
        </w:rPr>
        <w:t>” means the “Required Lenders” under and as defined in the Existing Five Year Credit Agreement.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Secured Obligations</w:t>
      </w:r>
      <w:r>
        <w:rPr>
          <w:rFonts w:ascii="Arial" w:cs="Arial" w:eastAsia="Arial" w:hAnsi="Arial"/>
          <w:sz w:val="18"/>
          <w:szCs w:val="18"/>
          <w:color w:val="auto"/>
        </w:rPr>
        <w:t>” shall mean the “Secured Obligations”, as such term is defined in the Collateral Trust Agreement.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2.30(a).</w:t>
      </w:r>
    </w:p>
    <w:p>
      <w:pPr>
        <w:spacing w:after="0" w:line="181" w:lineRule="exact"/>
        <w:rPr>
          <w:sz w:val="20"/>
          <w:szCs w:val="20"/>
          <w:color w:val="auto"/>
        </w:rPr>
      </w:pPr>
    </w:p>
    <w:p>
      <w:pPr>
        <w:ind w:right="10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 as to any Brazilian Lender, such Lender’s Brazilian Extensions of Credit, (b) as to any Domestic Lender, such Lender’s Domestic Extensions of Credit and (b)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56" w:lineRule="exact"/>
        <w:rPr>
          <w:sz w:val="20"/>
          <w:szCs w:val="20"/>
          <w:color w:val="auto"/>
        </w:rPr>
      </w:pPr>
    </w:p>
    <w:p>
      <w:pPr>
        <w:ind w:right="2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each of (a) the Brazilian Facility, (b) the Domestic Facility, (c) the Multicurrency Facility, (d) any New Local Facility and (e) any Incremental Facility.</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2.11(a).</w:t>
      </w:r>
    </w:p>
    <w:p>
      <w:pPr>
        <w:spacing w:after="0" w:line="181" w:lineRule="exact"/>
        <w:rPr>
          <w:sz w:val="20"/>
          <w:szCs w:val="20"/>
          <w:color w:val="auto"/>
        </w:rPr>
      </w:pPr>
    </w:p>
    <w:p>
      <w:pPr>
        <w:jc w:val="both"/>
        <w:ind w:right="2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xml:space="preserve">” means, for any day relating to each of the Domestic Facility and the Multicurrency Facility, with respect to the Facility Fees payable hereunder, the applicable rate per annum set forth under the column heading “Facility Fee Rate” in the Applicable Pricing Grid, based upon the Facility Rating,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prior to the time that the Company has delivered Facility Ratings pursuant to Section 6.10, the Facility Fee Rate shall be [***] per annum.</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by Moody’s, S&amp;P or Fitch, as applicable, for the Facilities provided hereunder.</w:t>
      </w:r>
    </w:p>
    <w:p>
      <w:pPr>
        <w:spacing w:after="0" w:line="192" w:lineRule="exact"/>
        <w:rPr>
          <w:sz w:val="20"/>
          <w:szCs w:val="20"/>
          <w:color w:val="auto"/>
        </w:rPr>
      </w:pPr>
    </w:p>
    <w:p>
      <w:pPr>
        <w:ind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60"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the Administrative Agent from three federal funds brokers of recognized standing selected by it.</w:t>
      </w:r>
    </w:p>
    <w:p>
      <w:pPr>
        <w:spacing w:after="0" w:line="156" w:lineRule="exact"/>
        <w:rPr>
          <w:sz w:val="20"/>
          <w:szCs w:val="20"/>
          <w:color w:val="auto"/>
        </w:rPr>
      </w:pPr>
    </w:p>
    <w:p>
      <w:pPr>
        <w:ind w:right="2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00"/>
          </w:cols>
          <w:pgMar w:left="220" w:top="134" w:right="279" w:bottom="1440" w:gutter="0" w:footer="0" w:header="0"/>
        </w:sectPr>
      </w:pPr>
    </w:p>
    <w:bookmarkStart w:id="219" w:name="page220"/>
    <w:bookmarkEnd w:id="219"/>
    <w:p>
      <w:pPr>
        <w:ind w:right="6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 or Collateralized).</w:t>
      </w:r>
    </w:p>
    <w:p>
      <w:pPr>
        <w:spacing w:after="0" w:line="156"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Subsidiary</w:t>
      </w:r>
      <w:r>
        <w:rPr>
          <w:rFonts w:ascii="Arial" w:cs="Arial" w:eastAsia="Arial" w:hAnsi="Arial"/>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56" w:lineRule="exact"/>
        <w:rPr>
          <w:sz w:val="20"/>
          <w:szCs w:val="20"/>
          <w:color w:val="auto"/>
        </w:rPr>
      </w:pPr>
    </w:p>
    <w:p>
      <w:pPr>
        <w:ind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Quarter 2014 10-Q</w:t>
      </w:r>
      <w:r>
        <w:rPr>
          <w:rFonts w:ascii="Arial" w:cs="Arial" w:eastAsia="Arial" w:hAnsi="Arial"/>
          <w:sz w:val="18"/>
          <w:szCs w:val="18"/>
          <w:color w:val="auto"/>
        </w:rPr>
        <w:t>” has the meaning assigned to such term in Section 4.1.</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181"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44" w:lineRule="exact"/>
        <w:rPr>
          <w:sz w:val="20"/>
          <w:szCs w:val="20"/>
          <w:color w:val="auto"/>
        </w:rPr>
      </w:pPr>
    </w:p>
    <w:p>
      <w:pPr>
        <w:ind w:right="3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181"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of one or more Foreign Subsidiaries.</w:t>
      </w:r>
    </w:p>
    <w:p>
      <w:pPr>
        <w:spacing w:after="0" w:line="144" w:lineRule="exact"/>
        <w:rPr>
          <w:sz w:val="20"/>
          <w:szCs w:val="20"/>
          <w:color w:val="auto"/>
        </w:rPr>
      </w:pPr>
    </w:p>
    <w:p>
      <w:pPr>
        <w:ind w:right="28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has the meaning assigned to such term in the recitals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right="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20" w:name="page221"/>
    <w:bookmarkEnd w:id="220"/>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guarantee agreement to be executed and delivered by the Company, substantially in the form of Exhibit A.</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181" w:lineRule="exact"/>
        <w:rPr>
          <w:sz w:val="20"/>
          <w:szCs w:val="20"/>
          <w:color w:val="auto"/>
        </w:rPr>
      </w:pPr>
    </w:p>
    <w:p>
      <w:pPr>
        <w:ind w:firstLine="1063"/>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42" w:lineRule="exact"/>
        <w:rPr>
          <w:sz w:val="20"/>
          <w:szCs w:val="20"/>
          <w:color w:val="auto"/>
        </w:rPr>
      </w:pPr>
    </w:p>
    <w:p>
      <w:pPr>
        <w:ind w:right="100" w:firstLine="106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Reinstatement Date</w:t>
      </w:r>
      <w:r>
        <w:rPr>
          <w:rFonts w:ascii="Arial" w:cs="Arial" w:eastAsia="Arial" w:hAnsi="Arial"/>
          <w:sz w:val="16"/>
          <w:szCs w:val="16"/>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33" w:lineRule="exact"/>
        <w:rPr>
          <w:sz w:val="20"/>
          <w:szCs w:val="20"/>
          <w:color w:val="auto"/>
        </w:rPr>
      </w:pPr>
    </w:p>
    <w:p>
      <w:pPr>
        <w:ind w:firstLine="10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Release Date</w:t>
      </w:r>
      <w:r>
        <w:rPr>
          <w:rFonts w:ascii="Arial" w:cs="Arial" w:eastAsia="Arial" w:hAnsi="Arial"/>
          <w:sz w:val="17"/>
          <w:szCs w:val="17"/>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21" w:name="page222"/>
    <w:bookmarkEnd w:id="221"/>
    <w:p>
      <w:pPr>
        <w:ind w:right="460"/>
        <w:spacing w:after="0" w:line="263" w:lineRule="auto"/>
        <w:rPr>
          <w:sz w:val="20"/>
          <w:szCs w:val="20"/>
          <w:color w:val="auto"/>
        </w:rPr>
      </w:pPr>
      <w:r>
        <w:rPr>
          <w:rFonts w:ascii="Arial" w:cs="Arial" w:eastAsia="Arial" w:hAnsi="Arial"/>
          <w:sz w:val="18"/>
          <w:szCs w:val="18"/>
          <w:color w:val="auto"/>
        </w:rPr>
        <w:t>For the avoidance of doubt, it is understood and agreed that, as of the date hereof, Moody’s has withdrawn the Long-Term Corporate Family Rating of the Company due to the Company’s achievement of “investment grade” status.</w:t>
      </w:r>
    </w:p>
    <w:p>
      <w:pPr>
        <w:spacing w:after="0" w:line="144" w:lineRule="exact"/>
        <w:rPr>
          <w:sz w:val="20"/>
          <w:szCs w:val="20"/>
          <w:color w:val="auto"/>
        </w:rPr>
      </w:pPr>
    </w:p>
    <w:p>
      <w:pPr>
        <w:ind w:right="64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collectively, the Company (with respect to the Obligations of any Subsidiary Borrower) and, during any Reinstated Guarantee Period, the Subsidiary Guarantors. For the avoidance of doubt, GM Holdings does not and shall not constitute a Guarantor.</w:t>
      </w:r>
    </w:p>
    <w:p>
      <w:pPr>
        <w:spacing w:after="0" w:line="98" w:lineRule="exact"/>
        <w:rPr>
          <w:sz w:val="20"/>
          <w:szCs w:val="20"/>
          <w:color w:val="auto"/>
        </w:rPr>
      </w:pPr>
    </w:p>
    <w:p>
      <w:pPr>
        <w:ind w:right="120" w:firstLine="10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set forth in the definition of Eurocurrency Base Rate.</w:t>
      </w:r>
    </w:p>
    <w:p>
      <w:pPr>
        <w:spacing w:after="0" w:line="181"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56" w:lineRule="exact"/>
        <w:rPr>
          <w:sz w:val="20"/>
          <w:szCs w:val="20"/>
          <w:color w:val="auto"/>
        </w:rPr>
      </w:pPr>
    </w:p>
    <w:p>
      <w:pPr>
        <w:ind w:right="5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means any series of Incremental Commitments (other than any Commitment Increase) and the extensions of credit thereunder as provided in any Incremental Loan Activation Notice.</w:t>
      </w:r>
    </w:p>
    <w:p>
      <w:pPr>
        <w:spacing w:after="0" w:line="144" w:lineRule="exact"/>
        <w:rPr>
          <w:sz w:val="20"/>
          <w:szCs w:val="20"/>
          <w:color w:val="auto"/>
        </w:rPr>
      </w:pPr>
    </w:p>
    <w:p>
      <w:pPr>
        <w:ind w:right="460"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Closing Date</w:t>
      </w:r>
      <w:r>
        <w:rPr>
          <w:rFonts w:ascii="Arial" w:cs="Arial" w:eastAsia="Arial" w:hAnsi="Arial"/>
          <w:sz w:val="17"/>
          <w:szCs w:val="17"/>
          <w:color w:val="auto"/>
        </w:rPr>
        <w:t>” means, as to any Incremental Facility, the date (which shall be a Business Day) specified in the related Incremental Loan Activation Notice as the first date on which Incremental Loans will be made available thereunder.</w:t>
      </w:r>
    </w:p>
    <w:p>
      <w:pPr>
        <w:spacing w:after="0" w:line="121" w:lineRule="exact"/>
        <w:rPr>
          <w:sz w:val="20"/>
          <w:szCs w:val="20"/>
          <w:color w:val="auto"/>
        </w:rPr>
      </w:pPr>
    </w:p>
    <w:p>
      <w:pPr>
        <w:ind w:firstLine="1063"/>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means (a) any Lender designated by the Company (in the case of a Commitment Increase with respect to the Domestic Facility, with the consent of each Material Issuing Lender (unless such Lender is (A) a Domestic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00"/>
          </w:cols>
          <w:pgMar w:left="220" w:top="134" w:right="279" w:bottom="1440" w:gutter="0" w:footer="0" w:header="0"/>
        </w:sectPr>
      </w:pPr>
    </w:p>
    <w:bookmarkStart w:id="222" w:name="page223"/>
    <w:bookmarkEnd w:id="222"/>
    <w:p>
      <w:pPr>
        <w:ind w:right="400"/>
        <w:spacing w:after="0" w:line="253" w:lineRule="auto"/>
        <w:rPr>
          <w:sz w:val="20"/>
          <w:szCs w:val="20"/>
          <w:color w:val="auto"/>
        </w:rPr>
      </w:pPr>
      <w:r>
        <w:rPr>
          <w:rFonts w:ascii="Arial" w:cs="Arial" w:eastAsia="Arial" w:hAnsi="Arial"/>
          <w:sz w:val="18"/>
          <w:szCs w:val="18"/>
          <w:color w:val="auto"/>
        </w:rPr>
        <w:t>and, in the case of a Commitment Increase with respect to the Domestic Facility, each Material Issuing Lender at such time (such consents not to be unreasonably withheld), and (c) each Lender which has made, or acquired pursuant to an assignment made in accordance with Section 10.6, an Incremental Commitment.</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Activation Notice</w:t>
      </w:r>
      <w:r>
        <w:rPr>
          <w:rFonts w:ascii="Arial" w:cs="Arial" w:eastAsia="Arial" w:hAnsi="Arial"/>
          <w:sz w:val="18"/>
          <w:szCs w:val="18"/>
          <w:color w:val="auto"/>
        </w:rPr>
        <w:t>” means a notice substantially in the form of Exhibit G.</w:t>
      </w:r>
    </w:p>
    <w:p>
      <w:pPr>
        <w:spacing w:after="0" w:line="181" w:lineRule="exact"/>
        <w:rPr>
          <w:sz w:val="20"/>
          <w:szCs w:val="20"/>
          <w:color w:val="auto"/>
        </w:rPr>
      </w:pPr>
    </w:p>
    <w:p>
      <w:pPr>
        <w:ind w:right="2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Maturity Date</w:t>
      </w:r>
      <w:r>
        <w:rPr>
          <w:rFonts w:ascii="Arial" w:cs="Arial" w:eastAsia="Arial" w:hAnsi="Arial"/>
          <w:sz w:val="18"/>
          <w:szCs w:val="18"/>
          <w:color w:val="auto"/>
        </w:rPr>
        <w:t>” means, as to any Incremental Facility, the maturity date specified in the Incremental Loan Activation Notice relating thereto.</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has the meaning assigned to such term in Section 2.29(b).</w:t>
      </w:r>
    </w:p>
    <w:p>
      <w:pPr>
        <w:spacing w:after="0" w:line="181" w:lineRule="exact"/>
        <w:rPr>
          <w:sz w:val="20"/>
          <w:szCs w:val="20"/>
          <w:color w:val="auto"/>
        </w:rPr>
      </w:pPr>
    </w:p>
    <w:p>
      <w:pPr>
        <w:ind w:firstLine="10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181" w:lineRule="exact"/>
        <w:rPr>
          <w:sz w:val="20"/>
          <w:szCs w:val="20"/>
          <w:color w:val="auto"/>
        </w:rPr>
      </w:pPr>
    </w:p>
    <w:p>
      <w:pPr>
        <w:ind w:right="100" w:firstLine="1063"/>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Assignee</w:t>
      </w:r>
      <w:r>
        <w:rPr>
          <w:rFonts w:ascii="Arial" w:cs="Arial" w:eastAsia="Arial" w:hAnsi="Arial"/>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59" w:lineRule="exact"/>
        <w:rPr>
          <w:sz w:val="20"/>
          <w:szCs w:val="20"/>
          <w:color w:val="auto"/>
        </w:rPr>
      </w:pPr>
    </w:p>
    <w:p>
      <w:pPr>
        <w:ind w:right="160" w:firstLine="10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Participant</w:t>
      </w:r>
      <w:r>
        <w:rPr>
          <w:rFonts w:ascii="Arial" w:cs="Arial" w:eastAsia="Arial" w:hAnsi="Arial"/>
          <w:sz w:val="16"/>
          <w:szCs w:val="16"/>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23" w:name="page224"/>
    <w:bookmarkEnd w:id="223"/>
    <w:p>
      <w:pPr>
        <w:spacing w:after="0"/>
        <w:rPr>
          <w:sz w:val="20"/>
          <w:szCs w:val="20"/>
          <w:color w:val="auto"/>
        </w:rPr>
      </w:pPr>
      <w:r>
        <w:rPr>
          <w:rFonts w:ascii="Arial" w:cs="Arial" w:eastAsia="Arial" w:hAnsi="Arial"/>
          <w:sz w:val="16"/>
          <w:szCs w:val="16"/>
          <w:color w:val="auto"/>
        </w:rPr>
        <w:t>parts manufacturing or automotive vehicle parts distribution shall not, solely by reason of such investment, be deemed to be engaged in such businesses.</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xml:space="preserve">” means each Subsidiary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Issuing Lender</w:t>
      </w:r>
      <w:r>
        <w:rPr>
          <w:rFonts w:ascii="Arial" w:cs="Arial" w:eastAsia="Arial" w:hAnsi="Arial"/>
          <w:sz w:val="18"/>
          <w:szCs w:val="18"/>
          <w:color w:val="auto"/>
        </w:rPr>
        <w:t>” means, individually and collectively, JPMorgan Chase Bank, N.A. and Citibank, N.A.</w:t>
      </w:r>
    </w:p>
    <w:p>
      <w:pPr>
        <w:spacing w:after="0" w:line="181" w:lineRule="exact"/>
        <w:rPr>
          <w:sz w:val="20"/>
          <w:szCs w:val="20"/>
          <w:color w:val="auto"/>
        </w:rPr>
      </w:pPr>
    </w:p>
    <w:p>
      <w:pPr>
        <w:ind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56" w:lineRule="exact"/>
        <w:rPr>
          <w:sz w:val="20"/>
          <w:szCs w:val="20"/>
          <w:color w:val="auto"/>
        </w:rPr>
      </w:pPr>
    </w:p>
    <w:p>
      <w:pPr>
        <w:ind w:right="140"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60" w:lineRule="exact"/>
        <w:rPr>
          <w:sz w:val="20"/>
          <w:szCs w:val="20"/>
          <w:color w:val="auto"/>
        </w:rPr>
      </w:pPr>
    </w:p>
    <w:p>
      <w:pPr>
        <w:ind w:right="20" w:firstLine="10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as to any Eurocurrency Loan (i) initially, the period commencing on the borrowing or conversion date, as the case may be, with respect to such Loan and ending one, two, three or six (or, if agreed to by all Lenders under the relevant Facility, twelve) months (or additionally,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two, three or six (or, if agreed to by all Lenders under the relevant Facility, twelve) months (or additionally,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135" w:lineRule="exact"/>
        <w:rPr>
          <w:sz w:val="20"/>
          <w:szCs w:val="20"/>
          <w:color w:val="auto"/>
        </w:rPr>
      </w:pPr>
    </w:p>
    <w:p>
      <w:pPr>
        <w:ind w:left="1600" w:right="300" w:hanging="528"/>
        <w:spacing w:after="0" w:line="300" w:lineRule="auto"/>
        <w:tabs>
          <w:tab w:leader="none" w:pos="16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51" w:lineRule="exact"/>
        <w:rPr>
          <w:rFonts w:ascii="Arial" w:cs="Arial" w:eastAsia="Arial" w:hAnsi="Arial"/>
          <w:sz w:val="16"/>
          <w:szCs w:val="16"/>
          <w:color w:val="auto"/>
        </w:rPr>
      </w:pPr>
    </w:p>
    <w:p>
      <w:pPr>
        <w:ind w:left="1600" w:right="200" w:hanging="528"/>
        <w:spacing w:after="0" w:line="263" w:lineRule="auto"/>
        <w:tabs>
          <w:tab w:leader="none" w:pos="16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or relevant Subsidiary Borrower may not select an Interest Period under a particular Facility that would extend beyond the earliest Termination Date then in effect for such Facility; and</w:t>
      </w:r>
    </w:p>
    <w:p>
      <w:pPr>
        <w:spacing w:after="0" w:line="177" w:lineRule="exact"/>
        <w:rPr>
          <w:rFonts w:ascii="Arial" w:cs="Arial" w:eastAsia="Arial" w:hAnsi="Arial"/>
          <w:sz w:val="18"/>
          <w:szCs w:val="18"/>
          <w:color w:val="auto"/>
        </w:rPr>
      </w:pPr>
    </w:p>
    <w:p>
      <w:pPr>
        <w:ind w:left="1600" w:right="480" w:hanging="528"/>
        <w:spacing w:after="0" w:line="263" w:lineRule="auto"/>
        <w:tabs>
          <w:tab w:leader="none" w:pos="16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Interest Period that is one month or more in length and that begins on the last Business Day of a calendar month (or on a day for which there is no numerically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24" w:name="page225"/>
    <w:bookmarkEnd w:id="224"/>
    <w:p>
      <w:pPr>
        <w:ind w:left="1600"/>
        <w:spacing w:after="0"/>
        <w:rPr>
          <w:sz w:val="20"/>
          <w:szCs w:val="20"/>
          <w:color w:val="auto"/>
        </w:rPr>
      </w:pPr>
      <w:r>
        <w:rPr>
          <w:rFonts w:ascii="Arial" w:cs="Arial" w:eastAsia="Arial" w:hAnsi="Arial"/>
          <w:sz w:val="16"/>
          <w:szCs w:val="16"/>
          <w:color w:val="auto"/>
        </w:rPr>
        <w:t>corresponding day in the calendar month at the end of such Interest Period) shall end on the last Business Day of a calendar month.</w:t>
      </w:r>
    </w:p>
    <w:p>
      <w:pPr>
        <w:spacing w:after="0" w:line="2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81" w:lineRule="exact"/>
        <w:rPr>
          <w:sz w:val="20"/>
          <w:szCs w:val="20"/>
          <w:color w:val="auto"/>
        </w:rPr>
      </w:pPr>
    </w:p>
    <w:p>
      <w:pPr>
        <w:ind w:right="2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(1998), International Chamber of Commerce Publication No. 590 and any subsequent revision thereof adhered to by the Issuing Lenders.</w:t>
      </w:r>
    </w:p>
    <w:p>
      <w:pPr>
        <w:spacing w:after="0" w:line="144" w:lineRule="exact"/>
        <w:rPr>
          <w:sz w:val="20"/>
          <w:szCs w:val="20"/>
          <w:color w:val="auto"/>
        </w:rPr>
      </w:pPr>
    </w:p>
    <w:p>
      <w:pPr>
        <w:ind w:right="1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with respect to a Letter of Credit, the Lender or the Applicable Lending Office thereof that is requested to issue, or that issues, such Letter of Credit pursuant to an L/C Commitment.</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means the official currency of Japan.</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181" w:lineRule="exact"/>
        <w:rPr>
          <w:sz w:val="20"/>
          <w:szCs w:val="20"/>
          <w:color w:val="auto"/>
        </w:rPr>
      </w:pPr>
    </w:p>
    <w:p>
      <w:pPr>
        <w:ind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as to any Lender (or Applicable Lending Office thereof), the obligation of such Person to issue Letters of Credit pursuant to Section 3 in an aggregate Outstanding Amount at any time not to exceed the amount set forth under the heading “L/C Commitment” opposite such Person’s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and Assumption pursuant to which such Lender becomes a party thereto, in each case, as the same may be changed from time to time pursuant to the terms hereof, including Section 3.10.</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means, at any time, the Dollar Equivalent of the aggregate Outstanding Amount of all Letters of Credit, after giving effect to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Section 3.9.</w:t>
      </w:r>
    </w:p>
    <w:p>
      <w:pPr>
        <w:spacing w:after="0" w:line="167" w:lineRule="exact"/>
        <w:rPr>
          <w:sz w:val="20"/>
          <w:szCs w:val="20"/>
          <w:color w:val="auto"/>
        </w:rPr>
      </w:pPr>
    </w:p>
    <w:p>
      <w:pPr>
        <w:ind w:right="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issued by an Issuing Lender, the collective reference to all of the Domestic Lenders (other than the Issuing Lender with respect to such Letter of Credit).</w:t>
      </w:r>
    </w:p>
    <w:p>
      <w:pPr>
        <w:spacing w:after="0" w:line="144" w:lineRule="exact"/>
        <w:rPr>
          <w:sz w:val="20"/>
          <w:szCs w:val="20"/>
          <w:color w:val="auto"/>
        </w:rPr>
      </w:pPr>
    </w:p>
    <w:p>
      <w:pPr>
        <w:ind w:right="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xml:space="preserve">” means, at the time of determination, the lesser of (i) $500 million or (ii) the Total Domestic Commitment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from time to time, the Company may increase the L/C Sublimit by notice to the Administrative Agent.</w:t>
      </w:r>
    </w:p>
    <w:p>
      <w:pPr>
        <w:spacing w:after="0" w:line="144" w:lineRule="exact"/>
        <w:rPr>
          <w:sz w:val="20"/>
          <w:szCs w:val="20"/>
          <w:color w:val="auto"/>
        </w:rPr>
      </w:pPr>
    </w:p>
    <w:p>
      <w:pPr>
        <w:ind w:right="100" w:firstLine="1063"/>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62" w:lineRule="exact"/>
        <w:rPr>
          <w:sz w:val="20"/>
          <w:szCs w:val="20"/>
          <w:color w:val="auto"/>
        </w:rPr>
      </w:pPr>
    </w:p>
    <w:p>
      <w:pPr>
        <w:ind w:right="8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 and shall include, individually and in the aggregate, the Brazilian Lenders, the Domestic Lenders, the Issuing Lenders and the Multicurrency Lenders. To the extent any Incremental Facility or New Local Facility is established, “Lenders” shall, to the extent appropriate, include any Lender under such Facilities.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25" w:name="page226"/>
    <w:bookmarkEnd w:id="225"/>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has the meaning assigned to such term in Section 3.1(a), after giving effect to Section 3.9.</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has the meaning assigned to such term in Section 3.3.</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lien, security interest, charge, conditional sale or other title retention agreement or other similar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encumbrance.</w:t>
      </w:r>
    </w:p>
    <w:p>
      <w:pPr>
        <w:spacing w:after="0" w:line="167" w:lineRule="exact"/>
        <w:rPr>
          <w:sz w:val="20"/>
          <w:szCs w:val="20"/>
          <w:color w:val="auto"/>
        </w:rPr>
      </w:pPr>
    </w:p>
    <w:p>
      <w:pPr>
        <w:ind w:right="2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Brazilian Bank Certificates, the Guarantee, the Notes, each Borrower Joinder Agreement, each Guarantee Joinder and any amendment, waiver, supplement or other modification to any of the foregoing.</w:t>
      </w:r>
    </w:p>
    <w:p>
      <w:pPr>
        <w:spacing w:after="0" w:line="144" w:lineRule="exact"/>
        <w:rPr>
          <w:sz w:val="20"/>
          <w:szCs w:val="20"/>
          <w:color w:val="auto"/>
        </w:rPr>
      </w:pPr>
    </w:p>
    <w:p>
      <w:pPr>
        <w:ind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Parties</w:t>
      </w:r>
      <w:r>
        <w:rPr>
          <w:rFonts w:ascii="Arial" w:cs="Arial" w:eastAsia="Arial" w:hAnsi="Arial"/>
          <w:sz w:val="16"/>
          <w:szCs w:val="16"/>
          <w:color w:val="auto"/>
        </w:rPr>
        <w:t xml:space="preserve">” means, collectively, (a) the Company and each Subsidiary Borrower and (b) during any Reinstated Guarantee Period, each Subsidiary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18" w:lineRule="exact"/>
        <w:rPr>
          <w:sz w:val="20"/>
          <w:szCs w:val="20"/>
          <w:color w:val="auto"/>
        </w:rPr>
      </w:pPr>
    </w:p>
    <w:p>
      <w:pPr>
        <w:jc w:val="both"/>
        <w:ind w:right="8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Brazilian Loans, Domestic Loans, Multicurrency Loans and Competitive Loans. To the extent any Incremental Facility or New Local Facility is established, “Loans” shall, to the extent appropriate, include Loans made under such Facilities.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Facility Amendment</w:t>
      </w:r>
      <w:r>
        <w:rPr>
          <w:rFonts w:ascii="Arial" w:cs="Arial" w:eastAsia="Arial" w:hAnsi="Arial"/>
          <w:sz w:val="18"/>
          <w:szCs w:val="18"/>
          <w:color w:val="auto"/>
        </w:rPr>
        <w:t>” has the meaning assigned to such term in Section 2.28(a).</w:t>
      </w:r>
    </w:p>
    <w:p>
      <w:pPr>
        <w:spacing w:after="0" w:line="181" w:lineRule="exact"/>
        <w:rPr>
          <w:sz w:val="20"/>
          <w:szCs w:val="20"/>
          <w:color w:val="auto"/>
        </w:rPr>
      </w:pPr>
    </w:p>
    <w:p>
      <w:pPr>
        <w:ind w:firstLine="106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or other disbursement denominated in Dollars, (ii) London time in the case of a Loan or other disbursement denominated in an Optional Currency other than Brazilian Reais (or any such other local time as otherwise notified to or communicated by the Administrative Agent) and (iii) São Paulo time in the case of any Loan or other disbursement denominated in Brazilian Reais.</w:t>
      </w:r>
    </w:p>
    <w:p>
      <w:pPr>
        <w:spacing w:after="0" w:line="118" w:lineRule="exact"/>
        <w:rPr>
          <w:sz w:val="20"/>
          <w:szCs w:val="20"/>
          <w:color w:val="auto"/>
        </w:rPr>
      </w:pPr>
    </w:p>
    <w:p>
      <w:pPr>
        <w:ind w:right="2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Facility Lenders</w:t>
      </w:r>
      <w:r>
        <w:rPr>
          <w:rFonts w:ascii="Arial" w:cs="Arial" w:eastAsia="Arial" w:hAnsi="Arial"/>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pacing w:after="0" w:line="154" w:lineRule="exact"/>
        <w:rPr>
          <w:sz w:val="20"/>
          <w:szCs w:val="20"/>
          <w:color w:val="auto"/>
        </w:rPr>
      </w:pPr>
    </w:p>
    <w:p>
      <w:pPr>
        <w:ind w:right="1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w:t>
      </w:r>
      <w:r>
        <w:rPr>
          <w:rFonts w:ascii="Arial" w:cs="Arial" w:eastAsia="Arial" w:hAnsi="Arial"/>
          <w:sz w:val="18"/>
          <w:szCs w:val="18"/>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44" w:lineRule="exact"/>
        <w:rPr>
          <w:sz w:val="20"/>
          <w:szCs w:val="20"/>
          <w:color w:val="auto"/>
        </w:rPr>
      </w:pPr>
    </w:p>
    <w:p>
      <w:pPr>
        <w:ind w:right="20" w:firstLine="1063"/>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26" w:name="page227"/>
    <w:bookmarkEnd w:id="226"/>
    <w:p>
      <w:pPr>
        <w:ind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54" w:lineRule="exact"/>
        <w:rPr>
          <w:sz w:val="20"/>
          <w:szCs w:val="20"/>
          <w:color w:val="auto"/>
        </w:rPr>
      </w:pPr>
    </w:p>
    <w:p>
      <w:pPr>
        <w:ind w:right="40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Issuing Lender</w:t>
      </w:r>
      <w:r>
        <w:rPr>
          <w:rFonts w:ascii="Arial" w:cs="Arial" w:eastAsia="Arial" w:hAnsi="Arial"/>
          <w:sz w:val="18"/>
          <w:szCs w:val="18"/>
          <w:color w:val="auto"/>
        </w:rPr>
        <w:t>” means any Issuing Lender with an L/C Commitment of $200 million or more.</w:t>
      </w:r>
    </w:p>
    <w:p>
      <w:pPr>
        <w:spacing w:after="0" w:line="181" w:lineRule="exact"/>
        <w:rPr>
          <w:sz w:val="20"/>
          <w:szCs w:val="20"/>
          <w:color w:val="auto"/>
        </w:rPr>
      </w:pPr>
    </w:p>
    <w:p>
      <w:pPr>
        <w:ind w:right="6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10-K filed by the Company on February 6, 2014 and thereafter in the most recent annual consolidated financial statements of the Company delivered or deemed delivered pursuant to Section 6.1 and (b) at all other times, the Company.</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181" w:lineRule="exact"/>
        <w:rPr>
          <w:sz w:val="20"/>
          <w:szCs w:val="20"/>
          <w:color w:val="auto"/>
        </w:rPr>
      </w:pPr>
    </w:p>
    <w:p>
      <w:pPr>
        <w:ind w:right="10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Competitive Loan</w:t>
      </w:r>
      <w:r>
        <w:rPr>
          <w:rFonts w:ascii="Arial" w:cs="Arial" w:eastAsia="Arial" w:hAnsi="Arial"/>
          <w:sz w:val="18"/>
          <w:szCs w:val="18"/>
          <w:color w:val="auto"/>
        </w:rPr>
        <w:t>” means a Competitive Loan made under the Multicurrency Facility.</w:t>
      </w:r>
    </w:p>
    <w:p>
      <w:pPr>
        <w:spacing w:after="0" w:line="181" w:lineRule="exact"/>
        <w:rPr>
          <w:sz w:val="20"/>
          <w:szCs w:val="20"/>
          <w:color w:val="auto"/>
        </w:rPr>
      </w:pPr>
    </w:p>
    <w:p>
      <w:pPr>
        <w:ind w:right="5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Extensions of Credit</w:t>
      </w:r>
      <w:r>
        <w:rPr>
          <w:rFonts w:ascii="Arial" w:cs="Arial" w:eastAsia="Arial" w:hAnsi="Arial"/>
          <w:sz w:val="18"/>
          <w:szCs w:val="18"/>
          <w:color w:val="auto"/>
        </w:rPr>
        <w:t>” means, as to any Multicurrency Lender at any time, an amount equal to the Dollar Equivalent of the aggregate principal amount of all Multicurrency Loans held by such Lender then outstanding.</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w:t>
      </w:r>
      <w:r>
        <w:rPr>
          <w:rFonts w:ascii="Arial" w:cs="Arial" w:eastAsia="Arial" w:hAnsi="Arial"/>
          <w:sz w:val="18"/>
          <w:szCs w:val="18"/>
          <w:color w:val="auto"/>
        </w:rPr>
        <w:t>” means the Multicurrency Commitments and the extensions of credit made thereunder.</w:t>
      </w:r>
    </w:p>
    <w:p>
      <w:pPr>
        <w:spacing w:after="0" w:line="181" w:lineRule="exact"/>
        <w:rPr>
          <w:sz w:val="20"/>
          <w:szCs w:val="20"/>
          <w:color w:val="auto"/>
        </w:rPr>
      </w:pPr>
    </w:p>
    <w:p>
      <w:pPr>
        <w:jc w:val="both"/>
        <w:ind w:right="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Lender</w:t>
      </w:r>
      <w:r>
        <w:rPr>
          <w:rFonts w:ascii="Arial" w:cs="Arial" w:eastAsia="Arial" w:hAnsi="Arial"/>
          <w:sz w:val="18"/>
          <w:szCs w:val="18"/>
          <w:color w:val="auto"/>
        </w:rPr>
        <w:t>” means each Lender that has a Multicurrency Commitment or that holds Multicurrency Loans or other Loans made under the Multicurrency Facility.</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Loans</w:t>
      </w:r>
      <w:r>
        <w:rPr>
          <w:rFonts w:ascii="Arial" w:cs="Arial" w:eastAsia="Arial" w:hAnsi="Arial"/>
          <w:sz w:val="18"/>
          <w:szCs w:val="18"/>
          <w:color w:val="auto"/>
        </w:rPr>
        <w:t>” has the meaning assigned to such term in Section 2.3.</w:t>
      </w:r>
    </w:p>
    <w:p>
      <w:pPr>
        <w:spacing w:after="0" w:line="181" w:lineRule="exact"/>
        <w:rPr>
          <w:sz w:val="20"/>
          <w:szCs w:val="20"/>
          <w:color w:val="auto"/>
        </w:rPr>
      </w:pPr>
    </w:p>
    <w:p>
      <w:pPr>
        <w:jc w:val="both"/>
        <w:ind w:right="60" w:firstLine="106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Percentage</w:t>
      </w:r>
      <w:r>
        <w:rPr>
          <w:rFonts w:ascii="Arial" w:cs="Arial" w:eastAsia="Arial" w:hAnsi="Arial"/>
          <w:sz w:val="16"/>
          <w:szCs w:val="16"/>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27" w:name="page228"/>
    <w:bookmarkEnd w:id="227"/>
    <w:p>
      <w:pPr>
        <w:ind w:right="2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54" w:lineRule="exact"/>
        <w:rPr>
          <w:sz w:val="20"/>
          <w:szCs w:val="20"/>
          <w:color w:val="auto"/>
        </w:rPr>
      </w:pPr>
    </w:p>
    <w:p>
      <w:pPr>
        <w:ind w:right="8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w:t>
      </w:r>
      <w:r>
        <w:rPr>
          <w:rFonts w:ascii="Arial" w:cs="Arial" w:eastAsia="Arial" w:hAnsi="Arial"/>
          <w:sz w:val="18"/>
          <w:szCs w:val="18"/>
          <w:color w:val="auto"/>
        </w:rPr>
        <w:t>” has the meaning assigned to such term in Section 2.28(a).</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 Lender</w:t>
      </w:r>
      <w:r>
        <w:rPr>
          <w:rFonts w:ascii="Arial" w:cs="Arial" w:eastAsia="Arial" w:hAnsi="Arial"/>
          <w:sz w:val="18"/>
          <w:szCs w:val="18"/>
          <w:color w:val="auto"/>
        </w:rPr>
        <w:t>” has the meaning assigned to such term in Section 2.28(a).</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2.22(a).</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2.30(b).</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2.22(d).</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2.20(g).</w:t>
      </w:r>
    </w:p>
    <w:p>
      <w:pPr>
        <w:spacing w:after="0" w:line="181" w:lineRule="exact"/>
        <w:rPr>
          <w:sz w:val="20"/>
          <w:szCs w:val="20"/>
          <w:color w:val="auto"/>
        </w:rPr>
      </w:pPr>
    </w:p>
    <w:p>
      <w:pPr>
        <w:ind w:firstLine="10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the Brazilian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Brazilian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181"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Currency</w:t>
      </w:r>
      <w:r>
        <w:rPr>
          <w:rFonts w:ascii="Arial" w:cs="Arial" w:eastAsia="Arial" w:hAnsi="Arial"/>
          <w:sz w:val="18"/>
          <w:szCs w:val="18"/>
          <w:color w:val="auto"/>
        </w:rPr>
        <w:t>” means, with respect to Loans or Letters of Credit made under each Facility (other than the Brazilian Facility and the Domestic Facility), at any time, Euro, Pounds Sterling, Japanese Yen and such other currencies which are freely convertible into Dollars and are freely traded and available in the London interbank eurocurrency market with the consent of the Administrative Agent and the Lenders under the applicable Facility (or, in the case of Letters of Credit, the applicable Issuing Lender).</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181" w:lineRule="exact"/>
        <w:rPr>
          <w:sz w:val="20"/>
          <w:szCs w:val="20"/>
          <w:color w:val="auto"/>
        </w:rPr>
      </w:pPr>
    </w:p>
    <w:p>
      <w:pPr>
        <w:ind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28" w:name="page229"/>
    <w:bookmarkEnd w:id="228"/>
    <w:p>
      <w:pPr>
        <w:ind w:right="60" w:firstLine="106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xml:space="preserve">” means (a) with respect to indebtedness for borrowed money, the aggregate outstanding principal amount thereof, (b) with respect to banker’s acceptances, letters of credit or letters of guarantee, the aggregate undrawn, unexpired face amount thereof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w:t>
      </w:r>
    </w:p>
    <w:p>
      <w:pPr>
        <w:spacing w:after="0" w:line="181" w:lineRule="exact"/>
        <w:rPr>
          <w:sz w:val="20"/>
          <w:szCs w:val="20"/>
          <w:color w:val="auto"/>
        </w:rPr>
      </w:pPr>
    </w:p>
    <w:p>
      <w:pPr>
        <w:ind w:right="6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181" w:lineRule="exact"/>
        <w:rPr>
          <w:sz w:val="20"/>
          <w:szCs w:val="20"/>
          <w:color w:val="auto"/>
        </w:rPr>
      </w:pPr>
    </w:p>
    <w:p>
      <w:pPr>
        <w:ind w:right="8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means as to any Lender, the applicable Brazilian Percentage of such Lender, the applicable Domestic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81" w:lineRule="exact"/>
        <w:rPr>
          <w:sz w:val="20"/>
          <w:szCs w:val="20"/>
          <w:color w:val="auto"/>
        </w:rPr>
      </w:pPr>
    </w:p>
    <w:p>
      <w:pPr>
        <w:ind w:left="1080" w:right="60" w:firstLine="523"/>
        <w:spacing w:after="0" w:line="269" w:lineRule="auto"/>
        <w:tabs>
          <w:tab w:leader="none" w:pos="23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that if and to the extent required by GAAP, adequate reserves with respect thereto are maintained on the books of the relevant Person in conformity with GAAP;</w:t>
      </w:r>
    </w:p>
    <w:p>
      <w:pPr>
        <w:spacing w:after="0" w:line="175" w:lineRule="exact"/>
        <w:rPr>
          <w:rFonts w:ascii="Arial" w:cs="Arial" w:eastAsia="Arial" w:hAnsi="Arial"/>
          <w:sz w:val="17"/>
          <w:szCs w:val="17"/>
          <w:color w:val="auto"/>
        </w:rPr>
      </w:pPr>
    </w:p>
    <w:p>
      <w:pPr>
        <w:ind w:left="1080" w:right="20" w:firstLine="523"/>
        <w:spacing w:after="0" w:line="253" w:lineRule="auto"/>
        <w:tabs>
          <w:tab w:leader="none" w:pos="235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87" w:lineRule="exact"/>
        <w:rPr>
          <w:rFonts w:ascii="Arial" w:cs="Arial" w:eastAsia="Arial" w:hAnsi="Arial"/>
          <w:sz w:val="18"/>
          <w:szCs w:val="18"/>
          <w:color w:val="auto"/>
        </w:rPr>
      </w:pPr>
    </w:p>
    <w:p>
      <w:pPr>
        <w:ind w:left="2340" w:hanging="737"/>
        <w:spacing w:after="0"/>
        <w:tabs>
          <w:tab w:leader="none" w:pos="2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213" w:lineRule="exact"/>
        <w:rPr>
          <w:rFonts w:ascii="Arial" w:cs="Arial" w:eastAsia="Arial" w:hAnsi="Arial"/>
          <w:sz w:val="18"/>
          <w:szCs w:val="18"/>
          <w:color w:val="auto"/>
        </w:rPr>
      </w:pPr>
    </w:p>
    <w:p>
      <w:pPr>
        <w:ind w:left="1080" w:firstLine="523"/>
        <w:spacing w:after="0" w:line="253" w:lineRule="auto"/>
        <w:tabs>
          <w:tab w:leader="none" w:pos="235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87" w:lineRule="exact"/>
        <w:rPr>
          <w:rFonts w:ascii="Arial" w:cs="Arial" w:eastAsia="Arial" w:hAnsi="Arial"/>
          <w:sz w:val="18"/>
          <w:szCs w:val="18"/>
          <w:color w:val="auto"/>
        </w:rPr>
      </w:pPr>
    </w:p>
    <w:p>
      <w:pPr>
        <w:ind w:left="1080" w:right="220" w:firstLine="523"/>
        <w:spacing w:after="0" w:line="293" w:lineRule="auto"/>
        <w:tabs>
          <w:tab w:leader="none" w:pos="23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permits, licenses, leases or subleases granted to others, encroachments, covenants, use agreements, easements, rights-of-way, reservations of rights, title defects, servitudes, zoning and environmental restrictions, other restrictions and other similar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29" w:name="page230"/>
    <w:bookmarkEnd w:id="229"/>
    <w:p>
      <w:pPr>
        <w:ind w:left="1080" w:right="100"/>
        <w:spacing w:after="0" w:line="253" w:lineRule="auto"/>
        <w:rPr>
          <w:sz w:val="20"/>
          <w:szCs w:val="20"/>
          <w:color w:val="auto"/>
        </w:rPr>
      </w:pPr>
      <w:r>
        <w:rPr>
          <w:rFonts w:ascii="Arial" w:cs="Arial" w:eastAsia="Arial" w:hAnsi="Arial"/>
          <w:sz w:val="18"/>
          <w:szCs w:val="18"/>
          <w:color w:val="auto"/>
        </w:rPr>
        <w:t>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87" w:lineRule="exact"/>
        <w:rPr>
          <w:sz w:val="20"/>
          <w:szCs w:val="20"/>
          <w:color w:val="auto"/>
        </w:rPr>
      </w:pPr>
    </w:p>
    <w:p>
      <w:pPr>
        <w:ind w:left="1080" w:right="480" w:firstLine="523"/>
        <w:spacing w:after="0" w:line="326" w:lineRule="auto"/>
        <w:tabs>
          <w:tab w:leader="none" w:pos="23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31" w:lineRule="exact"/>
        <w:rPr>
          <w:rFonts w:ascii="Arial" w:cs="Arial" w:eastAsia="Arial" w:hAnsi="Arial"/>
          <w:sz w:val="16"/>
          <w:szCs w:val="16"/>
          <w:color w:val="auto"/>
        </w:rPr>
      </w:pPr>
    </w:p>
    <w:p>
      <w:pPr>
        <w:ind w:left="1080" w:firstLine="523"/>
        <w:spacing w:after="0" w:line="247" w:lineRule="auto"/>
        <w:tabs>
          <w:tab w:leader="none" w:pos="235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94" w:lineRule="exact"/>
        <w:rPr>
          <w:rFonts w:ascii="Arial" w:cs="Arial" w:eastAsia="Arial" w:hAnsi="Arial"/>
          <w:sz w:val="18"/>
          <w:szCs w:val="18"/>
          <w:color w:val="auto"/>
        </w:rPr>
      </w:pPr>
    </w:p>
    <w:p>
      <w:pPr>
        <w:jc w:val="both"/>
        <w:ind w:left="1080" w:right="100" w:firstLine="523"/>
        <w:spacing w:after="0" w:line="253" w:lineRule="auto"/>
        <w:tabs>
          <w:tab w:leader="none" w:pos="235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leases entered into by the Company or any Principal Domestic Subsidiary in the ordinary course of business or Liens or filings in connection with sales of accounts, payment intangibles, chattel paper or instruments;</w:t>
      </w:r>
    </w:p>
    <w:p>
      <w:pPr>
        <w:spacing w:after="0" w:line="187" w:lineRule="exact"/>
        <w:rPr>
          <w:rFonts w:ascii="Arial" w:cs="Arial" w:eastAsia="Arial" w:hAnsi="Arial"/>
          <w:sz w:val="18"/>
          <w:szCs w:val="18"/>
          <w:color w:val="auto"/>
        </w:rPr>
      </w:pPr>
    </w:p>
    <w:p>
      <w:pPr>
        <w:ind w:left="1080" w:right="120" w:firstLine="523"/>
        <w:spacing w:after="0" w:line="284" w:lineRule="auto"/>
        <w:tabs>
          <w:tab w:leader="none" w:pos="231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66" w:lineRule="exact"/>
        <w:rPr>
          <w:rFonts w:ascii="Arial" w:cs="Arial" w:eastAsia="Arial" w:hAnsi="Arial"/>
          <w:sz w:val="16"/>
          <w:szCs w:val="16"/>
          <w:color w:val="auto"/>
        </w:rPr>
      </w:pPr>
    </w:p>
    <w:p>
      <w:pPr>
        <w:ind w:left="1080" w:right="40" w:firstLine="523"/>
        <w:spacing w:after="0" w:line="253" w:lineRule="auto"/>
        <w:tabs>
          <w:tab w:leader="none" w:pos="231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listed on Schedule 1.1D,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187" w:lineRule="exact"/>
        <w:rPr>
          <w:rFonts w:ascii="Arial" w:cs="Arial" w:eastAsia="Arial" w:hAnsi="Arial"/>
          <w:sz w:val="18"/>
          <w:szCs w:val="18"/>
          <w:color w:val="auto"/>
        </w:rPr>
      </w:pPr>
    </w:p>
    <w:p>
      <w:pPr>
        <w:ind w:left="1080" w:right="620" w:firstLine="523"/>
        <w:spacing w:after="0" w:line="250" w:lineRule="auto"/>
        <w:tabs>
          <w:tab w:leader="none" w:pos="235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Liens on property or Capital Stock of a Person at the time such Person becomes a Loan Party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Liens are not created, incurred or assumed in connection with, or in contemplation of, such other Person becoming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Lien may not extend to any other property owned by the Company or any Principal Domestic Subsidiary;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30" w:name="page231"/>
    <w:bookmarkEnd w:id="230"/>
    <w:p>
      <w:pPr>
        <w:ind w:left="1080" w:firstLine="523"/>
        <w:spacing w:after="0" w:line="269" w:lineRule="auto"/>
        <w:tabs>
          <w:tab w:leader="none" w:pos="231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175" w:lineRule="exact"/>
        <w:rPr>
          <w:rFonts w:ascii="Arial" w:cs="Arial" w:eastAsia="Arial" w:hAnsi="Arial"/>
          <w:sz w:val="17"/>
          <w:szCs w:val="17"/>
          <w:color w:val="auto"/>
        </w:rPr>
      </w:pPr>
    </w:p>
    <w:p>
      <w:pPr>
        <w:ind w:left="1080" w:right="20" w:firstLine="523"/>
        <w:spacing w:after="0" w:line="253" w:lineRule="auto"/>
        <w:tabs>
          <w:tab w:leader="none" w:pos="239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Lien securing the renewal, extension, refinancing, replacing, amending, extending, modifying or refunding of any indebtedness or obligation secured by any Lien permitted by clause (i), (j), (k), (l) or (r) or this clause (m) without any change in the assets subject to such Lien;</w:t>
      </w:r>
    </w:p>
    <w:p>
      <w:pPr>
        <w:spacing w:after="0" w:line="187" w:lineRule="exact"/>
        <w:rPr>
          <w:rFonts w:ascii="Arial" w:cs="Arial" w:eastAsia="Arial" w:hAnsi="Arial"/>
          <w:sz w:val="18"/>
          <w:szCs w:val="18"/>
          <w:color w:val="auto"/>
        </w:rPr>
      </w:pPr>
    </w:p>
    <w:p>
      <w:pPr>
        <w:ind w:left="1080" w:right="60" w:firstLine="523"/>
        <w:spacing w:after="0" w:line="263" w:lineRule="auto"/>
        <w:tabs>
          <w:tab w:leader="none" w:pos="235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Lien arising out of claims under a judgment rendered, decree or claim filed so long as such judgments, decrees or claims do not constitute an Event of Default;</w:t>
      </w:r>
    </w:p>
    <w:p>
      <w:pPr>
        <w:spacing w:after="0" w:line="177" w:lineRule="exact"/>
        <w:rPr>
          <w:rFonts w:ascii="Arial" w:cs="Arial" w:eastAsia="Arial" w:hAnsi="Arial"/>
          <w:sz w:val="18"/>
          <w:szCs w:val="18"/>
          <w:color w:val="auto"/>
        </w:rPr>
      </w:pPr>
    </w:p>
    <w:p>
      <w:pPr>
        <w:ind w:left="2340" w:hanging="737"/>
        <w:spacing w:after="0"/>
        <w:tabs>
          <w:tab w:leader="none" w:pos="23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213" w:lineRule="exact"/>
        <w:rPr>
          <w:rFonts w:ascii="Arial" w:cs="Arial" w:eastAsia="Arial" w:hAnsi="Arial"/>
          <w:sz w:val="18"/>
          <w:szCs w:val="18"/>
          <w:color w:val="auto"/>
        </w:rPr>
      </w:pPr>
    </w:p>
    <w:p>
      <w:pPr>
        <w:ind w:left="2340" w:hanging="737"/>
        <w:spacing w:after="0"/>
        <w:tabs>
          <w:tab w:leader="none" w:pos="23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2340" w:hanging="737"/>
        <w:spacing w:after="0"/>
        <w:tabs>
          <w:tab w:leader="none" w:pos="23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2320" w:hanging="717"/>
        <w:spacing w:after="0"/>
        <w:tabs>
          <w:tab w:leader="none" w:pos="23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213" w:lineRule="exact"/>
        <w:rPr>
          <w:rFonts w:ascii="Arial" w:cs="Arial" w:eastAsia="Arial" w:hAnsi="Arial"/>
          <w:sz w:val="18"/>
          <w:szCs w:val="18"/>
          <w:color w:val="auto"/>
        </w:rPr>
      </w:pPr>
    </w:p>
    <w:p>
      <w:pPr>
        <w:ind w:left="1080" w:right="20" w:firstLine="523"/>
        <w:spacing w:after="0" w:line="247" w:lineRule="auto"/>
        <w:tabs>
          <w:tab w:leader="none" w:pos="233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 (viii) rental deposits, (ix) judicial appeals and (x) service contracts;</w:t>
      </w:r>
    </w:p>
    <w:p>
      <w:pPr>
        <w:spacing w:after="0" w:line="192" w:lineRule="exact"/>
        <w:rPr>
          <w:rFonts w:ascii="Arial" w:cs="Arial" w:eastAsia="Arial" w:hAnsi="Arial"/>
          <w:sz w:val="18"/>
          <w:szCs w:val="18"/>
          <w:color w:val="auto"/>
        </w:rPr>
      </w:pPr>
    </w:p>
    <w:p>
      <w:pPr>
        <w:ind w:left="2300" w:hanging="697"/>
        <w:spacing w:after="0"/>
        <w:tabs>
          <w:tab w:leader="none" w:pos="23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Liens securing Indebtedness or other obligations of a Subsidiary owing to the Company or any Principal Domestic Subsidiary;</w:t>
      </w:r>
    </w:p>
    <w:p>
      <w:pPr>
        <w:spacing w:after="0" w:line="236" w:lineRule="exact"/>
        <w:rPr>
          <w:rFonts w:ascii="Arial" w:cs="Arial" w:eastAsia="Arial" w:hAnsi="Arial"/>
          <w:sz w:val="16"/>
          <w:szCs w:val="16"/>
          <w:color w:val="auto"/>
        </w:rPr>
      </w:pPr>
    </w:p>
    <w:p>
      <w:pPr>
        <w:ind w:left="1080" w:right="100" w:firstLine="523"/>
        <w:spacing w:after="0" w:line="253" w:lineRule="auto"/>
        <w:tabs>
          <w:tab w:leader="none" w:pos="235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87" w:lineRule="exact"/>
        <w:rPr>
          <w:rFonts w:ascii="Arial" w:cs="Arial" w:eastAsia="Arial" w:hAnsi="Arial"/>
          <w:sz w:val="18"/>
          <w:szCs w:val="18"/>
          <w:color w:val="auto"/>
        </w:rPr>
      </w:pPr>
    </w:p>
    <w:p>
      <w:pPr>
        <w:jc w:val="both"/>
        <w:ind w:left="1080" w:right="200" w:firstLine="523"/>
        <w:spacing w:after="0" w:line="253" w:lineRule="auto"/>
        <w:tabs>
          <w:tab w:leader="none" w:pos="235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31" w:name="page232"/>
    <w:bookmarkEnd w:id="231"/>
    <w:p>
      <w:pPr>
        <w:ind w:left="1080" w:right="320"/>
        <w:spacing w:after="0" w:line="263" w:lineRule="auto"/>
        <w:rPr>
          <w:sz w:val="20"/>
          <w:szCs w:val="20"/>
          <w:color w:val="auto"/>
        </w:rPr>
      </w:pPr>
      <w:r>
        <w:rPr>
          <w:rFonts w:ascii="Arial" w:cs="Arial" w:eastAsia="Arial" w:hAnsi="Arial"/>
          <w:sz w:val="18"/>
          <w:szCs w:val="18"/>
          <w:color w:val="auto"/>
        </w:rPr>
        <w:t>arising from the honoring by a bank or other financial institution of a check, draft or similar instrument drawn against insufficient funds in the ordinary course of business;</w:t>
      </w:r>
    </w:p>
    <w:p>
      <w:pPr>
        <w:spacing w:after="0" w:line="178" w:lineRule="exact"/>
        <w:rPr>
          <w:sz w:val="20"/>
          <w:szCs w:val="20"/>
          <w:color w:val="auto"/>
        </w:rPr>
      </w:pPr>
    </w:p>
    <w:p>
      <w:pPr>
        <w:ind w:left="2380" w:hanging="777"/>
        <w:spacing w:after="0"/>
        <w:tabs>
          <w:tab w:leader="none" w:pos="2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213" w:lineRule="exact"/>
        <w:rPr>
          <w:rFonts w:ascii="Arial" w:cs="Arial" w:eastAsia="Arial" w:hAnsi="Arial"/>
          <w:sz w:val="18"/>
          <w:szCs w:val="18"/>
          <w:color w:val="auto"/>
        </w:rPr>
      </w:pPr>
    </w:p>
    <w:p>
      <w:pPr>
        <w:ind w:left="1080" w:right="180" w:firstLine="523"/>
        <w:spacing w:after="0" w:line="253" w:lineRule="auto"/>
        <w:tabs>
          <w:tab w:leader="none" w:pos="235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87" w:lineRule="exact"/>
        <w:rPr>
          <w:rFonts w:ascii="Arial" w:cs="Arial" w:eastAsia="Arial" w:hAnsi="Arial"/>
          <w:sz w:val="18"/>
          <w:szCs w:val="18"/>
          <w:color w:val="auto"/>
        </w:rPr>
      </w:pPr>
    </w:p>
    <w:p>
      <w:pPr>
        <w:ind w:left="1080" w:right="600" w:firstLine="523"/>
        <w:spacing w:after="0" w:line="326" w:lineRule="auto"/>
        <w:tabs>
          <w:tab w:leader="none" w:pos="235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31" w:lineRule="exact"/>
        <w:rPr>
          <w:rFonts w:ascii="Arial" w:cs="Arial" w:eastAsia="Arial" w:hAnsi="Arial"/>
          <w:sz w:val="16"/>
          <w:szCs w:val="16"/>
          <w:color w:val="auto"/>
        </w:rPr>
      </w:pPr>
    </w:p>
    <w:p>
      <w:pPr>
        <w:ind w:left="1080" w:right="20" w:firstLine="523"/>
        <w:spacing w:after="0" w:line="263" w:lineRule="auto"/>
        <w:tabs>
          <w:tab w:leader="none" w:pos="2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178" w:lineRule="exact"/>
        <w:rPr>
          <w:sz w:val="20"/>
          <w:szCs w:val="20"/>
          <w:color w:val="auto"/>
        </w:rPr>
      </w:pPr>
    </w:p>
    <w:p>
      <w:pPr>
        <w:ind w:left="1080" w:right="280" w:firstLine="523"/>
        <w:spacing w:after="0" w:line="263" w:lineRule="auto"/>
        <w:tabs>
          <w:tab w:leader="none" w:pos="241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w:t>
      </w:r>
    </w:p>
    <w:p>
      <w:pPr>
        <w:sectPr>
          <w:pgSz w:w="11900" w:h="16838" w:orient="portrait"/>
          <w:cols w:equalWidth="0" w:num="1">
            <w:col w:w="11460"/>
          </w:cols>
          <w:pgMar w:left="220" w:top="134" w:right="219" w:bottom="1440" w:gutter="0" w:footer="0" w:header="0"/>
        </w:sectPr>
      </w:pPr>
    </w:p>
    <w:p>
      <w:pPr>
        <w:spacing w:after="0" w:line="178"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(ab)</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[reserved]; and</w:t>
      </w:r>
    </w:p>
    <w:p>
      <w:pPr>
        <w:spacing w:after="0" w:line="200" w:lineRule="exact"/>
        <w:rPr>
          <w:sz w:val="20"/>
          <w:szCs w:val="20"/>
          <w:color w:val="auto"/>
        </w:rPr>
      </w:pPr>
    </w:p>
    <w:p>
      <w:pPr>
        <w:sectPr>
          <w:pgSz w:w="11900" w:h="16838" w:orient="portrait"/>
          <w:cols w:equalWidth="0" w:num="2">
            <w:col w:w="1880" w:space="540"/>
            <w:col w:w="9040"/>
          </w:cols>
          <w:pgMar w:left="220" w:top="134" w:right="219" w:bottom="1440" w:gutter="0" w:footer="0" w:header="0"/>
          <w:type w:val="continuous"/>
        </w:sectPr>
      </w:pPr>
    </w:p>
    <w:p>
      <w:pPr>
        <w:spacing w:after="0" w:line="60" w:lineRule="exact"/>
        <w:rPr>
          <w:sz w:val="20"/>
          <w:szCs w:val="20"/>
          <w:color w:val="auto"/>
        </w:rPr>
      </w:pPr>
    </w:p>
    <w:p>
      <w:pPr>
        <w:ind w:left="1600"/>
        <w:spacing w:after="0"/>
        <w:tabs>
          <w:tab w:leader="none" w:pos="2400" w:val="left"/>
        </w:tabs>
        <w:rPr>
          <w:sz w:val="20"/>
          <w:szCs w:val="20"/>
          <w:color w:val="auto"/>
        </w:rPr>
      </w:pPr>
      <w:r>
        <w:rPr>
          <w:rFonts w:ascii="Arial" w:cs="Arial" w:eastAsia="Arial" w:hAnsi="Arial"/>
          <w:sz w:val="16"/>
          <w:szCs w:val="16"/>
          <w:color w:val="auto"/>
        </w:rPr>
        <w:t>(ac)</w:t>
      </w:r>
      <w:r>
        <w:rPr>
          <w:sz w:val="20"/>
          <w:szCs w:val="20"/>
          <w:color w:val="auto"/>
        </w:rPr>
        <w:tab/>
      </w:r>
      <w:r>
        <w:rPr>
          <w:rFonts w:ascii="Arial" w:cs="Arial" w:eastAsia="Arial" w:hAnsi="Arial"/>
          <w:sz w:val="16"/>
          <w:szCs w:val="16"/>
          <w:color w:val="auto"/>
        </w:rPr>
        <w:t>so long as no Event of Default shall have occurred and be continuing, Liens in favor of any finance party granted by the</w:t>
      </w:r>
    </w:p>
    <w:p>
      <w:pPr>
        <w:sectPr>
          <w:pgSz w:w="11900" w:h="16838" w:orient="portrait"/>
          <w:cols w:equalWidth="0" w:num="1">
            <w:col w:w="11460"/>
          </w:cols>
          <w:pgMar w:left="220" w:top="134" w:right="219" w:bottom="1440" w:gutter="0" w:footer="0" w:header="0"/>
          <w:type w:val="continuous"/>
        </w:sectPr>
      </w:pPr>
    </w:p>
    <w:p>
      <w:pPr>
        <w:spacing w:after="0" w:line="40" w:lineRule="exact"/>
        <w:rPr>
          <w:sz w:val="20"/>
          <w:szCs w:val="20"/>
          <w:color w:val="auto"/>
        </w:rPr>
      </w:pPr>
    </w:p>
    <w:p>
      <w:pPr>
        <w:ind w:left="1080" w:right="160"/>
        <w:spacing w:after="0" w:line="245" w:lineRule="auto"/>
        <w:rPr>
          <w:sz w:val="20"/>
          <w:szCs w:val="20"/>
          <w:color w:val="auto"/>
        </w:rPr>
      </w:pPr>
      <w:r>
        <w:rPr>
          <w:rFonts w:ascii="Arial" w:cs="Arial" w:eastAsia="Arial" w:hAnsi="Arial"/>
          <w:sz w:val="18"/>
          <w:szCs w:val="18"/>
          <w:color w:val="auto"/>
        </w:rPr>
        <w:t>Company or any Principal Domestic Subsidiary on company cars and receivables (and other Collateral evidencing, securing, or relating to such company cars or receivables including Supporting Obligations and Letter-of-Credit Rights, in each case as such terms are defined in the UCC) pursuant to any securitization thereof (excluding, for the avoidance of doubt, letter of credit transactions) not prohibited by the Loan Documents that do not have customary bankruptcy remote limited recourse provisions.</w:t>
      </w:r>
    </w:p>
    <w:p>
      <w:pPr>
        <w:spacing w:after="0" w:line="193" w:lineRule="exact"/>
        <w:rPr>
          <w:sz w:val="20"/>
          <w:szCs w:val="20"/>
          <w:color w:val="auto"/>
        </w:rPr>
      </w:pPr>
    </w:p>
    <w:p>
      <w:pPr>
        <w:ind w:right="28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98" w:lineRule="exact"/>
        <w:rPr>
          <w:sz w:val="20"/>
          <w:szCs w:val="20"/>
          <w:color w:val="auto"/>
        </w:rPr>
      </w:pPr>
    </w:p>
    <w:p>
      <w:pPr>
        <w:ind w:right="5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44" w:lineRule="exact"/>
        <w:rPr>
          <w:sz w:val="20"/>
          <w:szCs w:val="20"/>
          <w:color w:val="auto"/>
        </w:rPr>
      </w:pPr>
    </w:p>
    <w:p>
      <w:pPr>
        <w:ind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type w:val="continuous"/>
        </w:sectPr>
      </w:pPr>
    </w:p>
    <w:bookmarkStart w:id="232" w:name="page233"/>
    <w:bookmarkEnd w:id="232"/>
    <w:p>
      <w:pPr>
        <w:jc w:val="both"/>
        <w:ind w:right="100" w:firstLine="106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181" w:lineRule="exact"/>
        <w:rPr>
          <w:sz w:val="20"/>
          <w:szCs w:val="20"/>
          <w:color w:val="auto"/>
        </w:rPr>
      </w:pPr>
    </w:p>
    <w:p>
      <w:pPr>
        <w:ind w:right="380"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Pledged Assets</w:t>
      </w:r>
      <w:r>
        <w:rPr>
          <w:rFonts w:ascii="Arial" w:cs="Arial" w:eastAsia="Arial" w:hAnsi="Arial"/>
          <w:sz w:val="17"/>
          <w:szCs w:val="17"/>
          <w:color w:val="auto"/>
        </w:rPr>
        <w:t>” means the “Collateral,” under and as defined in the Existing Five Year Credit Agreement, determined as if such agreement were still outstanding, and with each reference to Section 7.4(b) therein being deemed to be a reference to Section 7.4 hereof.</w:t>
      </w:r>
    </w:p>
    <w:p>
      <w:pPr>
        <w:spacing w:after="0" w:line="121" w:lineRule="exact"/>
        <w:rPr>
          <w:sz w:val="20"/>
          <w:szCs w:val="20"/>
          <w:color w:val="auto"/>
        </w:rPr>
      </w:pPr>
    </w:p>
    <w:p>
      <w:pPr>
        <w:jc w:val="both"/>
        <w:ind w:right="4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54" w:lineRule="exact"/>
        <w:rPr>
          <w:sz w:val="20"/>
          <w:szCs w:val="20"/>
          <w:color w:val="auto"/>
        </w:rPr>
      </w:pPr>
    </w:p>
    <w:p>
      <w:pPr>
        <w:ind w:firstLine="1063"/>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Domestic Subsidiary</w:t>
      </w:r>
      <w:r>
        <w:rPr>
          <w:rFonts w:ascii="Arial" w:cs="Arial" w:eastAsia="Arial" w:hAnsi="Arial"/>
          <w:sz w:val="17"/>
          <w:szCs w:val="17"/>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2013 10-K), (B) at least 80% or more of the Capital Stock or Voting Stock of such Domestic Subsidiary is owned, directly or indirectly, by the Company and (C) none of the Capital Stock of such Domestic Subsidiary is publicly held.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IP Holding Company</w:t>
      </w:r>
      <w:r>
        <w:rPr>
          <w:rFonts w:ascii="Arial" w:cs="Arial" w:eastAsia="Arial" w:hAnsi="Arial"/>
          <w:sz w:val="16"/>
          <w:szCs w:val="16"/>
          <w:color w:val="auto"/>
        </w:rPr>
        <w:t>” means any wholly-owned Foreign Subsidiary of the Company to which the Designated Principal Trade Name is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transferred.</w:t>
      </w:r>
    </w:p>
    <w:p>
      <w:pPr>
        <w:spacing w:after="0" w:line="167" w:lineRule="exact"/>
        <w:rPr>
          <w:sz w:val="20"/>
          <w:szCs w:val="20"/>
          <w:color w:val="auto"/>
        </w:rPr>
      </w:pPr>
    </w:p>
    <w:p>
      <w:pPr>
        <w:ind w:right="180" w:firstLine="10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(or, if the Currency in relation to which such rate is determined is Euro, the European interbank market) for deposits in the Currency in relation to which such rate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33" w:name="page234"/>
    <w:bookmarkEnd w:id="233"/>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3.5.</w:t>
      </w:r>
    </w:p>
    <w:p>
      <w:pPr>
        <w:spacing w:after="0" w:line="181" w:lineRule="exact"/>
        <w:rPr>
          <w:sz w:val="20"/>
          <w:szCs w:val="20"/>
          <w:color w:val="auto"/>
        </w:rPr>
      </w:pPr>
    </w:p>
    <w:p>
      <w:pPr>
        <w:ind w:right="1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means the obligation of the Company or the Applicable Account Party to reimburse an Issuing Lender pursuant to Section 3.5 for amounts drawn under Letters of Credit.</w:t>
      </w:r>
    </w:p>
    <w:p>
      <w:pPr>
        <w:spacing w:after="0" w:line="135" w:lineRule="exact"/>
        <w:rPr>
          <w:sz w:val="20"/>
          <w:szCs w:val="20"/>
          <w:color w:val="auto"/>
        </w:rPr>
      </w:pPr>
    </w:p>
    <w:p>
      <w:pPr>
        <w:ind w:right="460" w:firstLine="1063"/>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64" w:lineRule="exact"/>
        <w:rPr>
          <w:sz w:val="20"/>
          <w:szCs w:val="20"/>
          <w:color w:val="auto"/>
        </w:rPr>
      </w:pPr>
    </w:p>
    <w:p>
      <w:pPr>
        <w:ind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44" w:lineRule="exact"/>
        <w:rPr>
          <w:sz w:val="20"/>
          <w:szCs w:val="20"/>
          <w:color w:val="auto"/>
        </w:rPr>
      </w:pPr>
    </w:p>
    <w:p>
      <w:pPr>
        <w:ind w:right="2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aggregate amount of the Total Commitments (or, at any time after the Commitments shall have expired or terminated, the holders of more than 50% of the Total Extensions of Credit).</w:t>
      </w:r>
    </w:p>
    <w:p>
      <w:pPr>
        <w:spacing w:after="0" w:line="144" w:lineRule="exact"/>
        <w:rPr>
          <w:sz w:val="20"/>
          <w:szCs w:val="20"/>
          <w:color w:val="auto"/>
        </w:rPr>
      </w:pPr>
    </w:p>
    <w:p>
      <w:pPr>
        <w:ind w:right="2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54" w:lineRule="exact"/>
        <w:rPr>
          <w:sz w:val="20"/>
          <w:szCs w:val="20"/>
          <w:color w:val="auto"/>
        </w:rPr>
      </w:pPr>
    </w:p>
    <w:p>
      <w:pPr>
        <w:ind w:right="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its successors.</w:t>
      </w:r>
    </w:p>
    <w:p>
      <w:pPr>
        <w:spacing w:after="0" w:line="181" w:lineRule="exact"/>
        <w:rPr>
          <w:sz w:val="20"/>
          <w:szCs w:val="20"/>
          <w:color w:val="auto"/>
        </w:rPr>
      </w:pPr>
    </w:p>
    <w:p>
      <w:pPr>
        <w:ind w:right="200" w:firstLine="106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Sale/Leaseback Transaction</w:t>
      </w:r>
      <w:r>
        <w:rPr>
          <w:rFonts w:ascii="Arial" w:cs="Arial" w:eastAsia="Arial" w:hAnsi="Arial"/>
          <w:sz w:val="17"/>
          <w:szCs w:val="17"/>
          <w:color w:val="auto"/>
        </w:rPr>
        <w:t>” means any arrangement with any Person providing for the leasing by any Loan Party of real or personal property that has been or is to be sold or transferred by the applicable Loan Party to such Person, including any other Person to whom funds have been or are to be advanced by such Person on the security of such property or rental obligations of the applicable Loan Party.</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4.16.</w:t>
      </w:r>
    </w:p>
    <w:p>
      <w:pPr>
        <w:spacing w:after="0" w:line="181" w:lineRule="exact"/>
        <w:rPr>
          <w:sz w:val="20"/>
          <w:szCs w:val="20"/>
          <w:color w:val="auto"/>
        </w:rPr>
      </w:pPr>
    </w:p>
    <w:p>
      <w:pPr>
        <w:ind w:right="60" w:firstLine="106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4.16.</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has the meaning set forth in the definition of Eurocurrency Base Rate.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Quarter 2014 10-Q</w:t>
      </w:r>
      <w:r>
        <w:rPr>
          <w:rFonts w:ascii="Arial" w:cs="Arial" w:eastAsia="Arial" w:hAnsi="Arial"/>
          <w:sz w:val="18"/>
          <w:szCs w:val="18"/>
          <w:color w:val="auto"/>
        </w:rPr>
        <w:t>” has the meaning assigned to such term in Section 4.1.</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34" w:name="page235"/>
    <w:bookmarkEnd w:id="234"/>
    <w:p>
      <w:pPr>
        <w:ind w:firstLine="106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33" w:lineRule="exact"/>
        <w:rPr>
          <w:sz w:val="20"/>
          <w:szCs w:val="20"/>
          <w:color w:val="auto"/>
        </w:rPr>
      </w:pPr>
    </w:p>
    <w:p>
      <w:pPr>
        <w:ind w:right="300"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w:t>
      </w:r>
      <w:r>
        <w:rPr>
          <w:rFonts w:ascii="Arial" w:cs="Arial" w:eastAsia="Arial" w:hAnsi="Arial"/>
          <w:sz w:val="17"/>
          <w:szCs w:val="17"/>
          <w:color w:val="auto"/>
        </w:rPr>
        <w:t>” means GMB (solely with respect to the Brazilian Facility), GMF and any other Subsidiary that becomes a party hereto pursuant to Section 10.1(d) until such time as such Subsidiary Borrower is removed as a party hereto pursuant to Section 10.1(d).</w:t>
      </w:r>
    </w:p>
    <w:p>
      <w:pPr>
        <w:spacing w:after="0" w:line="121" w:lineRule="exact"/>
        <w:rPr>
          <w:sz w:val="20"/>
          <w:szCs w:val="20"/>
          <w:color w:val="auto"/>
        </w:rPr>
      </w:pPr>
    </w:p>
    <w:p>
      <w:pPr>
        <w:ind w:right="200" w:firstLine="106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means during any Reinstated Guarantee Period, each Domestic Subsidiary that was a Principal Domestic Subsidiary on the applicable Guarantee Reinstatement Date or that became a party to the Guarantee after such Guarantee Reinstatement Date pursuant to Section 6.7(a) or</w:t>
      </w:r>
    </w:p>
    <w:p>
      <w:pPr>
        <w:ind w:right="80"/>
        <w:spacing w:after="0" w:line="245" w:lineRule="auto"/>
        <w:rPr>
          <w:sz w:val="20"/>
          <w:szCs w:val="20"/>
          <w:color w:val="auto"/>
        </w:rPr>
      </w:pPr>
      <w:r>
        <w:rPr>
          <w:rFonts w:ascii="Arial" w:cs="Arial" w:eastAsia="Arial" w:hAnsi="Arial"/>
          <w:sz w:val="18"/>
          <w:szCs w:val="18"/>
          <w:color w:val="auto"/>
        </w:rPr>
        <w:t xml:space="preserve">6.7(b) or Section 10.1(b);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181" w:lineRule="exact"/>
        <w:rPr>
          <w:sz w:val="20"/>
          <w:szCs w:val="20"/>
          <w:color w:val="auto"/>
        </w:rPr>
      </w:pPr>
    </w:p>
    <w:p>
      <w:pPr>
        <w:ind w:right="1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payment system is open for the settlement of payments in Euro.</w:t>
      </w:r>
    </w:p>
    <w:p>
      <w:pPr>
        <w:spacing w:after="0" w:line="144" w:lineRule="exact"/>
        <w:rPr>
          <w:sz w:val="20"/>
          <w:szCs w:val="20"/>
          <w:color w:val="auto"/>
        </w:rPr>
      </w:pPr>
    </w:p>
    <w:p>
      <w:pPr>
        <w:ind w:right="20" w:firstLine="1063"/>
        <w:spacing w:after="0" w:line="32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98" w:lineRule="exact"/>
        <w:rPr>
          <w:sz w:val="20"/>
          <w:szCs w:val="20"/>
          <w:color w:val="auto"/>
        </w:rPr>
      </w:pPr>
    </w:p>
    <w:p>
      <w:pPr>
        <w:ind w:right="2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as to any Lender under any Facility, initially, the fifth anniversary of the Closing Date, as such date for such Lender under such Facility may be extended from time to time pursuant to Section 2.30.</w:t>
      </w:r>
    </w:p>
    <w:p>
      <w:pPr>
        <w:spacing w:after="0" w:line="144" w:lineRule="exact"/>
        <w:rPr>
          <w:sz w:val="20"/>
          <w:szCs w:val="20"/>
          <w:color w:val="auto"/>
        </w:rPr>
      </w:pPr>
    </w:p>
    <w:p>
      <w:pPr>
        <w:ind w:right="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Brazilian Commitments</w:t>
      </w:r>
      <w:r>
        <w:rPr>
          <w:rFonts w:ascii="Arial" w:cs="Arial" w:eastAsia="Arial" w:hAnsi="Arial"/>
          <w:sz w:val="18"/>
          <w:szCs w:val="18"/>
          <w:color w:val="auto"/>
        </w:rPr>
        <w:t xml:space="preserve">” means, at any time, an amount equal to the excess, if any, of (a) the Total Brazilian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Brazilian Extensions of Credit then outstanding.</w:t>
      </w:r>
    </w:p>
    <w:p>
      <w:pPr>
        <w:spacing w:after="0" w:line="144" w:lineRule="exact"/>
        <w:rPr>
          <w:sz w:val="20"/>
          <w:szCs w:val="20"/>
          <w:color w:val="auto"/>
        </w:rPr>
      </w:pPr>
    </w:p>
    <w:p>
      <w:pPr>
        <w:ind w:right="2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44" w:lineRule="exact"/>
        <w:rPr>
          <w:sz w:val="20"/>
          <w:szCs w:val="20"/>
          <w:color w:val="auto"/>
        </w:rPr>
      </w:pPr>
    </w:p>
    <w:p>
      <w:pPr>
        <w:ind w:right="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Domestic Commitments</w:t>
      </w:r>
      <w:r>
        <w:rPr>
          <w:rFonts w:ascii="Arial" w:cs="Arial" w:eastAsia="Arial" w:hAnsi="Arial"/>
          <w:sz w:val="18"/>
          <w:szCs w:val="18"/>
          <w:color w:val="auto"/>
        </w:rPr>
        <w:t>” means, at any time, an amount equal to the excess, if any, of (a) the Total Domestic Commitments then in effect, over (b) the Total Domestic Extensions of Credit then outstanding.</w:t>
      </w:r>
    </w:p>
    <w:p>
      <w:pPr>
        <w:spacing w:after="0" w:line="144" w:lineRule="exact"/>
        <w:rPr>
          <w:sz w:val="20"/>
          <w:szCs w:val="20"/>
          <w:color w:val="auto"/>
        </w:rPr>
      </w:pPr>
    </w:p>
    <w:p>
      <w:pPr>
        <w:ind w:right="7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Commitments</w:t>
      </w:r>
      <w:r>
        <w:rPr>
          <w:rFonts w:ascii="Arial" w:cs="Arial" w:eastAsia="Arial" w:hAnsi="Arial"/>
          <w:sz w:val="18"/>
          <w:szCs w:val="18"/>
          <w:color w:val="auto"/>
        </w:rPr>
        <w:t>” means, at any time, an amount equal to the excess, if any, of (a) the Total Multicurrency Commitments then in effect, over (b) the Total Multicurrency Extensions of Credit then outstanding.</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35" w:name="page236"/>
    <w:bookmarkEnd w:id="235"/>
    <w:p>
      <w:pPr>
        <w:ind w:right="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Commitment</w:t>
      </w:r>
      <w:r>
        <w:rPr>
          <w:rFonts w:ascii="Arial" w:cs="Arial" w:eastAsia="Arial" w:hAnsi="Arial"/>
          <w:sz w:val="18"/>
          <w:szCs w:val="18"/>
          <w:color w:val="auto"/>
        </w:rPr>
        <w:t>” means, at any time, the aggregate amount of the Brazilian Commitments then in effect. The original amount of the Total Brazilian Commitment $195 million.</w:t>
      </w:r>
    </w:p>
    <w:p>
      <w:pPr>
        <w:spacing w:after="0" w:line="144" w:lineRule="exact"/>
        <w:rPr>
          <w:sz w:val="20"/>
          <w:szCs w:val="20"/>
          <w:color w:val="auto"/>
        </w:rPr>
      </w:pPr>
    </w:p>
    <w:p>
      <w:pPr>
        <w:ind w:right="6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Extensions of Credit</w:t>
      </w:r>
      <w:r>
        <w:rPr>
          <w:rFonts w:ascii="Arial" w:cs="Arial" w:eastAsia="Arial" w:hAnsi="Arial"/>
          <w:sz w:val="18"/>
          <w:szCs w:val="18"/>
          <w:color w:val="auto"/>
        </w:rPr>
        <w:t>” means, at any time, the aggregate Outstanding Amount of the Brazilian Extensions of Credit of the Brazilian Lenders at such time.</w:t>
      </w:r>
    </w:p>
    <w:p>
      <w:pPr>
        <w:spacing w:after="0" w:line="144" w:lineRule="exact"/>
        <w:rPr>
          <w:sz w:val="20"/>
          <w:szCs w:val="20"/>
          <w:color w:val="auto"/>
        </w:rPr>
      </w:pPr>
    </w:p>
    <w:p>
      <w:pPr>
        <w:ind w:right="9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$7.5 billion.</w:t>
      </w:r>
    </w:p>
    <w:p>
      <w:pPr>
        <w:spacing w:after="0" w:line="144" w:lineRule="exact"/>
        <w:rPr>
          <w:sz w:val="20"/>
          <w:szCs w:val="20"/>
          <w:color w:val="auto"/>
        </w:rPr>
      </w:pPr>
    </w:p>
    <w:p>
      <w:pPr>
        <w:ind w:right="38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Consolidated GMF Exposure</w:t>
      </w:r>
      <w:r>
        <w:rPr>
          <w:rFonts w:ascii="Arial" w:cs="Arial" w:eastAsia="Arial" w:hAnsi="Arial"/>
          <w:sz w:val="18"/>
          <w:szCs w:val="18"/>
          <w:color w:val="auto"/>
        </w:rPr>
        <w:t>” means, at any time, the Total Extensions of Credit outstanding at such time made to, or on behalf of, or owing by, GMF or any of its Subsidiaries.</w:t>
      </w:r>
    </w:p>
    <w:p>
      <w:pPr>
        <w:spacing w:after="0" w:line="144" w:lineRule="exact"/>
        <w:rPr>
          <w:sz w:val="20"/>
          <w:szCs w:val="20"/>
          <w:color w:val="auto"/>
        </w:rPr>
      </w:pPr>
    </w:p>
    <w:p>
      <w:pPr>
        <w:ind w:right="2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Commitment</w:t>
      </w:r>
      <w:r>
        <w:rPr>
          <w:rFonts w:ascii="Arial" w:cs="Arial" w:eastAsia="Arial" w:hAnsi="Arial"/>
          <w:sz w:val="18"/>
          <w:szCs w:val="18"/>
          <w:color w:val="auto"/>
        </w:rPr>
        <w:t>” means, at any time, the aggregate amount of the Domestic Commitments then in effect. The original amount of the Total Domestic Commitment is $30 million.</w:t>
      </w:r>
    </w:p>
    <w:p>
      <w:pPr>
        <w:spacing w:after="0" w:line="144" w:lineRule="exact"/>
        <w:rPr>
          <w:sz w:val="20"/>
          <w:szCs w:val="20"/>
          <w:color w:val="auto"/>
        </w:rPr>
      </w:pPr>
    </w:p>
    <w:p>
      <w:pPr>
        <w:ind w:right="3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Extensions of Credit</w:t>
      </w:r>
      <w:r>
        <w:rPr>
          <w:rFonts w:ascii="Arial" w:cs="Arial" w:eastAsia="Arial" w:hAnsi="Arial"/>
          <w:sz w:val="18"/>
          <w:szCs w:val="18"/>
          <w:color w:val="auto"/>
        </w:rPr>
        <w:t xml:space="preserve">” means, at any time, the aggregate Outstanding Amount of (a) the Domestic Extensions of Credit of the Domestic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Domestic Competitive Loans at such time.</w:t>
      </w:r>
    </w:p>
    <w:p>
      <w:pPr>
        <w:spacing w:after="0" w:line="144" w:lineRule="exact"/>
        <w:rPr>
          <w:sz w:val="20"/>
          <w:szCs w:val="20"/>
          <w:color w:val="auto"/>
        </w:rPr>
      </w:pPr>
    </w:p>
    <w:p>
      <w:pPr>
        <w:ind w:right="2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44" w:lineRule="exact"/>
        <w:rPr>
          <w:sz w:val="20"/>
          <w:szCs w:val="20"/>
          <w:color w:val="auto"/>
        </w:rPr>
      </w:pPr>
    </w:p>
    <w:p>
      <w:pPr>
        <w:ind w:right="34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Commitment</w:t>
      </w:r>
      <w:r>
        <w:rPr>
          <w:rFonts w:ascii="Arial" w:cs="Arial" w:eastAsia="Arial" w:hAnsi="Arial"/>
          <w:sz w:val="18"/>
          <w:szCs w:val="18"/>
          <w:color w:val="auto"/>
        </w:rPr>
        <w:t>” means, at any time, the aggregate amount of the Multicurrency Commitments then in effect. The original amount of the Total Multicurrency Commitment is $7.275 billion.</w:t>
      </w:r>
    </w:p>
    <w:p>
      <w:pPr>
        <w:spacing w:after="0" w:line="144" w:lineRule="exact"/>
        <w:rPr>
          <w:sz w:val="20"/>
          <w:szCs w:val="20"/>
          <w:color w:val="auto"/>
        </w:rPr>
      </w:pPr>
    </w:p>
    <w:p>
      <w:pPr>
        <w:ind w:right="100" w:firstLine="1063"/>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Multicurrency Extensions of Credit</w:t>
      </w:r>
      <w:r>
        <w:rPr>
          <w:rFonts w:ascii="Arial" w:cs="Arial" w:eastAsia="Arial" w:hAnsi="Arial"/>
          <w:sz w:val="17"/>
          <w:szCs w:val="17"/>
          <w:color w:val="auto"/>
        </w:rPr>
        <w:t xml:space="preserve">” means, at any time, the aggregate Outstanding Amount of (a) the Multicurrency Extensions of Credit of the Multicurrency Lenders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Dollar Equivalent of the Multicurrency Competitive Loans at such time.</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181" w:lineRule="exact"/>
        <w:rPr>
          <w:sz w:val="20"/>
          <w:szCs w:val="20"/>
          <w:color w:val="auto"/>
        </w:rPr>
      </w:pPr>
    </w:p>
    <w:p>
      <w:pPr>
        <w:ind w:right="16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a CDI Loan or a Eurocurrency Loan and (b) as to any Competitive Loan, its nature as a Eurocurrency Competitive Loan or a Fixed Rate Loan.</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UCP</w:t>
      </w:r>
      <w:r>
        <w:rPr>
          <w:rFonts w:ascii="Arial" w:cs="Arial" w:eastAsia="Arial" w:hAnsi="Arial"/>
          <w:sz w:val="16"/>
          <w:szCs w:val="16"/>
          <w:color w:val="auto"/>
        </w:rPr>
        <w:t>” means the Uniform Customs and Practice for Documentary Credits (2007 Revision), International Chamber of Commerce Publication No.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600, and any subsequent revision thereof adhered to by the Issuing Lenders.</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181" w:lineRule="exact"/>
        <w:rPr>
          <w:sz w:val="20"/>
          <w:szCs w:val="20"/>
          <w:color w:val="auto"/>
        </w:rPr>
      </w:pPr>
    </w:p>
    <w:p>
      <w:pPr>
        <w:ind w:right="42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URDG</w:t>
      </w:r>
      <w:r>
        <w:rPr>
          <w:rFonts w:ascii="Arial" w:cs="Arial" w:eastAsia="Arial" w:hAnsi="Arial"/>
          <w:sz w:val="16"/>
          <w:szCs w:val="16"/>
          <w:color w:val="auto"/>
        </w:rPr>
        <w:t>” means the Uniform Rules for Demand Guarantees, ICC Publication 758, and any subsequent revision thereof adhered to by the Issuing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36" w:name="page237"/>
    <w:bookmarkEnd w:id="236"/>
    <w:p>
      <w:pPr>
        <w:ind w:right="100" w:firstLine="10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44"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Definitional Provisions.</w:t>
      </w:r>
    </w:p>
    <w:p>
      <w:pPr>
        <w:spacing w:after="0" w:line="214" w:lineRule="exact"/>
        <w:rPr>
          <w:sz w:val="20"/>
          <w:szCs w:val="20"/>
          <w:color w:val="auto"/>
        </w:rPr>
      </w:pPr>
    </w:p>
    <w:p>
      <w:pPr>
        <w:ind w:right="260" w:firstLine="1138"/>
        <w:spacing w:after="0" w:line="263" w:lineRule="auto"/>
        <w:tabs>
          <w:tab w:leader="none" w:pos="179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7" w:lineRule="exact"/>
        <w:rPr>
          <w:rFonts w:ascii="Arial" w:cs="Arial" w:eastAsia="Arial" w:hAnsi="Arial"/>
          <w:sz w:val="18"/>
          <w:szCs w:val="18"/>
          <w:color w:val="auto"/>
        </w:rPr>
      </w:pPr>
    </w:p>
    <w:p>
      <w:pPr>
        <w:ind w:left="1800" w:hanging="662"/>
        <w:spacing w:after="0"/>
        <w:tabs>
          <w:tab w:leader="none" w:pos="180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w:t>
      </w:r>
    </w:p>
    <w:p>
      <w:pPr>
        <w:spacing w:after="0" w:line="39" w:lineRule="exact"/>
        <w:rPr>
          <w:rFonts w:ascii="Arial" w:cs="Arial" w:eastAsia="Arial" w:hAnsi="Arial"/>
          <w:sz w:val="16"/>
          <w:szCs w:val="16"/>
          <w:color w:val="auto"/>
        </w:rPr>
      </w:pPr>
    </w:p>
    <w:p>
      <w:pPr>
        <w:ind w:firstLine="9"/>
        <w:spacing w:after="0" w:line="278" w:lineRule="auto"/>
        <w:tabs>
          <w:tab w:leader="none" w:pos="21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69" w:lineRule="exact"/>
        <w:rPr>
          <w:rFonts w:ascii="Arial" w:cs="Arial" w:eastAsia="Arial" w:hAnsi="Arial"/>
          <w:sz w:val="16"/>
          <w:szCs w:val="16"/>
          <w:color w:val="auto"/>
        </w:rPr>
      </w:pPr>
    </w:p>
    <w:p>
      <w:pPr>
        <w:ind w:right="60" w:firstLine="1138"/>
        <w:spacing w:after="0" w:line="253" w:lineRule="auto"/>
        <w:tabs>
          <w:tab w:leader="none" w:pos="179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7" w:lineRule="exact"/>
        <w:rPr>
          <w:rFonts w:ascii="Arial" w:cs="Arial" w:eastAsia="Arial" w:hAnsi="Arial"/>
          <w:sz w:val="18"/>
          <w:szCs w:val="18"/>
          <w:color w:val="auto"/>
        </w:rPr>
      </w:pPr>
    </w:p>
    <w:p>
      <w:pPr>
        <w:ind w:left="1800" w:hanging="662"/>
        <w:spacing w:after="0"/>
        <w:tabs>
          <w:tab w:leader="none" w:pos="180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Conversion of Foreign Currencies.</w:t>
      </w:r>
    </w:p>
    <w:p>
      <w:pPr>
        <w:spacing w:after="0" w:line="214" w:lineRule="exact"/>
        <w:rPr>
          <w:sz w:val="20"/>
          <w:szCs w:val="20"/>
          <w:color w:val="auto"/>
        </w:rPr>
      </w:pPr>
    </w:p>
    <w:p>
      <w:pPr>
        <w:ind w:right="160" w:firstLine="1072"/>
        <w:spacing w:after="0" w:line="250" w:lineRule="auto"/>
        <w:tabs>
          <w:tab w:leader="none" w:pos="17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9" w:lineRule="exact"/>
        <w:rPr>
          <w:rFonts w:ascii="Arial" w:cs="Arial" w:eastAsia="Arial" w:hAnsi="Arial"/>
          <w:sz w:val="18"/>
          <w:szCs w:val="18"/>
          <w:color w:val="auto"/>
        </w:rPr>
      </w:pPr>
    </w:p>
    <w:p>
      <w:pPr>
        <w:ind w:right="160" w:firstLine="1072"/>
        <w:spacing w:after="0" w:line="253" w:lineRule="auto"/>
        <w:tabs>
          <w:tab w:leader="none" w:pos="18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purposes of determining compliance with Section 7.4,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37" w:name="page238"/>
    <w:bookmarkEnd w:id="237"/>
    <w:p>
      <w:pPr>
        <w:ind w:right="240"/>
        <w:spacing w:after="0" w:line="263" w:lineRule="auto"/>
        <w:rPr>
          <w:sz w:val="20"/>
          <w:szCs w:val="20"/>
          <w:color w:val="auto"/>
        </w:rPr>
      </w:pPr>
      <w:r>
        <w:rPr>
          <w:rFonts w:ascii="Arial" w:cs="Arial" w:eastAsia="Arial" w:hAnsi="Arial"/>
          <w:sz w:val="18"/>
          <w:szCs w:val="18"/>
          <w:color w:val="auto"/>
        </w:rPr>
        <w:t>purposes of Section 3.1, the Dollar Equivalent of an outstanding Letter of Credit shall be determined on its issuance date and thereafter on the last day of each subsequent Fee Payment Period.</w:t>
      </w:r>
    </w:p>
    <w:p>
      <w:pPr>
        <w:spacing w:after="0" w:line="178" w:lineRule="exact"/>
        <w:rPr>
          <w:sz w:val="20"/>
          <w:szCs w:val="20"/>
          <w:color w:val="auto"/>
        </w:rPr>
      </w:pPr>
    </w:p>
    <w:p>
      <w:pPr>
        <w:ind w:firstLine="1072"/>
        <w:spacing w:after="0" w:line="300" w:lineRule="auto"/>
        <w:tabs>
          <w:tab w:leader="none" w:pos="179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Administrative Agent and/or the Brazilian Administrative Agent, as applicable,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52" w:lineRule="exact"/>
        <w:rPr>
          <w:sz w:val="20"/>
          <w:szCs w:val="20"/>
          <w:color w:val="auto"/>
        </w:rPr>
      </w:pPr>
    </w:p>
    <w:p>
      <w:pPr>
        <w:jc w:val="both"/>
        <w:ind w:right="500" w:firstLine="1063"/>
        <w:spacing w:after="0" w:line="25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xml:space="preserve">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8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SECTION 2. AMOUNT AND TERMS OF COMMITMENTS</w:t>
      </w:r>
    </w:p>
    <w:p>
      <w:pPr>
        <w:spacing w:after="0" w:line="214"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Domestic Commitments</w:t>
      </w:r>
    </w:p>
    <w:p>
      <w:pPr>
        <w:spacing w:after="0" w:line="214" w:lineRule="exact"/>
        <w:rPr>
          <w:sz w:val="20"/>
          <w:szCs w:val="20"/>
          <w:color w:val="auto"/>
        </w:rPr>
      </w:pPr>
    </w:p>
    <w:p>
      <w:pPr>
        <w:ind w:right="80" w:firstLine="1072"/>
        <w:spacing w:after="0" w:line="280" w:lineRule="auto"/>
        <w:tabs>
          <w:tab w:leader="none" w:pos="179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Subject to the terms and conditions hereof, each Domestic Lender severally agrees to make revolving loans (“</w:t>
      </w:r>
      <w:r>
        <w:rPr>
          <w:rFonts w:ascii="Arial" w:cs="Arial" w:eastAsia="Arial" w:hAnsi="Arial"/>
          <w:sz w:val="16"/>
          <w:szCs w:val="16"/>
          <w:u w:val="single" w:color="auto"/>
          <w:color w:val="auto"/>
        </w:rPr>
        <w:t>Domestic Loans</w:t>
      </w:r>
      <w:r>
        <w:rPr>
          <w:rFonts w:ascii="Arial" w:cs="Arial" w:eastAsia="Arial" w:hAnsi="Arial"/>
          <w:sz w:val="16"/>
          <w:szCs w:val="16"/>
          <w:color w:val="auto"/>
        </w:rPr>
        <w:t xml:space="preserve">”) in Dollars to the Company or any Domestic Subsidiary Borrower from time to time during the Commitment Period of such Domestic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Domestic Extensions of Credit do not exceed the amount of such Lender’s Domestic Commitments, (ii) the Total Domestic Extensions of Credit shall not exceed the Total Domestic Commitments then in effect, (iii) the Total Consolidated GMF Exposure shall not exceed $2 billion and (iv)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 Loans or any combination of the foregoing, as determined by the Company or the relevant Domestic Subsidiary Borrower and notified to the Administrative Agent in accordance with Section 2.2 and 2.15.</w:t>
      </w:r>
    </w:p>
    <w:p>
      <w:pPr>
        <w:spacing w:after="0" w:line="172" w:lineRule="exact"/>
        <w:rPr>
          <w:rFonts w:ascii="Arial" w:cs="Arial" w:eastAsia="Arial" w:hAnsi="Arial"/>
          <w:sz w:val="16"/>
          <w:szCs w:val="16"/>
          <w:color w:val="auto"/>
        </w:rPr>
      </w:pPr>
    </w:p>
    <w:p>
      <w:pPr>
        <w:ind w:right="280" w:firstLine="1072"/>
        <w:spacing w:after="0" w:line="263" w:lineRule="auto"/>
        <w:tabs>
          <w:tab w:leader="none" w:pos="180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78" w:lineRule="exact"/>
        <w:rPr>
          <w:sz w:val="20"/>
          <w:szCs w:val="20"/>
          <w:color w:val="auto"/>
        </w:rPr>
      </w:pPr>
    </w:p>
    <w:p>
      <w:pPr>
        <w:ind w:firstLine="1063"/>
        <w:spacing w:after="0" w:line="28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Procedure for Domestic Loan Borrowing</w:t>
      </w:r>
      <w:r>
        <w:rPr>
          <w:rFonts w:ascii="Arial" w:cs="Arial" w:eastAsia="Arial" w:hAnsi="Arial"/>
          <w:sz w:val="16"/>
          <w:szCs w:val="16"/>
          <w:color w:val="auto"/>
        </w:rPr>
        <w:t>. The Company and any Domestic Subsidiary Borrower may borrow under the Domestic Commitments during the applicable Commitment Period on any Business Day, provided, that, except in the case of a deemed request for an ABR Loan on the Reimbursement Date of a Reimbursement Obligation as contemplated by Section 3.5, the Company or the relevant Domestic Subsidiary Borrower shall give the Administrative Agent a written Borrowing Request (or telephonic notice promptly confirmed with a written Borrowing Request) prior to (a) 1:00 P.M., New York City time, three Business Days prior to the requested Borrowing Date, in the case of Eurocurrency Loans, or (b) 1:00 P.M., New York City time, on the date of the proposed borrowing, in the case of ABR Loans, specifying (i) the amount and Type of Domestic Loans to be borrowed, (ii) the requested Borrowing Date and (iii) in the case of Eurocurrency Loans, the respective lengths of the initial Interest Period(s) therefor. If no election as to the Type of a Domestic Loan is specified in any such notice, then the requested borrowing shall be an ABR Loan. If no Interest Period with respect to a</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38" w:name="page239"/>
    <w:bookmarkEnd w:id="238"/>
    <w:p>
      <w:pPr>
        <w:spacing w:after="0" w:line="261" w:lineRule="auto"/>
        <w:rPr>
          <w:sz w:val="20"/>
          <w:szCs w:val="20"/>
          <w:color w:val="auto"/>
        </w:rPr>
      </w:pPr>
      <w:r>
        <w:rPr>
          <w:rFonts w:ascii="Arial" w:cs="Arial" w:eastAsia="Arial" w:hAnsi="Arial"/>
          <w:sz w:val="17"/>
          <w:szCs w:val="17"/>
          <w:color w:val="auto"/>
        </w:rPr>
        <w:t>Eurocurrency Loan is specified in any such notice, then the Company or the relevant Domestic Subsidiary Borrower shall be deemed to have selected an Interest Period of one month’s duration. Except as otherwise contemplated by Section 3.5, each borrowing under the Domestic Commitments shall be in an amount equal to $25 million (or, if the Total Available Domestic Commitments at such time are less than $25 million, such lesser amount) or a whole multiple of $5 million in excess thereof. Upon receipt of any such notice (or, as provided in Section 3.5, deemed notice) from the Company or the relevant Domestic Subsidiary Borrower, the Administrative Agent shall promptly notify each Domestic Lender thereof. Each Domestic Lender will make the amount of its pro rata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Subject to Section 3.5 (where the proceeds of such borrowing shall be applied to repay the related Reimbursement Obligation),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82"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Multicurrency Commitments</w:t>
      </w:r>
      <w:r>
        <w:rPr>
          <w:rFonts w:ascii="Arial" w:cs="Arial" w:eastAsia="Arial" w:hAnsi="Arial"/>
          <w:sz w:val="16"/>
          <w:szCs w:val="16"/>
          <w:color w:val="auto"/>
        </w:rPr>
        <w:t>.</w:t>
      </w:r>
    </w:p>
    <w:p>
      <w:pPr>
        <w:spacing w:after="0" w:line="214" w:lineRule="exact"/>
        <w:rPr>
          <w:sz w:val="20"/>
          <w:szCs w:val="20"/>
          <w:color w:val="auto"/>
        </w:rPr>
      </w:pPr>
    </w:p>
    <w:p>
      <w:pPr>
        <w:ind w:right="20" w:firstLine="1072"/>
        <w:spacing w:after="0" w:line="262" w:lineRule="auto"/>
        <w:tabs>
          <w:tab w:leader="none" w:pos="179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Subject to the terms and conditions hereof, each Multicurrency Lender severally agrees to make (or cause its Applicable Lending Office to make) revolving loans (“</w:t>
      </w:r>
      <w:r>
        <w:rPr>
          <w:rFonts w:ascii="Arial" w:cs="Arial" w:eastAsia="Arial" w:hAnsi="Arial"/>
          <w:sz w:val="17"/>
          <w:szCs w:val="17"/>
          <w:u w:val="single" w:color="auto"/>
          <w:color w:val="auto"/>
        </w:rPr>
        <w:t>Multicurrency Loans</w:t>
      </w:r>
      <w:r>
        <w:rPr>
          <w:rFonts w:ascii="Arial" w:cs="Arial" w:eastAsia="Arial" w:hAnsi="Arial"/>
          <w:sz w:val="17"/>
          <w:szCs w:val="17"/>
          <w:color w:val="auto"/>
        </w:rPr>
        <w:t xml:space="preserve">”) in Dollars or any Optional Currency to the Company, GMF or any Foreign Subsidiary Borrower from time to time during the Commitment Period of such Multicurrency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thereof,(i) such Lender’s Multicurrency Extensions of Credit do not exceed the amount of such Lender’s Multicurrency Commitments, (ii) the Total Multicurrency Extensions of Credit shall not exceed the Total Multicurrency Commitments then in effect, (iii) the Total Consolidated GMF Exposure shall not exceed $2 billion and (iv) 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Eurocurrency Loans or (if made to the Company and denominated in Dollars) ABR Loans, in each case, as notified to the Administrative Agent in accordance with Section 2.4 and 2.15.</w:t>
      </w:r>
    </w:p>
    <w:p>
      <w:pPr>
        <w:spacing w:after="0" w:line="180" w:lineRule="exact"/>
        <w:rPr>
          <w:rFonts w:ascii="Arial" w:cs="Arial" w:eastAsia="Arial" w:hAnsi="Arial"/>
          <w:sz w:val="17"/>
          <w:szCs w:val="17"/>
          <w:color w:val="auto"/>
        </w:rPr>
      </w:pPr>
    </w:p>
    <w:p>
      <w:pPr>
        <w:ind w:firstLine="1072"/>
        <w:spacing w:after="0" w:line="263" w:lineRule="auto"/>
        <w:tabs>
          <w:tab w:leader="none" w:pos="180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78" w:lineRule="exact"/>
        <w:rPr>
          <w:sz w:val="20"/>
          <w:szCs w:val="20"/>
          <w:color w:val="auto"/>
        </w:rPr>
      </w:pPr>
    </w:p>
    <w:p>
      <w:pPr>
        <w:ind w:right="140" w:firstLine="1063"/>
        <w:spacing w:after="0" w:line="24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Procedure for Multicurrency Loan Borrowing</w:t>
      </w:r>
      <w:r>
        <w:rPr>
          <w:rFonts w:ascii="Arial" w:cs="Arial" w:eastAsia="Arial" w:hAnsi="Arial"/>
          <w:sz w:val="18"/>
          <w:szCs w:val="18"/>
          <w:color w:val="auto"/>
        </w:rPr>
        <w:t>. The Company and any relevant Subsidiary Borrower may borrow under the Multicurrency Commitments during the applicable Commitment Period on any Business Day, provided, that the Company or the relevant Subsidiary Borrower shall deliver to the Administrative Agent (x) in the case of any Multicurrency Loan denominated in Dollars, a written Borrowing Request (or telephonic notice promptly confirmed in a written Borrowing Request) prior to (a) 1:00 P.M., New York City time, three Business Days prior to the requested Borrowing Date, in the case of Eurocurrency Loans, or (b) 1:00 P.M., New York City time, 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39" w:name="page240"/>
    <w:bookmarkEnd w:id="239"/>
    <w:p>
      <w:pPr>
        <w:spacing w:after="0" w:line="260" w:lineRule="auto"/>
        <w:rPr>
          <w:sz w:val="20"/>
          <w:szCs w:val="20"/>
          <w:color w:val="auto"/>
        </w:rPr>
      </w:pPr>
      <w:r>
        <w:rPr>
          <w:rFonts w:ascii="Arial" w:cs="Arial" w:eastAsia="Arial" w:hAnsi="Arial"/>
          <w:sz w:val="17"/>
          <w:szCs w:val="17"/>
          <w:color w:val="auto"/>
        </w:rPr>
        <w:t>the date of the proposed borrowing, in the case of ABR Loans requested by the Company and (y) in the case of any Multicurrency Loan denominated in an Optional Currency, a written Borrowing Request prior to 1:00 P.M., London time, three Business Days prior to the requested Borrowing Date, in each case, specifying (a) the amount, Type and Currency of Multicurrency Loans to be borrowed, (b) the requested Borrowing Date and (c) the respective lengths of the initial Interest Period(s) therefor, if applicable.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pro rata share of each borrowing available to the Administrative Agent for the account of the Company or the relevant Subsidiary Borrower at the Funding Office prior to (x) in the case of any Multicurrency Loan denominated in Dollars, 1:00 P.M. (or, in the case of an ABR Loan requested on the proposed Borrowing Date, 3:00 P.M.), New York City time, on the Borrowing Date requested by the Company or the relevant Subsidiary Borrower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185" w:lineRule="exact"/>
        <w:rPr>
          <w:sz w:val="20"/>
          <w:szCs w:val="20"/>
          <w:color w:val="auto"/>
        </w:rPr>
      </w:pPr>
    </w:p>
    <w:p>
      <w:pPr>
        <w:ind w:right="20" w:firstLine="1063"/>
        <w:spacing w:after="0" w:line="261"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Brazilian Commitments</w:t>
      </w:r>
      <w:r>
        <w:rPr>
          <w:rFonts w:ascii="Arial" w:cs="Arial" w:eastAsia="Arial" w:hAnsi="Arial"/>
          <w:sz w:val="17"/>
          <w:szCs w:val="17"/>
          <w:color w:val="auto"/>
        </w:rPr>
        <w:t>. (a) Subject to the terms and conditions hereof, each Brazilian Lender severally agrees to make (or cause its Applicable Lending Office to make) revolving loans (“</w:t>
      </w:r>
      <w:r>
        <w:rPr>
          <w:rFonts w:ascii="Arial" w:cs="Arial" w:eastAsia="Arial" w:hAnsi="Arial"/>
          <w:sz w:val="17"/>
          <w:szCs w:val="17"/>
          <w:u w:val="single" w:color="auto"/>
          <w:color w:val="auto"/>
        </w:rPr>
        <w:t>Brazilian Loans</w:t>
      </w:r>
      <w:r>
        <w:rPr>
          <w:rFonts w:ascii="Arial" w:cs="Arial" w:eastAsia="Arial" w:hAnsi="Arial"/>
          <w:sz w:val="17"/>
          <w:szCs w:val="17"/>
          <w:color w:val="auto"/>
        </w:rPr>
        <w:t xml:space="preserve">”) in Brazilian Reais to any Brazilian Subsidiary Borrower from time to time during the Commitment Period of such Brazilian Lender pursuant to, in accordance with and subject to the terms of, its Brazilian Bank Certificate; </w:t>
      </w:r>
      <w:r>
        <w:rPr>
          <w:rFonts w:ascii="Arial" w:cs="Arial" w:eastAsia="Arial" w:hAnsi="Arial"/>
          <w:sz w:val="17"/>
          <w:szCs w:val="17"/>
          <w:u w:val="single" w:color="auto"/>
          <w:color w:val="auto"/>
        </w:rPr>
        <w:t>provided</w:t>
      </w:r>
      <w:r>
        <w:rPr>
          <w:rFonts w:ascii="Arial" w:cs="Arial" w:eastAsia="Arial" w:hAnsi="Arial"/>
          <w:sz w:val="17"/>
          <w:szCs w:val="17"/>
          <w:color w:val="auto"/>
        </w:rPr>
        <w:t>, that, (x) after giving effect to such borrowing and the use of proceeds thereof, (i) such Lender’s Brazilian Extensions of Credit do not exceed the amount of such Lender’s Brazilian Commitments then in effect, (ii) the Total Brazilian Extensions of Credit shall not exceed the Total Brazilian Commitment then in effect, (iii) the Total Consolidated GMF Exposure shall not exceed $2 billion and (iv) the Total Extensions of Credit shall not exceed the Total Commitments then in effect and (y) each borrowing under the Brazilian Commitments shall be in an amount that is an integral multiple of R$10 million and no less than R$50 million (or, if the Total Available Brazilian Commitments are less than R$50 million at such time, such lesser amount). During the Commitment Period of the applicable Brazilian Lenders for the Brazilian Facility, the relevant Brazilian Subsidiary Borrower may use the Brazilian Commitments by borrowing, prepaying the Brazilian Loans in whole or in part, and reborrowing, all in accordance with the terms and conditions of the Brazilian Bank Certificates, the Brazilian Intercreditor Agreement and this Agreement. The Brazilian Loans shall be CDI Loans.</w:t>
      </w:r>
    </w:p>
    <w:p>
      <w:pPr>
        <w:spacing w:after="0" w:line="187" w:lineRule="exact"/>
        <w:rPr>
          <w:sz w:val="20"/>
          <w:szCs w:val="20"/>
          <w:color w:val="auto"/>
        </w:rPr>
      </w:pPr>
    </w:p>
    <w:p>
      <w:pPr>
        <w:ind w:right="180" w:firstLine="1072"/>
        <w:spacing w:after="0" w:line="263" w:lineRule="auto"/>
        <w:tabs>
          <w:tab w:leader="none" w:pos="180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all outstanding Brazilian Loans of a Lender on the Termination Date for such Lender under the Brazilian Facility.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40" w:name="page241"/>
    <w:bookmarkEnd w:id="240"/>
    <w:p>
      <w:pPr>
        <w:ind w:right="620" w:firstLine="1072"/>
        <w:spacing w:after="0" w:line="263" w:lineRule="auto"/>
        <w:tabs>
          <w:tab w:leader="none" w:pos="179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any outstanding Brazilian Loans on the dates required by the applicable Brazilian Bank Certificate.</w:t>
      </w:r>
    </w:p>
    <w:p>
      <w:pPr>
        <w:spacing w:after="0" w:line="178" w:lineRule="exact"/>
        <w:rPr>
          <w:sz w:val="20"/>
          <w:szCs w:val="20"/>
          <w:color w:val="auto"/>
        </w:rPr>
      </w:pPr>
    </w:p>
    <w:p>
      <w:pPr>
        <w:ind w:right="40" w:firstLine="1063"/>
        <w:spacing w:after="0" w:line="24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Brazilian Reporting</w:t>
      </w:r>
      <w:r>
        <w:rPr>
          <w:rFonts w:ascii="Arial" w:cs="Arial" w:eastAsia="Arial" w:hAnsi="Arial"/>
          <w:sz w:val="18"/>
          <w:szCs w:val="18"/>
          <w:color w:val="auto"/>
        </w:rPr>
        <w:t>. Unless otherwise requested by the Administrative Agent, the Brazilian Administrative Agent shall report in writing to the Administrative Agent (i) on the last Business Day of each month, the amount of all Brazilian Loans outstanding, (ii) on each Business Day on which the Brazilian Administrative Agent expects a Brazilian Loan to be made, the aggregate principal amount of such Brazilian Loan to be made on such date and the Dollar Equivalent thereof, and the Brazilian Administrative Agent shall not be permitted to release or deliver to any Brazilian Subsidiary Borrower all or any portion of such Brazilian Loan without first notifying the Administrative Agent as set forth herein, and (iii) on any other Business Day, such other information as the Administrative Agent shall reasonably request, including but not limited to prompt verification of such information as may be requested by the Administrative Agent.</w:t>
      </w:r>
    </w:p>
    <w:p>
      <w:pPr>
        <w:spacing w:after="0" w:line="192"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[Reserved].</w:t>
      </w:r>
    </w:p>
    <w:p>
      <w:pPr>
        <w:spacing w:after="0" w:line="214"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[Reserved].</w:t>
      </w:r>
    </w:p>
    <w:p>
      <w:pPr>
        <w:spacing w:after="0" w:line="214"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[Reserved].</w:t>
      </w:r>
    </w:p>
    <w:p>
      <w:pPr>
        <w:spacing w:after="0" w:line="214" w:lineRule="exact"/>
        <w:rPr>
          <w:sz w:val="20"/>
          <w:szCs w:val="20"/>
          <w:color w:val="auto"/>
        </w:rPr>
      </w:pPr>
    </w:p>
    <w:p>
      <w:pPr>
        <w:ind w:firstLine="1063"/>
        <w:spacing w:after="0" w:line="261"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Competitive Bid Procedure</w:t>
      </w:r>
      <w:r>
        <w:rPr>
          <w:rFonts w:ascii="Arial" w:cs="Arial" w:eastAsia="Arial" w:hAnsi="Arial"/>
          <w:sz w:val="17"/>
          <w:szCs w:val="17"/>
          <w:color w:val="auto"/>
        </w:rPr>
        <w:t xml:space="preserve">. (a) (i) Subject to the terms and conditions set forth herein, from time to time during the Commitment Period in respect of Domestic Commitments, the Company or any Domestic Subsidiary Borrower may request Competitive Bids under the Domestic Facility and may (but shall not have any obligation to) accept Competitive Bids and borrow Competitive Loans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borrowing and the use of proceeds thereof, (i) the Total Domestic Extensions of Credit shall not exceed the Total Domestic Commitments then in effect, (ii) the Total Consolidated GMF Exposure shall not exceed $2 billion and (iii) the Total Extensions of Credit shall not exceed the 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Domestic Facility, (2) the amount (which shall be a minimum of $50 million) and Type of the requested Competitive Loans, (3) the requested Borrowing Date and (4) the requested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Domestic Subsidiary Borrower may request offers to make Competitive Loans under the Domestic Facility for more than one Interest Period or for multiple Types of Competitive Loans under the Domestic Facility in a single Competitive Bid Request.</w:t>
      </w:r>
    </w:p>
    <w:p>
      <w:pPr>
        <w:spacing w:after="0" w:line="182" w:lineRule="exact"/>
        <w:rPr>
          <w:sz w:val="20"/>
          <w:szCs w:val="20"/>
          <w:color w:val="auto"/>
        </w:rPr>
      </w:pPr>
    </w:p>
    <w:p>
      <w:pPr>
        <w:ind w:right="100" w:firstLine="1072"/>
        <w:spacing w:after="0" w:line="247" w:lineRule="auto"/>
        <w:tabs>
          <w:tab w:leader="none" w:pos="145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from time to time during the Commitment Period in respect of Multicurrency Commitments, the Company or any relevant Subsidiary 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borrowing and the use of proceeds thereof, (x) the Total Multicurrency Extensions of Credit shall not exceed the Total Multicurrency Commitments then in effect, (y) the Total Consolidated GMF Exposure shall not exceed $2 billion and (z) the Total Extensions of Credit shall not exceed the Total Commitments then in effect. To request Competitive Bids under the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344" w:right="219" w:bottom="1440" w:gutter="0" w:footer="0" w:header="0"/>
        </w:sectPr>
      </w:pPr>
    </w:p>
    <w:bookmarkStart w:id="241" w:name="page242"/>
    <w:bookmarkEnd w:id="241"/>
    <w:p>
      <w:pPr>
        <w:ind w:right="60"/>
        <w:spacing w:after="0" w:line="246" w:lineRule="auto"/>
        <w:rPr>
          <w:sz w:val="20"/>
          <w:szCs w:val="20"/>
          <w:color w:val="auto"/>
        </w:rPr>
      </w:pPr>
      <w:r>
        <w:rPr>
          <w:rFonts w:ascii="Arial" w:cs="Arial" w:eastAsia="Arial" w:hAnsi="Arial"/>
          <w:sz w:val="18"/>
          <w:szCs w:val="18"/>
          <w:color w:val="auto"/>
        </w:rPr>
        <w:t xml:space="preserve">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63" w:lineRule="exact"/>
        <w:rPr>
          <w:sz w:val="20"/>
          <w:szCs w:val="20"/>
          <w:color w:val="auto"/>
        </w:rPr>
      </w:pPr>
    </w:p>
    <w:p>
      <w:pPr>
        <w:ind w:right="320" w:firstLine="1072"/>
        <w:spacing w:after="0" w:line="250" w:lineRule="auto"/>
        <w:tabs>
          <w:tab w:leader="none" w:pos="180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Promptly following receipt of a Competitive Bid Request conforming to the requirements of this Section (but, in any event, no later than (x) 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89" w:lineRule="exact"/>
        <w:rPr>
          <w:rFonts w:ascii="Arial" w:cs="Arial" w:eastAsia="Arial" w:hAnsi="Arial"/>
          <w:sz w:val="18"/>
          <w:szCs w:val="18"/>
          <w:color w:val="auto"/>
        </w:rPr>
      </w:pPr>
    </w:p>
    <w:p>
      <w:pPr>
        <w:ind w:firstLine="1072"/>
        <w:spacing w:after="0" w:line="260" w:lineRule="auto"/>
        <w:tabs>
          <w:tab w:leader="none" w:pos="179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Each Lender under the applicable Facility (or any Applicable Lending Office of such Lender) may (but shall not have any obligation to) make one or more Competitive Bids to the Company in response to a Competitive Bid Request. Each Competitive Bid by a Lender must be substantially in the form of Exhibit D and must be received by the Administrative Agent at its office specified in Section 10.2 not later than (x) with respect to any such Competitive Bid made under the Domestic Facility, 9:30 A.M., New York City time, three Business Days before the proposed Borrowing Date, in the case of Eurocurrency Competitive Loans, or 9:30 A.M., New York City time, on the proposed Borrowing Date, in the case of Fixed 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D may be rejected by the Administrative Agent, and the Administrative Agent shall notify the applicable Lender as promptly as practicable if such bid is rejected. Each Competitive Bid shall specify (i) the principal amount (which shall be a minimum of $5 million (or 5 million units of an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90" w:lineRule="exact"/>
        <w:rPr>
          <w:rFonts w:ascii="Arial" w:cs="Arial" w:eastAsia="Arial" w:hAnsi="Arial"/>
          <w:sz w:val="17"/>
          <w:szCs w:val="17"/>
          <w:color w:val="auto"/>
        </w:rPr>
      </w:pPr>
    </w:p>
    <w:p>
      <w:pPr>
        <w:ind w:right="260" w:firstLine="1072"/>
        <w:spacing w:after="0" w:line="287" w:lineRule="auto"/>
        <w:tabs>
          <w:tab w:leader="none" w:pos="180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Administrative Agent shall promptly (and, in any event, by no later than (x) with respect to any such requested Domestic Competitive Loan, 10:00 A.M., New York City time (i) three Business Days before the proposed Borrowing Date, in the case of Eurocurrency Competitive Loans, and (ii) on the proposed Borrowing Date, in the case of Fixed Rate Loans and (y) with respect to any such requested Multicurrency Competitive Loan, 10:30 A.M., London time (i) three Business Days before the proposed Borrowing Date, in the case of Eurocurrency Competitive Loans, and (ii) one Business Day before the proposed Borrowing Date, in the case of Fixed Rate Loans) notify the Company or the relevant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42" w:name="page243"/>
    <w:bookmarkEnd w:id="242"/>
    <w:p>
      <w:pPr>
        <w:ind w:right="20"/>
        <w:spacing w:after="0" w:line="326" w:lineRule="auto"/>
        <w:rPr>
          <w:sz w:val="20"/>
          <w:szCs w:val="20"/>
          <w:color w:val="auto"/>
        </w:rPr>
      </w:pPr>
      <w:r>
        <w:rPr>
          <w:rFonts w:ascii="Arial" w:cs="Arial" w:eastAsia="Arial" w:hAnsi="Arial"/>
          <w:sz w:val="16"/>
          <w:szCs w:val="16"/>
          <w:color w:val="auto"/>
        </w:rPr>
        <w:t>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31" w:lineRule="exact"/>
        <w:rPr>
          <w:sz w:val="20"/>
          <w:szCs w:val="20"/>
          <w:color w:val="auto"/>
        </w:rPr>
      </w:pPr>
    </w:p>
    <w:p>
      <w:pPr>
        <w:ind w:right="60" w:firstLine="1072"/>
        <w:spacing w:after="0" w:line="276" w:lineRule="auto"/>
        <w:tabs>
          <w:tab w:leader="none" w:pos="179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w:t>
      </w:r>
    </w:p>
    <w:p>
      <w:pPr>
        <w:spacing w:after="0" w:line="1" w:lineRule="exact"/>
        <w:rPr>
          <w:rFonts w:ascii="Arial" w:cs="Arial" w:eastAsia="Arial" w:hAnsi="Arial"/>
          <w:sz w:val="16"/>
          <w:szCs w:val="16"/>
          <w:color w:val="auto"/>
        </w:rPr>
      </w:pPr>
    </w:p>
    <w:p>
      <w:pPr>
        <w:ind w:right="60" w:firstLine="9"/>
        <w:spacing w:after="0" w:line="260" w:lineRule="auto"/>
        <w:tabs>
          <w:tab w:leader="none" w:pos="2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amount of 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 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186" w:lineRule="exact"/>
        <w:rPr>
          <w:rFonts w:ascii="Arial" w:cs="Arial" w:eastAsia="Arial" w:hAnsi="Arial"/>
          <w:sz w:val="17"/>
          <w:szCs w:val="17"/>
          <w:color w:val="auto"/>
        </w:rPr>
      </w:pPr>
    </w:p>
    <w:p>
      <w:pPr>
        <w:ind w:firstLine="1072"/>
        <w:spacing w:after="0" w:line="264" w:lineRule="auto"/>
        <w:tabs>
          <w:tab w:leader="none" w:pos="1772"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 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78" w:lineRule="exact"/>
        <w:rPr>
          <w:rFonts w:ascii="Arial" w:cs="Arial" w:eastAsia="Arial" w:hAnsi="Arial"/>
          <w:sz w:val="17"/>
          <w:szCs w:val="17"/>
          <w:color w:val="auto"/>
        </w:rPr>
      </w:pPr>
    </w:p>
    <w:p>
      <w:pPr>
        <w:ind w:right="160" w:firstLine="1072"/>
        <w:spacing w:after="0" w:line="253" w:lineRule="auto"/>
        <w:tabs>
          <w:tab w:leader="none" w:pos="180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43" w:name="page244"/>
    <w:bookmarkEnd w:id="243"/>
    <w:p>
      <w:pPr>
        <w:ind w:right="140" w:firstLine="1072"/>
        <w:spacing w:after="0" w:line="263" w:lineRule="auto"/>
        <w:tabs>
          <w:tab w:leader="none" w:pos="18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178" w:lineRule="exact"/>
        <w:rPr>
          <w:sz w:val="20"/>
          <w:szCs w:val="20"/>
          <w:color w:val="auto"/>
        </w:rPr>
      </w:pPr>
    </w:p>
    <w:p>
      <w:pPr>
        <w:ind w:right="60" w:firstLine="1063"/>
        <w:spacing w:after="0" w:line="246"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Facility Fees, etc</w:t>
      </w:r>
      <w:r>
        <w:rPr>
          <w:rFonts w:ascii="Arial" w:cs="Arial" w:eastAsia="Arial" w:hAnsi="Arial"/>
          <w:sz w:val="18"/>
          <w:szCs w:val="18"/>
          <w:color w:val="auto"/>
        </w:rPr>
        <w:t>.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Domestic Lender and Multicurrency Lender for the period from and including the Closing Date (or such later date as of which such Lender shall become a Lender under the Domestic Facility or Multicurrency Facility, 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or Multicurrency Lender, as applicable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commencing on the first such date to occur after the Closing Date.</w:t>
      </w:r>
    </w:p>
    <w:p>
      <w:pPr>
        <w:spacing w:after="0" w:line="196" w:lineRule="exact"/>
        <w:rPr>
          <w:sz w:val="20"/>
          <w:szCs w:val="20"/>
          <w:color w:val="auto"/>
        </w:rPr>
      </w:pPr>
    </w:p>
    <w:p>
      <w:pPr>
        <w:ind w:right="340" w:firstLine="1072"/>
        <w:spacing w:after="0" w:line="253" w:lineRule="auto"/>
        <w:tabs>
          <w:tab w:leader="none" w:pos="180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GMB or any other Brazilian Subsidiary Borrower shall pay to the Brazilian Administrative Agent for the account of each Brazilian Lender the “Commission” (as such term is defined in each Brazilian Bank Certificate pursuant to the terms thereof, on the dates and in the amounts set forth therein).</w:t>
      </w:r>
    </w:p>
    <w:p>
      <w:pPr>
        <w:spacing w:after="0" w:line="187" w:lineRule="exact"/>
        <w:rPr>
          <w:rFonts w:ascii="Arial" w:cs="Arial" w:eastAsia="Arial" w:hAnsi="Arial"/>
          <w:sz w:val="18"/>
          <w:szCs w:val="18"/>
          <w:color w:val="auto"/>
        </w:rPr>
      </w:pPr>
    </w:p>
    <w:p>
      <w:pPr>
        <w:ind w:right="400" w:firstLine="1072"/>
        <w:spacing w:after="0" w:line="263" w:lineRule="auto"/>
        <w:tabs>
          <w:tab w:leader="none" w:pos="179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September 3, 2014 between the Company and the Administrative Agent.</w:t>
      </w:r>
    </w:p>
    <w:p>
      <w:pPr>
        <w:spacing w:after="0" w:line="178" w:lineRule="exact"/>
        <w:rPr>
          <w:sz w:val="20"/>
          <w:szCs w:val="20"/>
          <w:color w:val="auto"/>
        </w:rPr>
      </w:pPr>
    </w:p>
    <w:p>
      <w:pPr>
        <w:ind w:left="1080"/>
        <w:spacing w:after="0"/>
        <w:tabs>
          <w:tab w:leader="none" w:pos="19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Termination, Reduction and Reallocation of Commitments</w:t>
      </w:r>
      <w:r>
        <w:rPr>
          <w:rFonts w:ascii="Arial" w:cs="Arial" w:eastAsia="Arial" w:hAnsi="Arial"/>
          <w:sz w:val="16"/>
          <w:szCs w:val="16"/>
          <w:color w:val="auto"/>
        </w:rPr>
        <w:t>.</w:t>
      </w:r>
    </w:p>
    <w:p>
      <w:pPr>
        <w:spacing w:after="0" w:line="214" w:lineRule="exact"/>
        <w:rPr>
          <w:sz w:val="20"/>
          <w:szCs w:val="20"/>
          <w:color w:val="auto"/>
        </w:rPr>
      </w:pPr>
    </w:p>
    <w:p>
      <w:pPr>
        <w:ind w:firstLine="1072"/>
        <w:spacing w:after="0" w:line="278" w:lineRule="auto"/>
        <w:tabs>
          <w:tab w:leader="none" w:pos="179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upon not less than three Business Days’ notice to the Administrative Agent (and, in the case of a reduction or termination of Brazilian Commitments, the Brazilian Administrative Agent), to terminate the Commitments under any Facility or, from time to time, to reduce the amount of Commitments under any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termination or reduction of such Commitments shall be permitted if, after giving effect thereto and to any prepayments of the Loans (if applicable) made on the effective date thereof, (v) the Total Brazilian Extensions of Credit would exceed the Total Brazilian Commitments then in effect, (w) the Total Domestic Extensions of Credit would exceed the Total Domestic Commitments then in effect, (x) the Domestic Extensions of Credit of any Lender would exceed such Lender’s Domestic Commitment then in effect or (y) the Total Multicurrency Extensions of Credit would exceed the Total Multicurrency Commitments then in effect. In the event that the Administrative Agent (and the Brazilian Administrative Agent, if applicable) receives such notice, the Administrative Agent (or the Brazilian Administrative Agent, if applicable)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2.12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(and the Brazilian Administrative Agent, if applicable) on or prior to the specified effective date) if such condition is not satisfied. Notwithstanding the foregoing, the revocation of a termination notice shall not affect the Company’s obligation to indemnify any Lender in accordance with Section 2.23 for any loss or expense sustained or incurred as a consequence thereof.</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44" w:name="page245"/>
    <w:bookmarkEnd w:id="244"/>
    <w:p>
      <w:pPr>
        <w:ind w:right="20" w:firstLine="1072"/>
        <w:spacing w:after="0" w:line="277" w:lineRule="auto"/>
        <w:tabs>
          <w:tab w:leader="none" w:pos="180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upon not less than three Business Days’ notice to the Administrative Agent, to require the Lenders under the Multicurrency Facility to reallocate the Multicurrency Commitments to the Domestic Facility and the Company may at any time or from time to time after the Closing Date, by notice to the Administrative Agent and the Lenders, request that one or more of the Lenders under the Brazilian Facility reallocate a portion of their respective Brazilian Commitments to the Domestic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(y) in the case of a reallocation of Brazilian Commitments, the Total Brazilian Extensions of Credit shall not exceed the Total Brazilian Commitments then in effect and (ii) such reallocation with respect to any Lender shall have been consented to by each Material Issuing Lender to the extent such consent would be required for an assignment to such Lender pursuant to Section 10.6(b). Except as provided in Section 2.25, any such reallocation shall be in an amount equal to $25 million or a whole multiple of $1 million in excess thereof. Any such reallocation shall reduce the Multicurrency Commitment of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existing Multicurrency Commitments at such time and increase such Lender’s Domestic Commitment by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reallocation would result in amounts being payable by the Company or any Subsidiary Borrower to any Lender under Section 2.21 or 2.22, such Lender shall use reasonable efforts (subject to Section 2.24)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2.23 as a result of such prepayment. Notwithstanding anything in this clause (b) to the contrary, no Brazilian Lender shall be obligated to reallocate any portion of its Brazilian Commitments to the Domestic Facility unless such Lender agrees.</w:t>
      </w:r>
    </w:p>
    <w:p>
      <w:pPr>
        <w:spacing w:after="0" w:line="171" w:lineRule="exact"/>
        <w:rPr>
          <w:rFonts w:ascii="Arial" w:cs="Arial" w:eastAsia="Arial" w:hAnsi="Arial"/>
          <w:sz w:val="16"/>
          <w:szCs w:val="16"/>
          <w:color w:val="auto"/>
        </w:rPr>
      </w:pPr>
    </w:p>
    <w:p>
      <w:pPr>
        <w:ind w:firstLine="1072"/>
        <w:spacing w:after="0" w:line="279" w:lineRule="auto"/>
        <w:tabs>
          <w:tab w:leader="none" w:pos="179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or Brazilian Facility, as applicable, reallocate a portion of their respective Domestic Commitments or Brazilian Commitments, as applicable, to the Multicurrency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reallocation and any prepayment of the Domestic Loans or Brazilian Loans, as applicable (which, notwithstanding anything to the contrary contained herein, may include a non </w:t>
      </w:r>
      <w:r>
        <w:rPr>
          <w:rFonts w:ascii="Arial" w:cs="Arial" w:eastAsia="Arial" w:hAnsi="Arial"/>
          <w:sz w:val="16"/>
          <w:szCs w:val="16"/>
          <w:u w:val="single" w:color="auto"/>
          <w:color w:val="auto"/>
        </w:rPr>
        <w:t>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w:t>
      </w:r>
      <w:r>
        <w:rPr>
          <w:rFonts w:ascii="Arial" w:cs="Arial" w:eastAsia="Arial" w:hAnsi="Arial"/>
          <w:sz w:val="16"/>
          <w:szCs w:val="16"/>
          <w:color w:val="auto"/>
        </w:rPr>
        <w:t xml:space="preserve"> prepayment of the Lenders agreeing to such reallocation), (i)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and (ii) in the case of a reallocation of Brazilian Commitments, the Total Brazilian Extensions of Credit shall not exceed the Total Brazilian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or the Brazilian Lenders, as applicable, to such reallocation. The relevant Lenders agreeing to reallocate a portion of their Domestic Commitments or Brazilian Commitments, as applicable, to the Multicurrency Facility shall have such portion of their Domestic Commitment or Brazilian Commitments, as applicable, reallocated as provided in such notice. On the date of any such reallocation,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45" w:name="page246"/>
    <w:bookmarkEnd w:id="245"/>
    <w:p>
      <w:pPr>
        <w:ind w:right="140" w:firstLine="9"/>
        <w:spacing w:after="0" w:line="263" w:lineRule="auto"/>
        <w:tabs>
          <w:tab w:leader="none" w:pos="21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2.23 as a result of such prepayment(s). Notwithstanding anything in this clause (c) to the contrary, no Domestic Lender or Brazilian Lender, as applicable, shall be obligated to reallocate any portion of its Domestic Commitments or Brazilian Commitments, as applicable, to the Multicurrency Facility unless such Lender agrees.</w:t>
      </w:r>
    </w:p>
    <w:p>
      <w:pPr>
        <w:spacing w:after="0" w:line="180" w:lineRule="exact"/>
        <w:rPr>
          <w:rFonts w:ascii="Arial" w:cs="Arial" w:eastAsia="Arial" w:hAnsi="Arial"/>
          <w:sz w:val="17"/>
          <w:szCs w:val="17"/>
          <w:color w:val="auto"/>
        </w:rPr>
      </w:pPr>
    </w:p>
    <w:p>
      <w:pPr>
        <w:ind w:right="500" w:firstLine="1072"/>
        <w:spacing w:after="0" w:line="275" w:lineRule="auto"/>
        <w:tabs>
          <w:tab w:leader="none" w:pos="1801"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Any reallocation of Brazilian Commitments described above shall be made pursuant to an amendment to the Brazilian Bank Certificates and, to the extent required, this Agreement and, as appropriate, the other Loan Documents, executed by the applicable Brazilian Lenders, each Borrower under the Brazilian Facility, the Administrative Agent and/or the Brazilian Administrative Agent, as applicable.</w:t>
      </w:r>
    </w:p>
    <w:p>
      <w:pPr>
        <w:spacing w:after="0" w:line="170"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Company and any relevant Subsidiary Borrower may at any time and from time to time prepay the Loans (other than the Brazilian Loans), in whole or in part, without premium or penalty, upon irrevocable notice delivered to the Administrative Agent no later than (x) with respect to Domestic Loans and Domestic Competitive Loans, 1:00 P.M., New York City time, three Business Days prior thereto, in the case of Eurocurrency Loans, and no later than 1:00 P.M., New York City time, on the day of such prepayment, in the case of ABR Loans, and (y) with respect to Multicurrency Loans and Multicurrency Competitive Loans, 11 A.M., London time, three Business Days prior thereto, in each case which notice shall specify the applicable Facility, the date and amount of prepayment and whether the prepayment is of Eurocurrency Loans or ABR Loans; provided, that (a) if a Eurocurrency Loan is prepaid on any day other than the last day of the Interest Period applicable thereto, the Company or the relevant Subsidiary Borrower shall also pay any amounts owing pursuant to Section 2.23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2.23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(other than Brazilian Loans) shall be in an integral multiple of 1 million units of the Currency of such Loan and no less than the Dollar Equivalent of $25 million. Any Brazilian Subsidiary Borrower may at any time and from time to time prepay the Brazilian Loans, in whole or in part, without premium or penalty, upon irrevocable notice delivered to the Brazilian Administrative Agent pursuant to, and in accordance with the terms of, each Brazilian Bank Certificate.</w:t>
      </w:r>
    </w:p>
    <w:p>
      <w:pPr>
        <w:spacing w:after="0" w:line="384" w:lineRule="exact"/>
        <w:rPr>
          <w:sz w:val="20"/>
          <w:szCs w:val="20"/>
          <w:color w:val="auto"/>
        </w:rPr>
      </w:pPr>
    </w:p>
    <w:p>
      <w:pPr>
        <w:ind w:left="1080"/>
        <w:spacing w:after="0"/>
        <w:tabs>
          <w:tab w:leader="none" w:pos="19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4"/>
          <w:szCs w:val="14"/>
          <w:u w:val="single" w:color="auto"/>
          <w:color w:val="auto"/>
        </w:rPr>
        <w:t>Mandatory Prepayments</w:t>
      </w:r>
      <w:r>
        <w:rPr>
          <w:rFonts w:ascii="Arial" w:cs="Arial" w:eastAsia="Arial" w:hAnsi="Arial"/>
          <w:sz w:val="14"/>
          <w:szCs w:val="14"/>
          <w:color w:val="auto"/>
        </w:rPr>
        <w:t>. (a) [Reserved].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46" w:name="page247"/>
    <w:bookmarkEnd w:id="246"/>
    <w:p>
      <w:pPr>
        <w:ind w:left="1800" w:hanging="728"/>
        <w:spacing w:after="0"/>
        <w:tabs>
          <w:tab w:leader="none" w:pos="18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1800" w:hanging="728"/>
        <w:spacing w:after="0"/>
        <w:tabs>
          <w:tab w:leader="none" w:pos="18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right="20" w:firstLine="1072"/>
        <w:spacing w:after="0" w:line="264" w:lineRule="auto"/>
        <w:tabs>
          <w:tab w:leader="none" w:pos="180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On each Fee Payment Date on which any Letter of Credit denominated in an Optional Currency is outstanding, the Administrative Agent shall determine the Dollar Equivalent of the Total Domestic Extensions of Credit as of the last day of the related Fee Payment Period. If, as of the last day of any Fee Payment Period, the Dollar Equivalent of the Total Domestic Extensions of Credit exceeds the Total Domestic Commitments then in effect by 5% or more, then the Administrative Agent shall notify the Company and, within five Business Days of such notice, the Company or the relevant Subsidiary Borrower shall prepay Domestic Loans or Collateralize outstanding Letters of Credit in an aggregate principal or face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of the Administrative Agent to determine the Dollar Equivalent of the Total Domestic Extensions of Credit as provided in this Section 2.14(d) shall not subject the Administrative Agent to any liability hereunder.</w:t>
      </w:r>
    </w:p>
    <w:p>
      <w:pPr>
        <w:spacing w:after="0" w:line="178" w:lineRule="exact"/>
        <w:rPr>
          <w:rFonts w:ascii="Arial" w:cs="Arial" w:eastAsia="Arial" w:hAnsi="Arial"/>
          <w:sz w:val="17"/>
          <w:szCs w:val="17"/>
          <w:color w:val="auto"/>
        </w:rPr>
      </w:pPr>
    </w:p>
    <w:p>
      <w:pPr>
        <w:ind w:right="20" w:firstLine="1072"/>
        <w:spacing w:after="0" w:line="247" w:lineRule="auto"/>
        <w:tabs>
          <w:tab w:leader="none" w:pos="179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of the Administrative Agent to determine the Total Multicurrency Extensions of Credit as provided in this Section 2.14(e) shall not subject the Administrative Agent to any liability hereunder.</w:t>
      </w:r>
    </w:p>
    <w:p>
      <w:pPr>
        <w:spacing w:after="0" w:line="194" w:lineRule="exact"/>
        <w:rPr>
          <w:rFonts w:ascii="Arial" w:cs="Arial" w:eastAsia="Arial" w:hAnsi="Arial"/>
          <w:sz w:val="18"/>
          <w:szCs w:val="18"/>
          <w:color w:val="auto"/>
        </w:rPr>
      </w:pPr>
    </w:p>
    <w:p>
      <w:pPr>
        <w:ind w:firstLine="1072"/>
        <w:spacing w:after="0" w:line="265" w:lineRule="auto"/>
        <w:tabs>
          <w:tab w:leader="none" w:pos="177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Brazilian Administrative Agent shall determine the Total Brazilian Extensions of Credit on a quarterly basis as detailed in the Brazilian Bank Certificates. If, as of any quarterly date of determination, the Total Brazilian Extensions of Credit exceeds the Total Brazilian Commitments then in effect by 5% or more, then the Brazilian Administrative Agent shall notify the Administrative Agent and the Company and, within five Business Days of such notice, the Company or the relevant Subsidiary Borrower shall prepay the Brazilian Loans in an aggregate principal amount at least equal to such excess; provided, that the failure of the Brazilian Administrative Agent to determine the Total Brazilian Extensions of Credit as provided in this Section 2.14(f) shall not subject the Brazilian Administrative Agent to any liability hereunder.</w:t>
      </w:r>
    </w:p>
    <w:p>
      <w:pPr>
        <w:spacing w:after="0" w:line="177" w:lineRule="exact"/>
        <w:rPr>
          <w:rFonts w:ascii="Arial" w:cs="Arial" w:eastAsia="Arial" w:hAnsi="Arial"/>
          <w:sz w:val="17"/>
          <w:szCs w:val="17"/>
          <w:color w:val="auto"/>
        </w:rPr>
      </w:pPr>
    </w:p>
    <w:p>
      <w:pPr>
        <w:ind w:right="400" w:firstLine="1072"/>
        <w:spacing w:after="0" w:line="263" w:lineRule="auto"/>
        <w:tabs>
          <w:tab w:leader="none" w:pos="180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at any time the Total Consolidated GMF Exposure shall exceed $2 billion, the Company, GMF or any Subsidiary of GMF shall, within one (1) Business Day, prepay the then outstanding Total Consolidated GMF Exposure by the amount of such excess.</w:t>
      </w:r>
    </w:p>
    <w:p>
      <w:pPr>
        <w:spacing w:after="0" w:line="178" w:lineRule="exact"/>
        <w:rPr>
          <w:sz w:val="20"/>
          <w:szCs w:val="20"/>
          <w:color w:val="auto"/>
        </w:rPr>
      </w:pPr>
    </w:p>
    <w:p>
      <w:pPr>
        <w:ind w:left="1080"/>
        <w:spacing w:after="0"/>
        <w:tabs>
          <w:tab w:leader="none" w:pos="19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w:t>
      </w:r>
    </w:p>
    <w:p>
      <w:pPr>
        <w:spacing w:after="0" w:line="214" w:lineRule="exact"/>
        <w:rPr>
          <w:sz w:val="20"/>
          <w:szCs w:val="20"/>
          <w:color w:val="auto"/>
        </w:rPr>
      </w:pPr>
    </w:p>
    <w:p>
      <w:pPr>
        <w:ind w:right="140" w:firstLine="1072"/>
        <w:spacing w:after="0" w:line="267" w:lineRule="auto"/>
        <w:tabs>
          <w:tab w:leader="none" w:pos="179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conversion of Eurocurrency Loans that is not made on the last day of an Interest Period with respect thereto shall be subject to Section 2.23. The Company or any Subsidiary Borrower may elect from time to time to convert ABR Loans to Eurocurrency Loans denominated in Dollars by giving the Administrative Agent prior irrevocable notice of such election no</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344" w:right="259" w:bottom="1440" w:gutter="0" w:footer="0" w:header="0"/>
        </w:sectPr>
      </w:pPr>
    </w:p>
    <w:bookmarkStart w:id="247" w:name="page248"/>
    <w:bookmarkEnd w:id="247"/>
    <w:p>
      <w:pPr>
        <w:spacing w:after="0" w:line="265" w:lineRule="auto"/>
        <w:rPr>
          <w:sz w:val="20"/>
          <w:szCs w:val="20"/>
          <w:color w:val="auto"/>
        </w:rPr>
      </w:pPr>
      <w:r>
        <w:rPr>
          <w:rFonts w:ascii="Arial" w:cs="Arial" w:eastAsia="Arial" w:hAnsi="Arial"/>
          <w:sz w:val="17"/>
          <w:szCs w:val="17"/>
          <w:color w:val="auto"/>
        </w:rPr>
        <w:t xml:space="preserve">later than 1:00 P.M., New York City time, on the third Business Day preceding the proposed conversion date (which notice shall specify the length of the initial Interest Period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78" w:lineRule="exact"/>
        <w:rPr>
          <w:sz w:val="20"/>
          <w:szCs w:val="20"/>
          <w:color w:val="auto"/>
        </w:rPr>
      </w:pPr>
    </w:p>
    <w:p>
      <w:pPr>
        <w:ind w:firstLine="1072"/>
        <w:spacing w:after="0" w:line="279" w:lineRule="auto"/>
        <w:tabs>
          <w:tab w:leader="none" w:pos="180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 the Interest Period applicable thereto to a Eurocurrency Loan with an Interest Period of two weeks;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69" w:lineRule="exact"/>
        <w:rPr>
          <w:sz w:val="20"/>
          <w:szCs w:val="20"/>
          <w:color w:val="auto"/>
        </w:rPr>
      </w:pPr>
    </w:p>
    <w:p>
      <w:pPr>
        <w:jc w:val="both"/>
        <w:ind w:right="80" w:firstLine="1063"/>
        <w:spacing w:after="0" w:line="253"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30 Eurocurrency Tranches shall be outstanding at any one time.</w:t>
      </w:r>
    </w:p>
    <w:p>
      <w:pPr>
        <w:spacing w:after="0" w:line="187" w:lineRule="exact"/>
        <w:rPr>
          <w:sz w:val="20"/>
          <w:szCs w:val="20"/>
          <w:color w:val="auto"/>
        </w:rPr>
      </w:pPr>
    </w:p>
    <w:p>
      <w:pPr>
        <w:ind w:left="1080"/>
        <w:spacing w:after="0"/>
        <w:tabs>
          <w:tab w:leader="none" w:pos="19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4"/>
          <w:szCs w:val="14"/>
          <w:u w:val="single" w:color="auto"/>
          <w:color w:val="auto"/>
        </w:rPr>
        <w:t>Interest Rates and Payment Dates</w:t>
      </w:r>
      <w:r>
        <w:rPr>
          <w:rFonts w:ascii="Arial" w:cs="Arial" w:eastAsia="Arial" w:hAnsi="Arial"/>
          <w:sz w:val="14"/>
          <w:szCs w:val="14"/>
          <w:color w:val="auto"/>
        </w:rPr>
        <w:t>.</w:t>
      </w:r>
    </w:p>
    <w:p>
      <w:pPr>
        <w:spacing w:after="0" w:line="214" w:lineRule="exact"/>
        <w:rPr>
          <w:sz w:val="20"/>
          <w:szCs w:val="20"/>
          <w:color w:val="auto"/>
        </w:rPr>
      </w:pPr>
    </w:p>
    <w:p>
      <w:pPr>
        <w:ind w:right="200" w:firstLine="1072"/>
        <w:spacing w:after="0" w:line="293" w:lineRule="auto"/>
        <w:tabs>
          <w:tab w:leader="none" w:pos="179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Each Eurocurrency Loan that is a Multicurrency Loan or a Domestic Loan shall bear interest for each day during each Interest Period with respect thereto at a rate per annum equal to the Eurocurrency Rate determined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153" w:lineRule="exact"/>
        <w:rPr>
          <w:rFonts w:ascii="Arial" w:cs="Arial" w:eastAsia="Arial" w:hAnsi="Arial"/>
          <w:sz w:val="17"/>
          <w:szCs w:val="17"/>
          <w:color w:val="auto"/>
        </w:rPr>
      </w:pPr>
    </w:p>
    <w:p>
      <w:pPr>
        <w:ind w:right="280" w:firstLine="1072"/>
        <w:spacing w:after="0" w:line="263" w:lineRule="auto"/>
        <w:tabs>
          <w:tab w:leader="none" w:pos="180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177" w:lineRule="exact"/>
        <w:rPr>
          <w:rFonts w:ascii="Arial" w:cs="Arial" w:eastAsia="Arial" w:hAnsi="Arial"/>
          <w:sz w:val="18"/>
          <w:szCs w:val="18"/>
          <w:color w:val="auto"/>
        </w:rPr>
      </w:pPr>
    </w:p>
    <w:p>
      <w:pPr>
        <w:ind w:left="1800" w:hanging="728"/>
        <w:spacing w:after="0"/>
        <w:tabs>
          <w:tab w:leader="none" w:pos="18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13" w:lineRule="exact"/>
        <w:rPr>
          <w:rFonts w:ascii="Arial" w:cs="Arial" w:eastAsia="Arial" w:hAnsi="Arial"/>
          <w:sz w:val="18"/>
          <w:szCs w:val="18"/>
          <w:color w:val="auto"/>
        </w:rPr>
      </w:pPr>
    </w:p>
    <w:p>
      <w:pPr>
        <w:ind w:left="1800" w:hanging="728"/>
        <w:spacing w:after="0"/>
        <w:tabs>
          <w:tab w:leader="none" w:pos="18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213" w:lineRule="exact"/>
        <w:rPr>
          <w:rFonts w:ascii="Arial" w:cs="Arial" w:eastAsia="Arial" w:hAnsi="Arial"/>
          <w:sz w:val="18"/>
          <w:szCs w:val="18"/>
          <w:color w:val="auto"/>
        </w:rPr>
      </w:pPr>
    </w:p>
    <w:p>
      <w:pPr>
        <w:ind w:left="1800" w:hanging="728"/>
        <w:spacing w:after="0"/>
        <w:tabs>
          <w:tab w:leader="none" w:pos="18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[Reserved].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48" w:name="page249"/>
    <w:bookmarkEnd w:id="248"/>
    <w:p>
      <w:pPr>
        <w:ind w:firstLine="1072"/>
        <w:spacing w:after="0" w:line="279" w:lineRule="auto"/>
        <w:tabs>
          <w:tab w:leader="none" w:pos="177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(i) If all or a portion of the principal amount of any Loan (other than any Brazilian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 or (y) in the case of Reimbursement Obligations, the rate applicable to ABR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 and (ii) if all or a portion of any interest payable on any Loan or Reimbursement Obligation or any Facility Fee or Letter of Credit Fee payable hereunder (in each case, other than any of the foregoing in connection with the Brazilian Facility)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 and (iii) if all or a portion of any principal amount of any Brazilian Loans or any interest payable on any Brazilian Loan or any fee payable in connection with the Brazilian Facility shall not be paid when due (whether at the stated maturity, by acceleration or otherwise), such overdue amount shall bear interest at the rate per annum required by the Brazilian Bank Certificates.</w:t>
      </w:r>
    </w:p>
    <w:p>
      <w:pPr>
        <w:spacing w:after="0" w:line="172" w:lineRule="exact"/>
        <w:rPr>
          <w:rFonts w:ascii="Arial" w:cs="Arial" w:eastAsia="Arial" w:hAnsi="Arial"/>
          <w:sz w:val="16"/>
          <w:szCs w:val="16"/>
          <w:color w:val="auto"/>
        </w:rPr>
      </w:pPr>
    </w:p>
    <w:p>
      <w:pPr>
        <w:ind w:right="140" w:firstLine="1072"/>
        <w:spacing w:after="0" w:line="253" w:lineRule="auto"/>
        <w:tabs>
          <w:tab w:leader="none" w:pos="180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(x) interest accruing pursuant to Section 2.17(f) shall be payable from time to time on demand and (y) interest accruing in respect of the Brazilian Facility shall be payable in accordance with and pursuant to the terms of the Brazilian Bank Certificates.</w:t>
      </w:r>
    </w:p>
    <w:p>
      <w:pPr>
        <w:spacing w:after="0" w:line="187" w:lineRule="exact"/>
        <w:rPr>
          <w:rFonts w:ascii="Arial" w:cs="Arial" w:eastAsia="Arial" w:hAnsi="Arial"/>
          <w:sz w:val="18"/>
          <w:szCs w:val="18"/>
          <w:color w:val="auto"/>
        </w:rPr>
      </w:pPr>
    </w:p>
    <w:p>
      <w:pPr>
        <w:ind w:left="1800" w:hanging="728"/>
        <w:spacing w:after="0"/>
        <w:tabs>
          <w:tab w:leader="none" w:pos="18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interest hereunder shall be paid in the Currency in which the Loan giving rise to such interest is denominated.</w:t>
      </w:r>
    </w:p>
    <w:p>
      <w:pPr>
        <w:spacing w:after="0" w:line="214" w:lineRule="exact"/>
        <w:rPr>
          <w:sz w:val="20"/>
          <w:szCs w:val="20"/>
          <w:color w:val="auto"/>
        </w:rPr>
      </w:pPr>
    </w:p>
    <w:p>
      <w:pPr>
        <w:ind w:right="20" w:firstLine="1063"/>
        <w:spacing w:after="0" w:line="280"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(a) Interest and fees payable pursuant hereto shall be calculated on the basis of a 360-day year for the actual days elapsed, except that (i) interest computed by reference to ABR at times when ABR is based on the Prime Rate shall be computed on the basis of a year of 365 days (or 366 days in a leap year), and shall be payable for the actual number of days elapsed, (ii) interest computed on Loans and Letters of Credit denominated in Pounds Sterling shall be computed on the basis of a year of 365 days, and shall be payable for the actual number of days elapsed and (iii) interest and fees payable in connection with the Brazilian Facility shall be calculated in the manner required by the Brazilian Bank Certificates. The Administrative Agent shall as soon as practicable notify the Company or relevant Subsidiary Borrower and the Lenders of each determination of a Eurocurrency Rate. Any change in the interest rate on a Loan resulting from a change in the ABR, the CDI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(other than any such change in the CDI).</w:t>
      </w:r>
    </w:p>
    <w:p>
      <w:pPr>
        <w:spacing w:after="0" w:line="172" w:lineRule="exact"/>
        <w:rPr>
          <w:sz w:val="20"/>
          <w:szCs w:val="20"/>
          <w:color w:val="auto"/>
        </w:rPr>
      </w:pPr>
    </w:p>
    <w:p>
      <w:pPr>
        <w:ind w:right="40" w:firstLine="1072"/>
        <w:spacing w:after="0" w:line="291" w:lineRule="auto"/>
        <w:tabs>
          <w:tab w:leader="none" w:pos="180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(or, in the case of the CDI, the Brazilian Administrative Agent) pursuant to any provision of this Agreement or any other Loan Document shall be conclusive and binding on the Company, any Subsidiary Borrower and the Lenders in the absence of manifest error. The Administrative Agent (or the Brazilian Administrative Agent, if applicable) shall, at the request of the Company or any Subsidiary Borrower, deliver to the Company or such Subsidiary Borrower a statement showing the quotations used by the Administrative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344" w:right="21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t>Agent (or the Brazilian Administrative Agent, as the case may be) in determining any interest rate pursuant to Section 2.20(a).</w:t>
      </w:r>
    </w:p>
    <w:p>
      <w:pPr>
        <w:spacing w:after="0" w:line="214" w:lineRule="exact"/>
        <w:rPr>
          <w:sz w:val="20"/>
          <w:szCs w:val="20"/>
          <w:color w:val="auto"/>
        </w:rPr>
      </w:pPr>
    </w:p>
    <w:p>
      <w:pPr>
        <w:ind w:left="1080"/>
        <w:spacing w:after="0"/>
        <w:tabs>
          <w:tab w:leader="none" w:pos="19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u w:val="single" w:color="auto"/>
          <w:color w:val="auto"/>
        </w:rPr>
        <w:t>Inability to Determine Interest Rate; Illegality</w:t>
      </w:r>
      <w:r>
        <w:rPr>
          <w:rFonts w:ascii="Arial" w:cs="Arial" w:eastAsia="Arial" w:hAnsi="Arial"/>
          <w:sz w:val="16"/>
          <w:szCs w:val="16"/>
          <w:color w:val="auto"/>
        </w:rPr>
        <w:t>. (a) If prior to the first day of any Interest Period:</w:t>
      </w:r>
    </w:p>
    <w:p>
      <w:pPr>
        <w:spacing w:after="0" w:line="214" w:lineRule="exact"/>
        <w:rPr>
          <w:sz w:val="20"/>
          <w:szCs w:val="20"/>
          <w:color w:val="auto"/>
        </w:rPr>
      </w:pPr>
    </w:p>
    <w:p>
      <w:pPr>
        <w:jc w:val="both"/>
        <w:ind w:left="1080" w:right="300" w:firstLine="523"/>
        <w:spacing w:after="0" w:line="253" w:lineRule="auto"/>
        <w:tabs>
          <w:tab w:leader="none" w:pos="231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w:t>
      </w:r>
    </w:p>
    <w:p>
      <w:pPr>
        <w:spacing w:after="0" w:line="187" w:lineRule="exact"/>
        <w:rPr>
          <w:rFonts w:ascii="Arial" w:cs="Arial" w:eastAsia="Arial" w:hAnsi="Arial"/>
          <w:sz w:val="18"/>
          <w:szCs w:val="18"/>
          <w:color w:val="auto"/>
        </w:rPr>
      </w:pPr>
    </w:p>
    <w:p>
      <w:pPr>
        <w:jc w:val="both"/>
        <w:ind w:left="1080" w:right="420" w:firstLine="523"/>
        <w:spacing w:after="0" w:line="300" w:lineRule="auto"/>
        <w:tabs>
          <w:tab w:leader="none" w:pos="23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Administrative Agent shall have received notice from the Majority Facility Lenders in respect of such Facility that the Eurocurrency Rate determined or to be determined for such Interest Period will not adequately and fairly reflect the cost to such Lenders (as conclusively certified by such Lenders) of making or maintaining their affected Loans during such Interest Period; or</w:t>
      </w:r>
    </w:p>
    <w:p>
      <w:pPr>
        <w:spacing w:after="0" w:line="151" w:lineRule="exact"/>
        <w:rPr>
          <w:rFonts w:ascii="Arial" w:cs="Arial" w:eastAsia="Arial" w:hAnsi="Arial"/>
          <w:sz w:val="16"/>
          <w:szCs w:val="16"/>
          <w:color w:val="auto"/>
        </w:rPr>
      </w:pPr>
    </w:p>
    <w:p>
      <w:pPr>
        <w:ind w:left="1080" w:right="120" w:firstLine="523"/>
        <w:spacing w:after="0" w:line="275" w:lineRule="auto"/>
        <w:tabs>
          <w:tab w:leader="none" w:pos="2409"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and binding upon the Company or the relevant Subsidiary Borrower) that deposits in the applicable Currency are not generally available in the applicable market (any Optional Currency affected by the circumstances described in clause (i), (ii) or (iii) is referred to as an “</w:t>
      </w:r>
      <w:r>
        <w:rPr>
          <w:rFonts w:ascii="Arial" w:cs="Arial" w:eastAsia="Arial" w:hAnsi="Arial"/>
          <w:sz w:val="17"/>
          <w:szCs w:val="17"/>
          <w:u w:val="single" w:color="auto"/>
          <w:color w:val="auto"/>
        </w:rPr>
        <w:t>Affected Foreign Currency</w:t>
      </w:r>
      <w:r>
        <w:rPr>
          <w:rFonts w:ascii="Arial" w:cs="Arial" w:eastAsia="Arial" w:hAnsi="Arial"/>
          <w:sz w:val="17"/>
          <w:szCs w:val="17"/>
          <w:color w:val="auto"/>
        </w:rPr>
        <w:t>”);</w:t>
      </w:r>
    </w:p>
    <w:p>
      <w:pPr>
        <w:spacing w:after="0" w:line="17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Administrative Agent shall give notice thereof to the Company and any relevant Subsidiary Borrower and the relevant Lenders as soon as practicable thereafter. If any such notice is given (A) pursuant to clause (i) or (ii) of this Section 2.19(a) in respect of Eurocurrency Loans denominated in Dollars,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in Dollars under the relevant Facility requested to be made on the first day of such Interest Period shall be made as ABR Loans, (2) any ABR Loans that were to have been converted on the first day of such Interest Period to Eurocurrency Loans denominated in Dollars shall be continued as ABR Loans, (3) any outstanding Eurocurrency Loans denominated in Dollars shall be converted, on the last day of the then-current Interest Period, to ABR Loans, (4) any Multicurrency Loans denominated in an Optional Currency requested to be made on the first day of such Interest Period shall not be made and (5) any outstanding Multicurrency Loans denominated in an Optional Currency shall be converted to or be made as Alternate Rate Loans (and any request set forth in such interest rate election shall be deemed to be a request for such Multicurrency Loans to be converted to or be made as Alternate Rate Loans) and (B) in respect of any Multicurrency Loans denominated in an Optional Currency, then thereafter (and until the Administrative Agent notifies the Company and the Lenders that the circumstances giving rise to such notice no longer exist) (such notice to be given promptly upon the Administrative Agent becoming aware of such change in circumstances) if such notice is given pursuant to clause (iii) above, any Multicurrency Loans in an Affected Foreign Currency requested to be made on the first day of such Interest Period shall not be made.</w:t>
      </w:r>
    </w:p>
    <w:p>
      <w:pPr>
        <w:spacing w:after="0" w:line="139" w:lineRule="exact"/>
        <w:rPr>
          <w:sz w:val="20"/>
          <w:szCs w:val="20"/>
          <w:color w:val="auto"/>
        </w:rPr>
      </w:pPr>
    </w:p>
    <w:p>
      <w:pPr>
        <w:ind w:firstLine="1072"/>
        <w:spacing w:after="0" w:line="253" w:lineRule="auto"/>
        <w:tabs>
          <w:tab w:leader="none" w:pos="180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50" w:name="page251"/>
    <w:bookmarkEnd w:id="250"/>
    <w:p>
      <w:pPr>
        <w:ind w:right="40"/>
        <w:spacing w:after="0" w:line="280" w:lineRule="auto"/>
        <w:rPr>
          <w:sz w:val="20"/>
          <w:szCs w:val="20"/>
          <w:color w:val="auto"/>
        </w:rPr>
      </w:pPr>
      <w:r>
        <w:rPr>
          <w:rFonts w:ascii="Arial" w:cs="Arial" w:eastAsia="Arial" w:hAnsi="Arial"/>
          <w:sz w:val="16"/>
          <w:szCs w:val="16"/>
          <w:color w:val="auto"/>
        </w:rPr>
        <w:t>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denominated in Dollars, continue such Eurocurrency Loans as such and convert ABR Loans to Eurocurrency Loans denominated in Dollars shall forthwith be cancelled, (ii) such Lender’s outstanding Eurocurrency Loans denominated in Dollars shall be converted automatically on the last day of the then current Interest Periods with respect to such Loans (or within such earlier period as shall be required by law) to ABR Loans and (iii) such Lender’s outstanding Eurocurrency Loans denominated in any Optional Currency shall be paid in full by the applicable Borrower on the respective last days of the then current Interest Periods with respect to such Loans (or within such earlier period as may be required by law).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2.23.</w:t>
      </w:r>
    </w:p>
    <w:p>
      <w:pPr>
        <w:spacing w:after="0" w:line="172" w:lineRule="exact"/>
        <w:rPr>
          <w:sz w:val="20"/>
          <w:szCs w:val="20"/>
          <w:color w:val="auto"/>
        </w:rPr>
      </w:pPr>
    </w:p>
    <w:p>
      <w:pPr>
        <w:ind w:right="40" w:firstLine="1063"/>
        <w:spacing w:after="0" w:line="291"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Pro Rata Treatment and Payments; Evidence of Debt</w:t>
      </w:r>
      <w:r>
        <w:rPr>
          <w:rFonts w:ascii="Arial" w:cs="Arial" w:eastAsia="Arial" w:hAnsi="Arial"/>
          <w:sz w:val="16"/>
          <w:szCs w:val="16"/>
          <w:color w:val="auto"/>
        </w:rPr>
        <w:t xml:space="preserve">. (a) Each borrowing of Loans under any Facility by the Company or any Subsidiary Borrower from the Lenders under such Facility, each payment by the Company or any Subsidiary Borrower on account of any Facility Fee or Letter of Credit Fee and any reduction of the Commitments of the Lenders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Percentages under such Facility, of the relevant Lenders in such Facility except to the extent required or permitted pursuant to Sections 2.10, 2.12, 2.25, 2.26, 2.28 and 2.30.</w:t>
      </w:r>
    </w:p>
    <w:p>
      <w:pPr>
        <w:spacing w:after="0" w:line="160" w:lineRule="exact"/>
        <w:rPr>
          <w:sz w:val="20"/>
          <w:szCs w:val="20"/>
          <w:color w:val="auto"/>
        </w:rPr>
      </w:pPr>
    </w:p>
    <w:p>
      <w:pPr>
        <w:jc w:val="both"/>
        <w:ind w:right="100" w:firstLine="1072"/>
        <w:spacing w:after="0" w:line="280" w:lineRule="auto"/>
        <w:tabs>
          <w:tab w:leader="none" w:pos="1801"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Company or any Subsidiary Borrower on account of principal of and interest on the Loans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Lenders under such Facility according to the respective outstanding principal amounts of the Loans under such Facility then held by the Lenders under such Facility except to the extent required or permitted pursuant to Sections 2.10, 2.12, 2.25, 2.26, 2.28 and 2.30.</w:t>
      </w:r>
    </w:p>
    <w:p>
      <w:pPr>
        <w:spacing w:after="0"/>
        <w:rPr>
          <w:rFonts w:ascii="Arial" w:cs="Arial" w:eastAsia="Arial" w:hAnsi="Arial"/>
          <w:sz w:val="16"/>
          <w:szCs w:val="16"/>
          <w:color w:val="auto"/>
        </w:rPr>
      </w:pPr>
      <w:r>
        <w:rPr>
          <w:rFonts w:ascii="Arial" w:cs="Arial" w:eastAsia="Arial" w:hAnsi="Arial"/>
          <w:sz w:val="18"/>
          <w:szCs w:val="18"/>
          <w:color w:val="auto"/>
        </w:rPr>
        <w:t>Except as otherwise provided in Section 8, each such payment shall be paid in the relevant Currency in which such Loan was made.</w:t>
      </w:r>
    </w:p>
    <w:p>
      <w:pPr>
        <w:spacing w:after="0" w:line="200" w:lineRule="exact"/>
        <w:rPr>
          <w:rFonts w:ascii="Arial" w:cs="Arial" w:eastAsia="Arial" w:hAnsi="Arial"/>
          <w:sz w:val="16"/>
          <w:szCs w:val="16"/>
          <w:color w:val="auto"/>
        </w:rPr>
      </w:pPr>
    </w:p>
    <w:p>
      <w:pPr>
        <w:ind w:firstLine="1072"/>
        <w:spacing w:after="0" w:line="279" w:lineRule="auto"/>
        <w:tabs>
          <w:tab w:leader="none" w:pos="1791"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(x) payment of fronting fees owing to any Issuing Lender shall be made directly to the relevant Issuing Lender and (y) payment of all amounts in connection with the Brazilian Facility shall be paid to the Brazilian Administrative Agent pursuant to the terms of the Brazilian Bank Certificates.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51" w:name="page252"/>
    <w:bookmarkEnd w:id="251"/>
    <w:p>
      <w:pPr>
        <w:ind w:right="40" w:firstLine="1072"/>
        <w:spacing w:after="0" w:line="261" w:lineRule="auto"/>
        <w:tabs>
          <w:tab w:leader="none" w:pos="1801" w:val="left"/>
        </w:tabs>
        <w:numPr>
          <w:ilvl w:val="0"/>
          <w:numId w:val="224"/>
        </w:numPr>
        <w:rPr>
          <w:rFonts w:ascii="Arial" w:cs="Arial" w:eastAsia="Arial" w:hAnsi="Arial"/>
          <w:sz w:val="17"/>
          <w:szCs w:val="17"/>
          <w:color w:val="auto"/>
        </w:rPr>
      </w:pPr>
      <w:r>
        <w:rPr>
          <w:rFonts w:ascii="Arial" w:cs="Arial" w:eastAsia="Arial" w:hAnsi="Arial"/>
          <w:sz w:val="17"/>
          <w:szCs w:val="17"/>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80" w:lineRule="exact"/>
        <w:rPr>
          <w:rFonts w:ascii="Arial" w:cs="Arial" w:eastAsia="Arial" w:hAnsi="Arial"/>
          <w:sz w:val="17"/>
          <w:szCs w:val="17"/>
          <w:color w:val="auto"/>
        </w:rPr>
      </w:pPr>
    </w:p>
    <w:p>
      <w:pPr>
        <w:ind w:firstLine="1072"/>
        <w:spacing w:after="0" w:line="280" w:lineRule="auto"/>
        <w:tabs>
          <w:tab w:leader="none" w:pos="1791"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68" w:lineRule="exact"/>
        <w:rPr>
          <w:rFonts w:ascii="Arial" w:cs="Arial" w:eastAsia="Arial" w:hAnsi="Arial"/>
          <w:sz w:val="16"/>
          <w:szCs w:val="16"/>
          <w:color w:val="auto"/>
        </w:rPr>
      </w:pPr>
    </w:p>
    <w:p>
      <w:pPr>
        <w:ind w:right="340" w:firstLine="1072"/>
        <w:spacing w:after="0" w:line="275" w:lineRule="auto"/>
        <w:tabs>
          <w:tab w:leader="none" w:pos="177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2.20(a) and (b) (applied as if such payments were made by the Company) and Section 10.7.</w:t>
      </w:r>
    </w:p>
    <w:p>
      <w:pPr>
        <w:spacing w:after="0" w:line="169" w:lineRule="exact"/>
        <w:rPr>
          <w:rFonts w:ascii="Arial" w:cs="Arial" w:eastAsia="Arial" w:hAnsi="Arial"/>
          <w:sz w:val="17"/>
          <w:szCs w:val="17"/>
          <w:color w:val="auto"/>
        </w:rPr>
      </w:pPr>
    </w:p>
    <w:p>
      <w:pPr>
        <w:ind w:right="160" w:firstLine="1072"/>
        <w:spacing w:after="0" w:line="300" w:lineRule="auto"/>
        <w:tabs>
          <w:tab w:leader="none" w:pos="1801"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M (a “</w:t>
      </w:r>
      <w:r>
        <w:rPr>
          <w:rFonts w:ascii="Arial" w:cs="Arial" w:eastAsia="Arial" w:hAnsi="Arial"/>
          <w:sz w:val="16"/>
          <w:szCs w:val="16"/>
          <w:u w:val="single" w:color="auto"/>
          <w:color w:val="auto"/>
        </w:rPr>
        <w:t>Note</w:t>
      </w:r>
      <w:r>
        <w:rPr>
          <w:rFonts w:ascii="Arial" w:cs="Arial" w:eastAsia="Arial" w:hAnsi="Arial"/>
          <w:sz w:val="16"/>
          <w:szCs w:val="16"/>
          <w:color w:val="auto"/>
        </w:rPr>
        <w:t>”), with appropriate insertions as to date and principal amount.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52" w:name="page253"/>
    <w:bookmarkEnd w:id="252"/>
    <w:p>
      <w:pPr>
        <w:ind w:left="1080"/>
        <w:spacing w:after="0"/>
        <w:tabs>
          <w:tab w:leader="none" w:pos="19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Except with respect to Competitive Loans to which this Section 2.21 shall not apply:</w:t>
      </w:r>
    </w:p>
    <w:p>
      <w:pPr>
        <w:spacing w:after="0" w:line="181" w:lineRule="exact"/>
        <w:rPr>
          <w:sz w:val="20"/>
          <w:szCs w:val="20"/>
          <w:color w:val="auto"/>
        </w:rPr>
      </w:pPr>
    </w:p>
    <w:p>
      <w:pPr>
        <w:ind w:left="1800" w:hanging="728"/>
        <w:spacing w:after="0"/>
        <w:tabs>
          <w:tab w:leader="none" w:pos="18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13" w:lineRule="exact"/>
        <w:rPr>
          <w:rFonts w:ascii="Arial" w:cs="Arial" w:eastAsia="Arial" w:hAnsi="Arial"/>
          <w:sz w:val="18"/>
          <w:szCs w:val="18"/>
          <w:color w:val="auto"/>
        </w:rPr>
      </w:pPr>
    </w:p>
    <w:p>
      <w:pPr>
        <w:ind w:left="1080" w:right="200" w:firstLine="523"/>
        <w:spacing w:after="0" w:line="275" w:lineRule="auto"/>
        <w:tabs>
          <w:tab w:leader="none" w:pos="231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69" w:lineRule="exact"/>
        <w:rPr>
          <w:rFonts w:ascii="Arial" w:cs="Arial" w:eastAsia="Arial" w:hAnsi="Arial"/>
          <w:sz w:val="17"/>
          <w:szCs w:val="17"/>
          <w:color w:val="auto"/>
        </w:rPr>
      </w:pPr>
    </w:p>
    <w:p>
      <w:pPr>
        <w:ind w:left="2360" w:hanging="757"/>
        <w:spacing w:after="0"/>
        <w:tabs>
          <w:tab w:leader="none" w:pos="23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21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and the result of any of the foregoing is to increase the cost to the Administrative Agent, the Brazilian Administrative Agent or such Lender (or its affiliate, as the case may be), by an amount that the Administrative Agent, the Brazilian Administrative Agent or such Lender reasonably deems material, of making, converting into, continuing or maintaining Eurocurrency Loans, issuing or participating in Letters of Credit, or to reduce any amount receivable hereunder in respect thereof, then, in any such case, the Company and any relevant Subsidiary Borrower shall pay the Administrative Agent, the Brazilian Administrative Agent or such Lender, within 15 Business Days of receipt of notice from the Administrative Agent, the Brazilian Administrative Agent or the relevant Lender as described below, any additional amounts necessary to compensate the Administrative Agent, the Brazilian Administrative Agent or such Lender for such increased cost or reduced amount receivable (it being understood that the provisions set forth in this Section 2.21(a) are not intended to derogate from the Company’s rights provided in Section 2.24 and Section 2.25). If the Administrative Agent, the Brazilian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35" w:lineRule="exact"/>
        <w:rPr>
          <w:sz w:val="20"/>
          <w:szCs w:val="20"/>
          <w:color w:val="auto"/>
        </w:rPr>
      </w:pPr>
    </w:p>
    <w:p>
      <w:pPr>
        <w:ind w:right="40" w:firstLine="1072"/>
        <w:spacing w:after="0" w:line="281" w:lineRule="auto"/>
        <w:tabs>
          <w:tab w:leader="none" w:pos="180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2.21(b) are not intended to derogate from the Company’s rights provided in Sections 2.24 and 2.25).</w:t>
      </w:r>
    </w:p>
    <w:p>
      <w:pPr>
        <w:spacing w:after="0" w:line="170" w:lineRule="exact"/>
        <w:rPr>
          <w:rFonts w:ascii="Arial" w:cs="Arial" w:eastAsia="Arial" w:hAnsi="Arial"/>
          <w:sz w:val="16"/>
          <w:szCs w:val="16"/>
          <w:color w:val="auto"/>
        </w:rPr>
      </w:pPr>
    </w:p>
    <w:p>
      <w:pPr>
        <w:ind w:right="220" w:firstLine="1072"/>
        <w:spacing w:after="0" w:line="253" w:lineRule="auto"/>
        <w:tabs>
          <w:tab w:leader="none" w:pos="179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certificate as to any additional amounts payable pursuant to this Section 2.21 submitted by the Administrative Agent, the Brazilian Administrative Agent or any Lender to the Company and any relevant Subsidiary Borrower (with a copy to the Administrative Agent) shall be prima facie evidence of the amount owing in the absence of manifest error. Notwithstanding anything to the contrary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53" w:name="page254"/>
    <w:bookmarkEnd w:id="253"/>
    <w:p>
      <w:pPr>
        <w:spacing w:after="0"/>
        <w:rPr>
          <w:sz w:val="20"/>
          <w:szCs w:val="20"/>
          <w:color w:val="auto"/>
        </w:rPr>
      </w:pPr>
      <w:r>
        <w:rPr>
          <w:rFonts w:ascii="Arial" w:cs="Arial" w:eastAsia="Arial" w:hAnsi="Arial"/>
          <w:sz w:val="16"/>
          <w:szCs w:val="16"/>
          <w:color w:val="auto"/>
        </w:rPr>
        <w:t>in this Agreement, (i) neither the Administrative Agent, the Brazilian Administrative Agent nor any Lender shall be entitled to request any payment or amount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under this Section 2.21 unless the Administrative Agent, the Brazilian Administrative Agent or such Lender is generally demanding payment (and certifies to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 that it is generally demanding payment) under comparable provisions of its agreements with similarly situated borrowers of similar credit quality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the Administrative Agent nor the Brazilian Administrative Agent shall be under any obligation to verify any such request of a Lender) and</w:t>
      </w:r>
    </w:p>
    <w:p>
      <w:pPr>
        <w:spacing w:after="0" w:line="26" w:lineRule="exact"/>
        <w:rPr>
          <w:sz w:val="20"/>
          <w:szCs w:val="20"/>
          <w:color w:val="auto"/>
        </w:rPr>
      </w:pPr>
    </w:p>
    <w:p>
      <w:pPr>
        <w:ind w:right="120" w:firstLine="9"/>
        <w:spacing w:after="0" w:line="280" w:lineRule="auto"/>
        <w:tabs>
          <w:tab w:leader="none" w:pos="26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the Company and any relevant Subsidiary Borrower shall not be required to compensate the Administrative Agent, the Brazilian Administrative Agent or a Lender pursuant to this Section 2.21 for any amounts incurred more than 90 days prior to the date that the Administrative Agent, the Brazilian Administrative Agent or such Lender notifies the Company or relevant Subsidiary Borrower of the Administrative Agent’s, the Brazilian Administrative Agent’s or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shall survive the termination of this Agreement and the payment of the Loans and all interest thereon and fees payable hereunder.</w:t>
      </w:r>
    </w:p>
    <w:p>
      <w:pPr>
        <w:spacing w:after="0" w:line="167"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or on behalf of any Loan Party under this Agreement (other than in respect of any Competitive Loans as to which this Section 2.22(a) shall not apply)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(i) taxes imposed on or measured by income or profits (including franchise taxes imposed in lieu of or in addition to net income taxes) imposed on the Administrative Agent, the Brazilian Administrative Agent or any Lender as a result of a present or former connection between the Administrative Agent, the Brazilian Administrative Agent or such Lender and the jurisdiction of the Governmental Authority imposing such tax or any political subdivision or taxing authority thereof or therein (other than any such connection arising solely from the Administrative Agent, the Brazilian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 United States withholding taxes imposed by reason of FATCA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If any Taxes are required to be withheld from any amounts payable to the Administrative Agent, the Brazilian Administrative Agent or any Lender under any Loan Document, as determined in good faith by the applicable withholding agent, the applicable withholding agent shall make such deductions and shall pay the full amount deducted to the relevant Governmental Authority in accordance with applicable laws. In the case of any Non-Excluded Taxes or Other Taxes, the amounts so payable by the applicable Loan Party to the Administrative Agent, the Brazilian Administrative Agent or such Lender shall be increased to the extent necessary to yield to the Administrative Agent, the Brazilian Administrative Agent or such Lender (after payment of all Non-Excluded Taxes and Other Taxes) an amount equal to the sum which would have been received had no such deduction or withholding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Loan Party shall be required to increase any such amounts payable to the Administrative Agent, the Brazilian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6"/>
          <w:szCs w:val="16"/>
          <w:u w:val="single" w:color="auto"/>
          <w:color w:val="auto"/>
        </w:rPr>
        <w:t>Change in Tax Law</w:t>
      </w:r>
      <w:r>
        <w:rPr>
          <w:rFonts w:ascii="Arial" w:cs="Arial" w:eastAsia="Arial" w:hAnsi="Arial"/>
          <w:sz w:val="16"/>
          <w:szCs w:val="16"/>
          <w:color w:val="auto"/>
        </w:rPr>
        <w:t>”), shall result in an increase in the rate of any deduction, withholding or payment from that in effect at the time such Lender becomes a party to this Agreement (or designates a new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54" w:name="page255"/>
    <w:bookmarkEnd w:id="254"/>
    <w:p>
      <w:pPr>
        <w:spacing w:after="0" w:line="287" w:lineRule="auto"/>
        <w:rPr>
          <w:sz w:val="20"/>
          <w:szCs w:val="20"/>
          <w:color w:val="auto"/>
        </w:rPr>
      </w:pPr>
      <w:r>
        <w:rPr>
          <w:rFonts w:ascii="Arial" w:cs="Arial" w:eastAsia="Arial" w:hAnsi="Arial"/>
          <w:sz w:val="16"/>
          <w:szCs w:val="16"/>
          <w:color w:val="auto"/>
        </w:rPr>
        <w:t>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2.22.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(e) of this Section 2.22 except as such failure relates to a Change in Tax Law rendering such Person legally unable to comply.</w:t>
      </w:r>
    </w:p>
    <w:p>
      <w:pPr>
        <w:spacing w:after="0" w:line="162" w:lineRule="exact"/>
        <w:rPr>
          <w:sz w:val="20"/>
          <w:szCs w:val="20"/>
          <w:color w:val="auto"/>
        </w:rPr>
      </w:pPr>
    </w:p>
    <w:p>
      <w:pPr>
        <w:ind w:left="1800" w:hanging="728"/>
        <w:spacing w:after="0"/>
        <w:tabs>
          <w:tab w:leader="none" w:pos="180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In addition, each Loan Party shall pay any Other Taxes over to the relevant Governmental Authority in accordance with applicable law.</w:t>
      </w:r>
    </w:p>
    <w:p>
      <w:pPr>
        <w:spacing w:after="0" w:line="236" w:lineRule="exact"/>
        <w:rPr>
          <w:rFonts w:ascii="Arial" w:cs="Arial" w:eastAsia="Arial" w:hAnsi="Arial"/>
          <w:sz w:val="16"/>
          <w:szCs w:val="16"/>
          <w:color w:val="auto"/>
        </w:rPr>
      </w:pPr>
    </w:p>
    <w:p>
      <w:pPr>
        <w:ind w:right="100" w:firstLine="1072"/>
        <w:spacing w:after="0" w:line="280" w:lineRule="auto"/>
        <w:tabs>
          <w:tab w:leader="none" w:pos="179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any Loan Party, as promptly as possible thereafter such Loan Party shall send to the Administrative Agent for its own account or for the account of the relevant Lender, as the case may be, a certified copy of an original official receipt received by such Loan Party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the Brazilian Administrative Agent or any Lender, the Loan Parties shall indemnify the Administrative Agent, the Brazilian Administrative Agent and the Lenders for such amount and any incremental taxes, interest, additions to tax, expenses or penalties that may become payable by the Administrative Agent, the Brazilian Administrative Agent or any Lender as a result of any such failure in the case of clauses (i) and (ii), or any such direct imposition in the case of clause (iii). The indemnification payment under this Section 2.22 shall be made within 30 days after the date the Administrative Agent, the Brazilian Administrative Agent or such Lender (as the case may be) makes a written demand therefor (together with a reasonably detailed calculation of such amounts).</w:t>
      </w:r>
    </w:p>
    <w:p>
      <w:pPr>
        <w:spacing w:after="0" w:line="168" w:lineRule="exact"/>
        <w:rPr>
          <w:rFonts w:ascii="Arial" w:cs="Arial" w:eastAsia="Arial" w:hAnsi="Arial"/>
          <w:sz w:val="16"/>
          <w:szCs w:val="16"/>
          <w:color w:val="auto"/>
        </w:rPr>
      </w:pPr>
    </w:p>
    <w:p>
      <w:pPr>
        <w:ind w:right="20" w:firstLine="1072"/>
        <w:spacing w:after="0" w:line="278" w:lineRule="auto"/>
        <w:tabs>
          <w:tab w:leader="none" w:pos="180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Each Lender (or Transferee) (i) that is not a “United States person” as defined in Section 7701(a)(30) of the Code (a “</w:t>
      </w:r>
      <w:r>
        <w:rPr>
          <w:rFonts w:ascii="Arial" w:cs="Arial" w:eastAsia="Arial" w:hAnsi="Arial"/>
          <w:sz w:val="16"/>
          <w:szCs w:val="16"/>
          <w:u w:val="single" w:color="auto"/>
          <w:color w:val="auto"/>
        </w:rPr>
        <w:t>Non-U.S.</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shall deliver to the Company, any relevant Domestic Subsidiary Borrower and the Administrative Agent (or in the case of a Participant, to the Lender from which the related participation shall have been purchased) two copies of IRS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K-1, Exhibit K-2, Exhibit K-3 or Exhibit K-4,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2.12(b), then the relevant Lender (to whom such Commitment has been reallocated) shall deliver, on the effective date of</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55" w:name="page256"/>
    <w:bookmarkEnd w:id="255"/>
    <w:p>
      <w:pPr>
        <w:spacing w:after="0" w:line="276" w:lineRule="auto"/>
        <w:rPr>
          <w:sz w:val="20"/>
          <w:szCs w:val="20"/>
          <w:color w:val="auto"/>
        </w:rPr>
      </w:pPr>
      <w:r>
        <w:rPr>
          <w:rFonts w:ascii="Arial" w:cs="Arial" w:eastAsia="Arial" w:hAnsi="Arial"/>
          <w:sz w:val="16"/>
          <w:szCs w:val="16"/>
          <w:color w:val="auto"/>
        </w:rPr>
        <w:t>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w:t>
      </w:r>
    </w:p>
    <w:p>
      <w:pPr>
        <w:spacing w:after="0" w:line="2"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2.22(d), “FATCA” shall include any amendments made to FATCA after the date of this Agreement. Notwithstanding any other provision of this Section 2.22, a Lender shall not be required to deliver any form pursuant to this Section 2.22 that such Lender is not legally able to deliver.</w:t>
      </w:r>
    </w:p>
    <w:p>
      <w:pPr>
        <w:spacing w:after="0" w:line="182" w:lineRule="exact"/>
        <w:rPr>
          <w:sz w:val="20"/>
          <w:szCs w:val="20"/>
          <w:color w:val="auto"/>
        </w:rPr>
      </w:pPr>
    </w:p>
    <w:p>
      <w:pPr>
        <w:ind w:right="140" w:firstLine="1072"/>
        <w:spacing w:after="0" w:line="280" w:lineRule="auto"/>
        <w:tabs>
          <w:tab w:leader="none" w:pos="1791"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2.12,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w:t>
      </w:r>
    </w:p>
    <w:p>
      <w:pPr>
        <w:spacing w:after="0" w:line="168" w:lineRule="exact"/>
        <w:rPr>
          <w:rFonts w:ascii="Arial" w:cs="Arial" w:eastAsia="Arial" w:hAnsi="Arial"/>
          <w:sz w:val="16"/>
          <w:szCs w:val="16"/>
          <w:color w:val="auto"/>
        </w:rPr>
      </w:pPr>
    </w:p>
    <w:p>
      <w:pPr>
        <w:ind w:right="220" w:firstLine="1072"/>
        <w:spacing w:after="0" w:line="247" w:lineRule="auto"/>
        <w:tabs>
          <w:tab w:leader="none" w:pos="177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the Administrative Agent, the Brazilian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2.22, it shall pay over such refund to such Loan Party (but only to the extent of indemnity payments made, or additional amounts paid, by such Loan Party under this Section 2.22 with respect to the Non-Excluded Taxes or Other Taxes giving rise to such refund), net of all out-of-pocket expenses of the Administrative Agent, the Brazilian Administrative Agent, such Transferee or such Lender and without interest (other than any interest paid by the relevant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56" w:name="page257"/>
    <w:bookmarkEnd w:id="256"/>
    <w:p>
      <w:pPr>
        <w:ind w:right="20"/>
        <w:spacing w:after="0" w:line="280" w:lineRule="auto"/>
        <w:rPr>
          <w:sz w:val="20"/>
          <w:szCs w:val="20"/>
          <w:color w:val="auto"/>
        </w:rPr>
      </w:pPr>
      <w:r>
        <w:rPr>
          <w:rFonts w:ascii="Arial" w:cs="Arial" w:eastAsia="Arial" w:hAnsi="Arial"/>
          <w:sz w:val="16"/>
          <w:szCs w:val="16"/>
          <w:color w:val="auto"/>
        </w:rPr>
        <w:t xml:space="preserve">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Loan Party, upon the request of the Administrative Agent, the Brazilian Administrative Agent, such Transferee or such Lender, agrees to repay the amount paid over to such Loan Party (plus any penalties, interest or other charges imposed by the relevant Governmental Authority) to the Administrative Agent, the Brazilian Administrative Agent, such Transferee or such Lender in the event the Administrative Agent, the Brazilian Administrative Agent, such Transferee or such Lender is required to repay such refund to such Governmental Authority. This paragraph shall not be construed to (i) interfere with the right of the Administrative Agent, the Brazilian Administrative Agent, any Transferee or any Lender to arrange its tax affairs in whatever manner it sees fit, (ii) obligate the Administrative Agent, the Brazilian Administrative Agent, any Transferee or any Lender to claim any tax refund, (iii) require the Administrative Agent, the Brazilian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the Brazilian Administrative Agent, any Transferee or any Lender to do anything that would in its sole discretion prejudice its ability to benefit from any other refunds, credits, reliefs, remissions or repayments to which it may be entitled.</w:t>
      </w:r>
    </w:p>
    <w:p>
      <w:pPr>
        <w:spacing w:after="0" w:line="168" w:lineRule="exact"/>
        <w:rPr>
          <w:sz w:val="20"/>
          <w:szCs w:val="20"/>
          <w:color w:val="auto"/>
        </w:rPr>
      </w:pPr>
    </w:p>
    <w:p>
      <w:pPr>
        <w:ind w:right="180" w:firstLine="1072"/>
        <w:spacing w:after="0" w:line="283" w:lineRule="auto"/>
        <w:tabs>
          <w:tab w:leader="none" w:pos="180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Each Lender shall indemnify the Administrative Agent and the Brazilian Administrative Agent (to the extent not reimbursed by or on behalf of the Company if it is required to do so under Section 2.22(a) or 10.5 and without limiting the obligation of the Company under Section 2.22(a) or 10.5 to do so) for the full amount of any taxes, levies, imposts, duties, charges, fees, deductions, withholdings or similar charges imposed by any Governmental Authority that are attributable to such Lender and that are payable or paid by the Administrative Agent or the Brazilian Administrative Agent, as applicable, together with all interest, penalties, reasonable costs and expenses arising therefrom or with respect thereto, as determined by the Administrative Agent or the Brazilian Administrative Agent, as applicable, in good faith. A certificate as to the amount of such payment or liability delivered to any Lender by the Administrative Agent or the Brazilian Administrative Agent shall be conclusive absent manifest error.</w:t>
      </w:r>
    </w:p>
    <w:p>
      <w:pPr>
        <w:spacing w:after="0" w:line="164" w:lineRule="exact"/>
        <w:rPr>
          <w:rFonts w:ascii="Arial" w:cs="Arial" w:eastAsia="Arial" w:hAnsi="Arial"/>
          <w:sz w:val="16"/>
          <w:szCs w:val="16"/>
          <w:color w:val="auto"/>
        </w:rPr>
      </w:pPr>
    </w:p>
    <w:p>
      <w:pPr>
        <w:ind w:left="1800" w:hanging="728"/>
        <w:spacing w:after="0"/>
        <w:tabs>
          <w:tab w:leader="none" w:pos="18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Assignee shall be bound by this Section 2.22.</w:t>
      </w:r>
    </w:p>
    <w:p>
      <w:pPr>
        <w:spacing w:after="0" w:line="213" w:lineRule="exact"/>
        <w:rPr>
          <w:rFonts w:ascii="Arial" w:cs="Arial" w:eastAsia="Arial" w:hAnsi="Arial"/>
          <w:sz w:val="18"/>
          <w:szCs w:val="18"/>
          <w:color w:val="auto"/>
        </w:rPr>
      </w:pPr>
    </w:p>
    <w:p>
      <w:pPr>
        <w:ind w:right="40" w:firstLine="1072"/>
        <w:spacing w:after="0" w:line="263" w:lineRule="auto"/>
        <w:tabs>
          <w:tab w:leader="none" w:pos="176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agreements in this Section 2.22 shall survive the termination of this Agreement and the payment of the Loans and all other amounts payable hereunder and the other Loan Documents.</w:t>
      </w:r>
    </w:p>
    <w:p>
      <w:pPr>
        <w:spacing w:after="0" w:line="177" w:lineRule="exact"/>
        <w:rPr>
          <w:rFonts w:ascii="Arial" w:cs="Arial" w:eastAsia="Arial" w:hAnsi="Arial"/>
          <w:sz w:val="18"/>
          <w:szCs w:val="18"/>
          <w:color w:val="auto"/>
        </w:rPr>
      </w:pPr>
    </w:p>
    <w:p>
      <w:pPr>
        <w:ind w:right="240" w:firstLine="1072"/>
        <w:spacing w:after="0" w:line="253" w:lineRule="auto"/>
        <w:tabs>
          <w:tab w:leader="none" w:pos="176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Agreement, the Loan Parties and the Administrative Agent shall treat (and the Lenders hereby authorize the Administrative Agent to treat) this Agreement as not qualifying as a “grandfathered obligation” within the meaning of Treasury Regulation Section 1.1471-2(b)(2)(i).</w:t>
      </w:r>
    </w:p>
    <w:p>
      <w:pPr>
        <w:spacing w:after="0" w:line="187" w:lineRule="exact"/>
        <w:rPr>
          <w:sz w:val="20"/>
          <w:szCs w:val="20"/>
          <w:color w:val="auto"/>
        </w:rPr>
      </w:pPr>
    </w:p>
    <w:p>
      <w:pPr>
        <w:ind w:firstLine="1063"/>
        <w:spacing w:after="0" w:line="246"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Indemnity</w:t>
      </w:r>
      <w:r>
        <w:rPr>
          <w:rFonts w:ascii="Arial" w:cs="Arial" w:eastAsia="Arial" w:hAnsi="Arial"/>
          <w:sz w:val="18"/>
          <w:szCs w:val="18"/>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57" w:name="page258"/>
    <w:bookmarkEnd w:id="257"/>
    <w:p>
      <w:pPr>
        <w:ind w:right="260"/>
        <w:spacing w:after="0" w:line="262" w:lineRule="auto"/>
        <w:rPr>
          <w:sz w:val="20"/>
          <w:szCs w:val="20"/>
          <w:color w:val="auto"/>
        </w:rPr>
      </w:pPr>
      <w:r>
        <w:rPr>
          <w:rFonts w:ascii="Arial" w:cs="Arial" w:eastAsia="Arial" w:hAnsi="Arial"/>
          <w:sz w:val="17"/>
          <w:szCs w:val="17"/>
          <w:color w:val="auto"/>
        </w:rPr>
        <w:t>the Company pursuant to Section 2.25.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2.23 shall survive the termination of this Agreement, the repayment of the Loans and all other amounts payable hereunder and the other Loan Documents.</w:t>
      </w:r>
    </w:p>
    <w:p>
      <w:pPr>
        <w:spacing w:after="0" w:line="181" w:lineRule="exact"/>
        <w:rPr>
          <w:sz w:val="20"/>
          <w:szCs w:val="20"/>
          <w:color w:val="auto"/>
        </w:rPr>
      </w:pPr>
    </w:p>
    <w:p>
      <w:pPr>
        <w:ind w:right="160" w:firstLine="1063"/>
        <w:spacing w:after="0" w:line="24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2.21 or 2.22(a)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2.24 shall affect or postpone any of the obligations of the Company or the rights of any Lender pursuant to Section 2.21 or 2.22(a).</w:t>
      </w:r>
    </w:p>
    <w:p>
      <w:pPr>
        <w:spacing w:after="0" w:line="192" w:lineRule="exact"/>
        <w:rPr>
          <w:sz w:val="20"/>
          <w:szCs w:val="20"/>
          <w:color w:val="auto"/>
        </w:rPr>
      </w:pPr>
    </w:p>
    <w:p>
      <w:pPr>
        <w:ind w:firstLine="1063"/>
        <w:spacing w:after="0" w:line="260"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u w:val="single" w:color="auto"/>
          <w:color w:val="auto"/>
        </w:rPr>
        <w:t>Replacement/Termination of Lenders</w:t>
      </w:r>
      <w:r>
        <w:rPr>
          <w:rFonts w:ascii="Arial" w:cs="Arial" w:eastAsia="Arial" w:hAnsi="Arial"/>
          <w:sz w:val="17"/>
          <w:szCs w:val="17"/>
          <w:color w:val="auto"/>
        </w:rPr>
        <w:t xml:space="preserve">.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2.21 or 2.22(a),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 (iii) fails to give its consent to an extension of the Termination Date to which the Majority Facility Lenders under such Facility have consented, (b) in the case of any Multicurrency Lender that fails to give its consent to the addition of a new Optional Currency to which the Majority Facility Lenders under such Facility have consented, to reallocate such Lender’s Multicurrency Commitment to a Domestic Commitment pursuant to Section 2.12(b) (regardless of whether the amount of such Commitment is less than the minimum amount required under such section) and (c) in the case of any Multicurrency Lender that fails to give its consent to the addition of a new Borrower pursuant to Section 10.1(d)(i) to which the Administrative Agent has agreed, to reallocate such Lender’s Multicurrency Commitment to a Domestic Commitment pursuant to Section 2.12(b)(regardless of whether the amount of such Commitment is less than the minimum amount required under such section);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2.23 if any Eurocurrency Loan owing to such replaced Lender shall be purchased or repaid other than on the last day of the Interest Period relating thereto, (C) any replacement financial institution, if not a Lender, shall</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58" w:name="page259"/>
    <w:bookmarkEnd w:id="258"/>
    <w:p>
      <w:pPr>
        <w:ind w:right="20"/>
        <w:spacing w:after="0" w:line="280" w:lineRule="auto"/>
        <w:rPr>
          <w:sz w:val="20"/>
          <w:szCs w:val="20"/>
          <w:color w:val="auto"/>
        </w:rPr>
      </w:pPr>
      <w:r>
        <w:rPr>
          <w:rFonts w:ascii="Arial" w:cs="Arial" w:eastAsia="Arial" w:hAnsi="Arial"/>
          <w:sz w:val="16"/>
          <w:szCs w:val="16"/>
          <w:color w:val="auto"/>
        </w:rPr>
        <w:t>be reasonably satisfactory to the Administrative Agent (and the Brazilian Administrative Agent in the case of any such replacement under the Brazilian Facility)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2.21 or 2.22(a), as the case may be, and (F) any such replacement, termination and/or repayment shall not be deemed to be a waiver of any rights that the Company, any other Loan Party, the Administrative Agent, the Brazilian Administrative Agent or any other Lender shall have against the replaced Lender. Notwithstanding the foregoing, in the event that a Lender being replaced pursuant to this Section 2.25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68" w:lineRule="exact"/>
        <w:rPr>
          <w:sz w:val="20"/>
          <w:szCs w:val="20"/>
          <w:color w:val="auto"/>
        </w:rPr>
      </w:pPr>
    </w:p>
    <w:p>
      <w:pPr>
        <w:ind w:left="1080"/>
        <w:spacing w:after="0"/>
        <w:tabs>
          <w:tab w:leader="none" w:pos="19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u w:val="single" w:color="auto"/>
          <w:color w:val="auto"/>
        </w:rPr>
        <w:t>Defaulting Lender</w:t>
      </w:r>
      <w:r>
        <w:rPr>
          <w:rFonts w:ascii="Arial" w:cs="Arial" w:eastAsia="Arial" w:hAnsi="Arial"/>
          <w:sz w:val="16"/>
          <w:szCs w:val="16"/>
          <w:color w:val="auto"/>
        </w:rPr>
        <w:t>.</w:t>
      </w:r>
    </w:p>
    <w:p>
      <w:pPr>
        <w:spacing w:after="0" w:line="214" w:lineRule="exact"/>
        <w:rPr>
          <w:sz w:val="20"/>
          <w:szCs w:val="20"/>
          <w:color w:val="auto"/>
        </w:rPr>
      </w:pPr>
    </w:p>
    <w:p>
      <w:pPr>
        <w:ind w:right="40" w:firstLine="1063"/>
        <w:spacing w:after="0" w:line="263"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44" w:lineRule="exact"/>
        <w:rPr>
          <w:sz w:val="20"/>
          <w:szCs w:val="20"/>
          <w:color w:val="auto"/>
        </w:rPr>
      </w:pPr>
    </w:p>
    <w:p>
      <w:pPr>
        <w:ind w:left="1800" w:hanging="728"/>
        <w:spacing w:after="0"/>
        <w:tabs>
          <w:tab w:leader="none" w:pos="18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Facility Fees shall cease to accrue on the unfunded Commitment of such Defaulting Lender pursuant to Section 2.11;</w:t>
      </w:r>
    </w:p>
    <w:p>
      <w:pPr>
        <w:spacing w:after="0" w:line="213" w:lineRule="exact"/>
        <w:rPr>
          <w:rFonts w:ascii="Arial" w:cs="Arial" w:eastAsia="Arial" w:hAnsi="Arial"/>
          <w:sz w:val="18"/>
          <w:szCs w:val="18"/>
          <w:color w:val="auto"/>
        </w:rPr>
      </w:pPr>
    </w:p>
    <w:p>
      <w:pPr>
        <w:jc w:val="both"/>
        <w:ind w:right="60" w:firstLine="1072"/>
        <w:spacing w:after="0" w:line="280" w:lineRule="auto"/>
        <w:tabs>
          <w:tab w:leader="none" w:pos="1801"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w:t>
      </w:r>
    </w:p>
    <w:p>
      <w:pPr>
        <w:ind w:right="60" w:firstLine="9"/>
        <w:spacing w:after="0" w:line="244" w:lineRule="auto"/>
        <w:tabs>
          <w:tab w:leader="none" w:pos="25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96" w:lineRule="exact"/>
        <w:rPr>
          <w:rFonts w:ascii="Arial" w:cs="Arial" w:eastAsia="Arial" w:hAnsi="Arial"/>
          <w:sz w:val="18"/>
          <w:szCs w:val="18"/>
          <w:color w:val="auto"/>
        </w:rPr>
      </w:pPr>
    </w:p>
    <w:p>
      <w:pPr>
        <w:ind w:left="1800" w:hanging="728"/>
        <w:spacing w:after="0"/>
        <w:tabs>
          <w:tab w:leader="none" w:pos="18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if any L/C Obligations exist at the time any Domestic Lender becomes a Defaulting Lender then:</w:t>
      </w:r>
    </w:p>
    <w:p>
      <w:pPr>
        <w:spacing w:after="0" w:line="213" w:lineRule="exact"/>
        <w:rPr>
          <w:rFonts w:ascii="Arial" w:cs="Arial" w:eastAsia="Arial" w:hAnsi="Arial"/>
          <w:sz w:val="18"/>
          <w:szCs w:val="18"/>
          <w:color w:val="auto"/>
        </w:rPr>
      </w:pPr>
    </w:p>
    <w:p>
      <w:pPr>
        <w:ind w:left="1080" w:firstLine="523"/>
        <w:spacing w:after="0" w:line="250" w:lineRule="auto"/>
        <w:tabs>
          <w:tab w:leader="none" w:pos="231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at such time all or any part of the L/C Obligations of such Defaulting Lender shall be reallocated among the Domestic Lenders that are not Defaulting Lenders in accordance with their respective Domestic Percentages (calculated without regard to such Defaulting Lender) but only to the extent the sum of all non-Defaulting Lenders’ Domestic Extensions of Credit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59" w:name="page260"/>
    <w:bookmarkEnd w:id="259"/>
    <w:p>
      <w:pPr>
        <w:ind w:left="1080"/>
        <w:spacing w:after="0" w:line="263"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Domestic Competitive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L/C Obligations does not exceed the total of all Domestic Lenders that are not Defaulting Lenders’ Domestic Commitments;</w:t>
      </w:r>
    </w:p>
    <w:p>
      <w:pPr>
        <w:spacing w:after="0" w:line="178" w:lineRule="exact"/>
        <w:rPr>
          <w:sz w:val="20"/>
          <w:szCs w:val="20"/>
          <w:color w:val="auto"/>
        </w:rPr>
      </w:pPr>
    </w:p>
    <w:p>
      <w:pPr>
        <w:ind w:left="1080" w:right="180" w:firstLine="523"/>
        <w:spacing w:after="0" w:line="246" w:lineRule="auto"/>
        <w:tabs>
          <w:tab w:leader="none" w:pos="23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clause (i) above cannot, or can only partially, be effected, the Company or any Domestic 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applicable Subsidiary Borrower at any time and from time to time upon its request therefor; </w:t>
      </w:r>
      <w:r>
        <w:rPr>
          <w:rFonts w:ascii="Arial" w:cs="Arial" w:eastAsia="Arial" w:hAnsi="Arial"/>
          <w:sz w:val="18"/>
          <w:szCs w:val="18"/>
          <w:u w:val="single" w:color="auto"/>
          <w:color w:val="auto"/>
        </w:rPr>
        <w:t>provided</w:t>
      </w:r>
      <w:r>
        <w:rPr>
          <w:rFonts w:ascii="Arial" w:cs="Arial" w:eastAsia="Arial" w:hAnsi="Arial"/>
          <w:sz w:val="18"/>
          <w:szCs w:val="18"/>
          <w:color w:val="auto"/>
        </w:rPr>
        <w:t>, that no Event of Default shall have then occurred and be continuing);</w:t>
      </w:r>
    </w:p>
    <w:p>
      <w:pPr>
        <w:spacing w:after="0" w:line="196" w:lineRule="exact"/>
        <w:rPr>
          <w:rFonts w:ascii="Arial" w:cs="Arial" w:eastAsia="Arial" w:hAnsi="Arial"/>
          <w:sz w:val="18"/>
          <w:szCs w:val="18"/>
          <w:color w:val="auto"/>
        </w:rPr>
      </w:pPr>
    </w:p>
    <w:p>
      <w:pPr>
        <w:jc w:val="both"/>
        <w:ind w:left="1080" w:firstLine="523"/>
        <w:spacing w:after="0" w:line="250" w:lineRule="auto"/>
        <w:tabs>
          <w:tab w:leader="none" w:pos="240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189" w:lineRule="exact"/>
        <w:rPr>
          <w:rFonts w:ascii="Arial" w:cs="Arial" w:eastAsia="Arial" w:hAnsi="Arial"/>
          <w:sz w:val="18"/>
          <w:szCs w:val="18"/>
          <w:color w:val="auto"/>
        </w:rPr>
      </w:pPr>
    </w:p>
    <w:p>
      <w:pPr>
        <w:ind w:left="1080" w:firstLine="523"/>
        <w:spacing w:after="0" w:line="250" w:lineRule="auto"/>
        <w:tabs>
          <w:tab w:leader="none" w:pos="239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if the L/C Obligations of the Defaulting Lenders are reallocated pursuant to clause (i) above, then the fees payable to the non-Defaulting Lenders pursuant to Section 2.11 and Section 3.3, as applicable, shall be adjusted in accordance with such non-Defaulting Lenders’ Domestic Percentages of the Domestic Commitments calculated without regard to such Defaulting Lender’s Domestic Percentage of the Domestic Commitments; and</w:t>
      </w:r>
    </w:p>
    <w:p>
      <w:pPr>
        <w:spacing w:after="0" w:line="189" w:lineRule="exact"/>
        <w:rPr>
          <w:rFonts w:ascii="Arial" w:cs="Arial" w:eastAsia="Arial" w:hAnsi="Arial"/>
          <w:sz w:val="18"/>
          <w:szCs w:val="18"/>
          <w:color w:val="auto"/>
        </w:rPr>
      </w:pPr>
    </w:p>
    <w:p>
      <w:pPr>
        <w:ind w:left="1080" w:right="60" w:firstLine="523"/>
        <w:spacing w:after="0" w:line="248" w:lineRule="auto"/>
        <w:tabs>
          <w:tab w:leader="none" w:pos="235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if all or any portion of such Defaulting Lender’s L/C Obligations is neither reallocated nor Collateralized pursuant to clause (i) or (ii) above, then, without prejudice to any rights or remedies of the Company or any relevant Subsidiary Borrower, the applicable Issuing Lender or any other Domestic Lender hereunder, all Letter of Credit Fees payable under Section 3.3 with respect to such Defaulting Lender’s L/C Obligations shall be payable to the applicable Issuing Lender until and to the extent that such L/C Obligations are so reallocated and/or Collateralized; and</w:t>
      </w:r>
    </w:p>
    <w:p>
      <w:pPr>
        <w:spacing w:after="0" w:line="193" w:lineRule="exact"/>
        <w:rPr>
          <w:rFonts w:ascii="Arial" w:cs="Arial" w:eastAsia="Arial" w:hAnsi="Arial"/>
          <w:sz w:val="18"/>
          <w:szCs w:val="18"/>
          <w:color w:val="auto"/>
        </w:rPr>
      </w:pPr>
    </w:p>
    <w:p>
      <w:pPr>
        <w:ind w:right="100" w:firstLine="1072"/>
        <w:spacing w:after="0" w:line="267" w:lineRule="auto"/>
        <w:tabs>
          <w:tab w:leader="none" w:pos="180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no Issuing Lender shall be required to issue, renew, amend or increase any Letter of Credit unless it is reasonably satisfied that the related exposure and such Defaulting Lender’s then outstanding L/C Obligations will be 100% covered by the Domestic Commitments of the Domestic Lenders that are not Defaulting Lenders and/or Collateralized by the Company or any applicable Subsidiary Borrower in accordance with this Section 2.26 and participating interests in any newly issued or increased Letter of Credit shall be allocated among the Domestic Lenders that are not Defaulting Lenders in a manner consistent with this Section 2.26 (and such Defaulting Lender shall not participate therein).</w:t>
      </w:r>
    </w:p>
    <w:p>
      <w:pPr>
        <w:spacing w:after="0" w:line="175" w:lineRule="exact"/>
        <w:rPr>
          <w:sz w:val="20"/>
          <w:szCs w:val="20"/>
          <w:color w:val="auto"/>
        </w:rPr>
      </w:pPr>
    </w:p>
    <w:p>
      <w:pPr>
        <w:ind w:right="280" w:firstLine="1063"/>
        <w:spacing w:after="0" w:line="263" w:lineRule="auto"/>
        <w:rPr>
          <w:sz w:val="20"/>
          <w:szCs w:val="20"/>
          <w:color w:val="auto"/>
        </w:rPr>
      </w:pPr>
      <w:r>
        <w:rPr>
          <w:rFonts w:ascii="Arial" w:cs="Arial" w:eastAsia="Arial" w:hAnsi="Arial"/>
          <w:sz w:val="18"/>
          <w:szCs w:val="18"/>
          <w:color w:val="auto"/>
        </w:rPr>
        <w:t>If (i) a Lender Insolvency Event with respect to the parent company of any Domestic Lender shall occur following the Closing Date and for so long as such event shall continue or (ii) 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60" w:name="page261"/>
    <w:bookmarkEnd w:id="260"/>
    <w:p>
      <w:pPr>
        <w:ind w:right="340"/>
        <w:spacing w:after="0" w:line="300" w:lineRule="auto"/>
        <w:rPr>
          <w:sz w:val="20"/>
          <w:szCs w:val="20"/>
          <w:color w:val="auto"/>
        </w:rPr>
      </w:pPr>
      <w:r>
        <w:rPr>
          <w:rFonts w:ascii="Arial" w:cs="Arial" w:eastAsia="Arial" w:hAnsi="Arial"/>
          <w:sz w:val="16"/>
          <w:szCs w:val="16"/>
          <w:color w:val="auto"/>
        </w:rPr>
        <w:t>Domestic Lender has defaulted in fulfilling its obligations under one or more other agreements in which such Domestic Lender commits to extend credit, no Issuing Lender shall be required to issue, amend or increase any Letter of Credit, unless such Issuing Lender shall have entered into arrangements with the Company or such Domestic Lender, satisfactory to such Issuing Lender, to defease any risk to it in respect of such Domestic Lender hereunder.</w:t>
      </w:r>
    </w:p>
    <w:p>
      <w:pPr>
        <w:spacing w:after="0" w:line="152" w:lineRule="exact"/>
        <w:rPr>
          <w:sz w:val="20"/>
          <w:szCs w:val="20"/>
          <w:color w:val="auto"/>
        </w:rPr>
      </w:pPr>
    </w:p>
    <w:p>
      <w:pPr>
        <w:ind w:right="20" w:firstLine="1063"/>
        <w:spacing w:after="0" w:line="283" w:lineRule="auto"/>
        <w:rPr>
          <w:sz w:val="20"/>
          <w:szCs w:val="20"/>
          <w:color w:val="auto"/>
        </w:rPr>
      </w:pPr>
      <w:r>
        <w:rPr>
          <w:rFonts w:ascii="Arial" w:cs="Arial" w:eastAsia="Arial" w:hAnsi="Arial"/>
          <w:sz w:val="16"/>
          <w:szCs w:val="16"/>
          <w:color w:val="auto"/>
        </w:rPr>
        <w:t>In the event that a Domestic Lender becomes a Defaulting Lender, the Administrative Agent shall give notice to the Company and each affected Issuing Lender stating that such Domestic Lender has become a Defaulting Lender. In the event that each of the Administrative Agent, the Company, each relevant Subsidiary Borrower and each affected Issuing Lender agrees that a Defaulting Lender has adequately remedied all matters that caused such Defaulting Lender to be a Defaulting Lender, then the L/C Obligations of the Domestic Lenders shall be readjusted to reflect the inclusion of such Defaulting Lender’s Domestic Commitment and, on such date, such Domestic Lender shall purchase at par such of the Loans and/or participations in the L/C Obligations of the other Domestic Lenders as the Administrative Agent shall determine may be necessary in order for such Domestic Lender to hold such Domestic Loans and participations in the L/C Obligations in accordance with its Domestic Percentage of the Domestic Commitments.</w:t>
      </w:r>
    </w:p>
    <w:p>
      <w:pPr>
        <w:spacing w:after="0" w:line="165"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Reallocation of Payments for the Account of Defaulting Lenders</w:t>
      </w:r>
      <w:r>
        <w:rPr>
          <w:rFonts w:ascii="Arial" w:cs="Arial" w:eastAsia="Arial" w:hAnsi="Arial"/>
          <w:sz w:val="16"/>
          <w:szCs w:val="16"/>
          <w:color w:val="auto"/>
        </w:rPr>
        <w:t xml:space="preserve">. Any payment of principal, interest, fees or other amounts received by the Administrative Agent or the Brazilian Administrative Agent, as applicable, for the account of any Defaulting Lender under any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 amounts owing by such Defaulting Lender to the Administrative Agent and the Brazilian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and the Brazilian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the Domestic Facility only,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such Defaulting Lender to each Issuing Lender hereunder (</w:t>
      </w:r>
      <w:r>
        <w:rPr>
          <w:rFonts w:ascii="Arial" w:cs="Arial" w:eastAsia="Arial" w:hAnsi="Arial"/>
          <w:sz w:val="16"/>
          <w:szCs w:val="16"/>
          <w:u w:val="single" w:color="auto"/>
          <w:color w:val="auto"/>
        </w:rPr>
        <w:t>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w:t>
      </w:r>
      <w:r>
        <w:rPr>
          <w:rFonts w:ascii="Arial" w:cs="Arial" w:eastAsia="Arial" w:hAnsi="Arial"/>
          <w:sz w:val="16"/>
          <w:szCs w:val="16"/>
          <w:color w:val="auto"/>
        </w:rPr>
        <w:t xml:space="preserve"> to the Issuing Lenders in accordance with the amounts owed by such Defaulting Lender to each Issuing Lender);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in the case of the Domestic Facility only, if so determined by the Administrative Agent or requested by the Company or an Issuing Lender, to be held as cash collateral for future funding obligations of such Defaulting Lender of any participation in any Letter of Credit;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under such Facility and, in the case of the Domestic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61" w:name="page262"/>
    <w:bookmarkEnd w:id="261"/>
    <w:p>
      <w:pPr>
        <w:ind w:right="20"/>
        <w:spacing w:after="0" w:line="269" w:lineRule="auto"/>
        <w:rPr>
          <w:sz w:val="20"/>
          <w:szCs w:val="20"/>
          <w:color w:val="auto"/>
        </w:rPr>
      </w:pPr>
      <w:r>
        <w:rPr>
          <w:rFonts w:ascii="Arial" w:cs="Arial" w:eastAsia="Arial" w:hAnsi="Arial"/>
          <w:sz w:val="17"/>
          <w:szCs w:val="17"/>
          <w:color w:val="auto"/>
        </w:rPr>
        <w:t xml:space="preserve">Reimbursement Obligations owed to, all non-Defaulting Lenders under such Facility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2.27 shall be deemed paid to and redirected by such Defaulting Lender, and each Lender under the applicable Facility irrevocably consents hereto.</w:t>
      </w:r>
    </w:p>
    <w:p>
      <w:pPr>
        <w:spacing w:after="0" w:line="176"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u w:val="single" w:color="auto"/>
          <w:color w:val="auto"/>
        </w:rPr>
        <w:t>New Local Facilities</w:t>
      </w:r>
      <w:r>
        <w:rPr>
          <w:rFonts w:ascii="Arial" w:cs="Arial" w:eastAsia="Arial" w:hAnsi="Arial"/>
          <w:sz w:val="16"/>
          <w:szCs w:val="16"/>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hereunder (each, a “</w:t>
      </w:r>
      <w:r>
        <w:rPr>
          <w:rFonts w:ascii="Arial" w:cs="Arial" w:eastAsia="Arial" w:hAnsi="Arial"/>
          <w:sz w:val="16"/>
          <w:szCs w:val="16"/>
          <w:u w:val="single" w:color="auto"/>
          <w:color w:val="auto"/>
        </w:rPr>
        <w:t>New Local Facility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both at the time of any such request and upon the effectiveness of any Local Facility Amendment referred to below, no Default or Event of Default shall have occurred and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Lender shall be required to make Extensions of Credit in excess of its Commitment then in effect, and (ii) after giving effect to any such New Local Facility, the Total Brazilian Extensions of Credit shall not exceed the Total Brazilian Commitments then in effect, the Total Domestic Extensions of Credit shall not exceed the Total Domestic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2.28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Arial" w:cs="Arial" w:eastAsia="Arial" w:hAnsi="Arial"/>
          <w:sz w:val="16"/>
          <w:szCs w:val="16"/>
          <w:u w:val="single" w:color="auto"/>
          <w:color w:val="auto"/>
        </w:rPr>
        <w:t>New Local</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Facility Lender</w:t>
      </w:r>
      <w:r>
        <w:rPr>
          <w:rFonts w:ascii="Arial" w:cs="Arial" w:eastAsia="Arial" w:hAnsi="Arial"/>
          <w:sz w:val="16"/>
          <w:szCs w:val="16"/>
          <w:color w:val="auto"/>
        </w:rPr>
        <w:t xml:space="preserve">”) shall have such portion of their Commitment under such Facility designated to such New Local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in accordance with the aggregate Commitments of the other New Local Facility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may so reallocate its Commitments to a New Local Facility if such reallocation would result in amounts being payable by the Company or any Subsidiary Borrower under Section 2.21 or 2.22 unless such Lender changes its Applicable Lending Office to avoid such a result or the Company otherwise consents. The designation of Commitments to any New Local Facility shall be made pursuant to an amendment (each, a “</w:t>
      </w:r>
      <w:r>
        <w:rPr>
          <w:rFonts w:ascii="Arial" w:cs="Arial" w:eastAsia="Arial" w:hAnsi="Arial"/>
          <w:sz w:val="16"/>
          <w:szCs w:val="16"/>
          <w:u w:val="single" w:color="auto"/>
          <w:color w:val="auto"/>
        </w:rPr>
        <w:t>Local Facility Amendment</w:t>
      </w:r>
      <w:r>
        <w:rPr>
          <w:rFonts w:ascii="Arial" w:cs="Arial" w:eastAsia="Arial" w:hAnsi="Arial"/>
          <w:sz w:val="16"/>
          <w:szCs w:val="16"/>
          <w:color w:val="auto"/>
        </w:rPr>
        <w:t>”) to this Agreement and, as appropriate, the other Loan Documents, executed by the Loan Parties, the Administrative Agent and each New Local Facility Lender. Notwithstanding anything in this Section 2.28 to the contrary, no Lender shall be obligated to transfer any portion of its Commitments to a New Local Facility unless it so agrees.</w:t>
      </w:r>
    </w:p>
    <w:p>
      <w:pPr>
        <w:spacing w:after="0" w:line="174" w:lineRule="exact"/>
        <w:rPr>
          <w:sz w:val="20"/>
          <w:szCs w:val="20"/>
          <w:color w:val="auto"/>
        </w:rPr>
      </w:pPr>
    </w:p>
    <w:p>
      <w:pPr>
        <w:ind w:right="200" w:firstLine="1072"/>
        <w:spacing w:after="0" w:line="300" w:lineRule="auto"/>
        <w:tabs>
          <w:tab w:leader="none" w:pos="180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a copy of which shall be made available to each Lender.</w:t>
      </w:r>
    </w:p>
    <w:p>
      <w:pPr>
        <w:spacing w:after="0" w:line="152" w:lineRule="exact"/>
        <w:rPr>
          <w:sz w:val="20"/>
          <w:szCs w:val="20"/>
          <w:color w:val="auto"/>
        </w:rPr>
      </w:pPr>
    </w:p>
    <w:p>
      <w:pPr>
        <w:ind w:right="20" w:firstLine="1063"/>
        <w:spacing w:after="0" w:line="291" w:lineRule="auto"/>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u w:val="single" w:color="auto"/>
          <w:color w:val="auto"/>
        </w:rPr>
        <w:t>Incremental Commitments/Facilities</w:t>
      </w:r>
      <w:r>
        <w:rPr>
          <w:rFonts w:ascii="Arial" w:cs="Arial" w:eastAsia="Arial" w:hAnsi="Arial"/>
          <w:sz w:val="16"/>
          <w:szCs w:val="16"/>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or establishing an Incremental Facility by executing and delivering to the Administrative Agent an Incremental Loan Activation Notice signed by such Lenders or such additional lenders and specifying (i)</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62" w:name="page263"/>
    <w:bookmarkEnd w:id="262"/>
    <w:p>
      <w:pPr>
        <w:spacing w:after="0"/>
        <w:rPr>
          <w:sz w:val="20"/>
          <w:szCs w:val="20"/>
          <w:color w:val="auto"/>
        </w:rPr>
      </w:pPr>
      <w:r>
        <w:rPr>
          <w:rFonts w:ascii="Arial" w:cs="Arial" w:eastAsia="Arial" w:hAnsi="Arial"/>
          <w:sz w:val="16"/>
          <w:szCs w:val="16"/>
          <w:color w:val="auto"/>
        </w:rPr>
        <w:t>the respective Incremental Commitments of such Incremental Lenders, (ii) the applicable Incremental Facility Closing Date or Commitment Increase Date, and</w:t>
      </w:r>
    </w:p>
    <w:p>
      <w:pPr>
        <w:spacing w:after="0" w:line="40" w:lineRule="exact"/>
        <w:rPr>
          <w:sz w:val="20"/>
          <w:szCs w:val="20"/>
          <w:color w:val="auto"/>
        </w:rPr>
      </w:pPr>
    </w:p>
    <w:p>
      <w:pPr>
        <w:ind w:firstLine="9"/>
        <w:spacing w:after="0" w:line="260" w:lineRule="auto"/>
        <w:tabs>
          <w:tab w:leader="none" w:pos="31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with respect to any Incremental Facility (A) the applicable Incremental Loan Maturity Date, (B) the Currency or Currencies available under such Incremental Facility, (C) the borrower(s) thereunder (which may be the Company and/or any Subsidiary Borrowers), (D) 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and the 3-Year Total Commitments then in effect (including, for the avoidance of doubt, any commitments under incremental facilities under the 3-Year Revolving Credit Agreement) shall not exceed $15.5 billion.</w:t>
      </w:r>
    </w:p>
    <w:p>
      <w:pPr>
        <w:spacing w:after="0" w:line="183" w:lineRule="exact"/>
        <w:rPr>
          <w:rFonts w:ascii="Arial" w:cs="Arial" w:eastAsia="Arial" w:hAnsi="Arial"/>
          <w:sz w:val="17"/>
          <w:szCs w:val="17"/>
          <w:color w:val="auto"/>
        </w:rPr>
      </w:pPr>
    </w:p>
    <w:p>
      <w:pPr>
        <w:ind w:right="80" w:firstLine="1072"/>
        <w:spacing w:after="0" w:line="265" w:lineRule="auto"/>
        <w:tabs>
          <w:tab w:leader="none" w:pos="1801" w:val="left"/>
        </w:tabs>
        <w:numPr>
          <w:ilvl w:val="1"/>
          <w:numId w:val="236"/>
        </w:numPr>
        <w:rPr>
          <w:rFonts w:ascii="Arial" w:cs="Arial" w:eastAsia="Arial" w:hAnsi="Arial"/>
          <w:sz w:val="17"/>
          <w:szCs w:val="17"/>
          <w:color w:val="auto"/>
        </w:rPr>
      </w:pPr>
      <w:r>
        <w:rPr>
          <w:rFonts w:ascii="Arial" w:cs="Arial" w:eastAsia="Arial" w:hAnsi="Arial"/>
          <w:sz w:val="17"/>
          <w:szCs w:val="17"/>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7"/>
          <w:szCs w:val="17"/>
          <w:u w:val="single" w:color="auto"/>
          <w:color w:val="auto"/>
        </w:rPr>
        <w:t>Incremental Loan</w:t>
      </w:r>
      <w:r>
        <w:rPr>
          <w:rFonts w:ascii="Arial" w:cs="Arial" w:eastAsia="Arial" w:hAnsi="Arial"/>
          <w:sz w:val="17"/>
          <w:szCs w:val="17"/>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2.29 shall be construed to obligate any Lender to execute an Incremental Loan Activation Notice.</w:t>
      </w:r>
    </w:p>
    <w:p>
      <w:pPr>
        <w:spacing w:after="0" w:line="177" w:lineRule="exact"/>
        <w:rPr>
          <w:rFonts w:ascii="Arial" w:cs="Arial" w:eastAsia="Arial" w:hAnsi="Arial"/>
          <w:sz w:val="17"/>
          <w:szCs w:val="17"/>
          <w:color w:val="auto"/>
        </w:rPr>
      </w:pPr>
    </w:p>
    <w:p>
      <w:pPr>
        <w:ind w:right="160" w:firstLine="1072"/>
        <w:spacing w:after="0" w:line="263" w:lineRule="auto"/>
        <w:tabs>
          <w:tab w:leader="none" w:pos="1791" w:val="left"/>
        </w:tabs>
        <w:numPr>
          <w:ilvl w:val="1"/>
          <w:numId w:val="236"/>
        </w:numPr>
        <w:rPr>
          <w:rFonts w:ascii="Arial" w:cs="Arial" w:eastAsia="Arial" w:hAnsi="Arial"/>
          <w:sz w:val="17"/>
          <w:szCs w:val="17"/>
          <w:color w:val="auto"/>
        </w:rPr>
      </w:pPr>
      <w:r>
        <w:rPr>
          <w:rFonts w:ascii="Arial" w:cs="Arial" w:eastAsia="Arial" w:hAnsi="Arial"/>
          <w:sz w:val="17"/>
          <w:szCs w:val="17"/>
          <w:color w:val="auto"/>
        </w:rPr>
        <w:t>On any Commitment Increase Date with respect to any Facility, in the event any Loans under such Facility are then outstanding, (i) each relevant Incremental Lender shall make available to the Administrative Agent (or the Brazilian Administrative Agent in the case of the Brazilian Facility) such amounts in immediately available funds as the Administrative Agent (or the Brazilian Administrative Agent in the case of the Brazilian Facility)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2.23 as a result of such prepayment.</w:t>
      </w:r>
    </w:p>
    <w:p>
      <w:pPr>
        <w:spacing w:after="0" w:line="180" w:lineRule="exact"/>
        <w:rPr>
          <w:sz w:val="20"/>
          <w:szCs w:val="20"/>
          <w:color w:val="auto"/>
        </w:rPr>
      </w:pPr>
    </w:p>
    <w:p>
      <w:pPr>
        <w:ind w:right="40" w:firstLine="1063"/>
        <w:spacing w:after="0" w:line="284"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u w:val="single" w:color="auto"/>
          <w:color w:val="auto"/>
        </w:rPr>
        <w:t>Termination Date Extension</w:t>
      </w:r>
      <w:r>
        <w:rPr>
          <w:rFonts w:ascii="Arial" w:cs="Arial" w:eastAsia="Arial" w:hAnsi="Arial"/>
          <w:sz w:val="16"/>
          <w:szCs w:val="16"/>
          <w:color w:val="auto"/>
        </w:rPr>
        <w:t>. (a) The Company may at any time and from time to time, by notice to the Administrative Agent and the Brazilian Administrative Agent, if applicable,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and the Brazilian Administrative Agent, if applicable,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the Termination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63" w:name="page264"/>
    <w:bookmarkEnd w:id="263"/>
    <w:p>
      <w:pPr>
        <w:spacing w:after="0" w:line="253" w:lineRule="auto"/>
        <w:rPr>
          <w:sz w:val="20"/>
          <w:szCs w:val="20"/>
          <w:color w:val="auto"/>
        </w:rPr>
      </w:pPr>
      <w:r>
        <w:rPr>
          <w:rFonts w:ascii="Arial" w:cs="Arial" w:eastAsia="Arial" w:hAnsi="Arial"/>
          <w:sz w:val="18"/>
          <w:szCs w:val="18"/>
          <w:color w:val="auto"/>
        </w:rPr>
        <w:t>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2.30(b).</w:t>
      </w:r>
    </w:p>
    <w:p>
      <w:pPr>
        <w:spacing w:after="0" w:line="187" w:lineRule="exact"/>
        <w:rPr>
          <w:sz w:val="20"/>
          <w:szCs w:val="20"/>
          <w:color w:val="auto"/>
        </w:rPr>
      </w:pPr>
    </w:p>
    <w:p>
      <w:pPr>
        <w:ind w:right="100" w:firstLine="1072"/>
        <w:spacing w:after="0" w:line="300" w:lineRule="auto"/>
        <w:tabs>
          <w:tab w:leader="none" w:pos="180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If any Lender does not consent to any extension request that becomes effective pursuant to Section 2.30(a) (each such Lender,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 then the Termination Date for such Non-Extending Lender shall remain unchanged from that applicable prior to the extension and the Commitments of each Non-Extending Lender and the existing Applicable Margins shall, subject to the terms of Section 2.19, continue in full force and effect.</w:t>
      </w:r>
    </w:p>
    <w:p>
      <w:pPr>
        <w:spacing w:after="0" w:line="151" w:lineRule="exact"/>
        <w:rPr>
          <w:rFonts w:ascii="Arial" w:cs="Arial" w:eastAsia="Arial" w:hAnsi="Arial"/>
          <w:sz w:val="16"/>
          <w:szCs w:val="16"/>
          <w:color w:val="auto"/>
        </w:rPr>
      </w:pPr>
    </w:p>
    <w:p>
      <w:pPr>
        <w:ind w:right="20" w:firstLine="1072"/>
        <w:spacing w:after="0" w:line="269" w:lineRule="auto"/>
        <w:tabs>
          <w:tab w:leader="none" w:pos="179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Notwithstanding the provisions of Section 10.1(a), the Company and the Administrative Agent and the Brazilian Administrative Agent, if applicable, (and the Extending Lenders) shall be entitled to enter into any amendments to this Agreement that the Administrative Agent and the Brazilian Administrative Agent, if applicable, believe are necessary or appropriate to reflect, or to provide for the integration of, any extension of the Termination Date or change in Applicable Margins pursuant to this Section 2.30 without the consent of any Non-Extending Lender.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LETTERS OF CREDIT</w:t>
      </w:r>
    </w:p>
    <w:p>
      <w:pPr>
        <w:spacing w:after="0" w:line="214" w:lineRule="exact"/>
        <w:rPr>
          <w:sz w:val="20"/>
          <w:szCs w:val="20"/>
          <w:color w:val="auto"/>
        </w:rPr>
      </w:pPr>
    </w:p>
    <w:p>
      <w:pPr>
        <w:ind w:firstLine="1063"/>
        <w:spacing w:after="0" w:line="26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L/C Commitment</w:t>
      </w:r>
      <w:r>
        <w:rPr>
          <w:rFonts w:ascii="Arial" w:cs="Arial" w:eastAsia="Arial" w:hAnsi="Arial"/>
          <w:sz w:val="17"/>
          <w:szCs w:val="17"/>
          <w:color w:val="auto"/>
        </w:rPr>
        <w:t>. (a) Subject to the terms and conditions hereof, each Issuing Lender, in reliance on the agreements of the Lenders set forth in Section 3.4(a), agrees to issue (or cause its Applicable Lending Office to issue) letters of credit and, with the consent of such Issuing Lender, letters of guarantee (each a “</w:t>
      </w:r>
      <w:r>
        <w:rPr>
          <w:rFonts w:ascii="Arial" w:cs="Arial" w:eastAsia="Arial" w:hAnsi="Arial"/>
          <w:sz w:val="17"/>
          <w:szCs w:val="17"/>
          <w:u w:val="single" w:color="auto"/>
          <w:color w:val="auto"/>
        </w:rPr>
        <w:t>Letter of Credit</w:t>
      </w:r>
      <w:r>
        <w:rPr>
          <w:rFonts w:ascii="Arial" w:cs="Arial" w:eastAsia="Arial" w:hAnsi="Arial"/>
          <w:sz w:val="17"/>
          <w:szCs w:val="17"/>
          <w:color w:val="auto"/>
        </w:rPr>
        <w:t>”) under the Domestic Facility for the account of a Loan Party or a Subsidiary of a Loan Party (the “</w:t>
      </w:r>
      <w:r>
        <w:rPr>
          <w:rFonts w:ascii="Arial" w:cs="Arial" w:eastAsia="Arial" w:hAnsi="Arial"/>
          <w:sz w:val="17"/>
          <w:szCs w:val="17"/>
          <w:u w:val="single" w:color="auto"/>
          <w:color w:val="auto"/>
        </w:rPr>
        <w:t>Applicable Account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xml:space="preserve">”) on any Business Day during the Commitment Period of such Issuing Lender in such form as may be reasonable and customary for the purpose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Applicable Account Party shall request, and no Issuing Lender shall be required to issue (or cause its Applicable Lending Office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(or any Applicable Lending Office thereof) would exceed such Issuing Lender’s L/C Commitment then in effect, (B) the Dollar Equivalent of the then Outstanding Amount of all Letters of Credit would exceed the L/C Sublimit then in effect, (C) the Total Consolidated GMF Exposure would exceed $2 billion or (D) the sum of (x) 105% of the Dollar Equivalent of Letters of Credit denominated in Optional Currencies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then Outstanding Amount of the Total Domestic Extensions of Credit other than Letters of Credit denominated in Optional Currencies would exceed the Total Domestic Commitments then in effect and (ii) the Company shall be jointly and severally liable with respect to each Letter of Credit issued for the account of an Applicable Account Party (other than the Company). Each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64" w:name="page265"/>
    <w:bookmarkEnd w:id="264"/>
    <w:p>
      <w:pPr>
        <w:ind w:right="40"/>
        <w:spacing w:after="0" w:line="263" w:lineRule="auto"/>
        <w:rPr>
          <w:sz w:val="20"/>
          <w:szCs w:val="20"/>
          <w:color w:val="auto"/>
        </w:rPr>
      </w:pPr>
      <w:r>
        <w:rPr>
          <w:rFonts w:ascii="Arial" w:cs="Arial" w:eastAsia="Arial" w:hAnsi="Arial"/>
          <w:sz w:val="17"/>
          <w:szCs w:val="17"/>
          <w:color w:val="auto"/>
        </w:rPr>
        <w:t xml:space="preserve">requested by the relevant Issuing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80" w:lineRule="exact"/>
        <w:rPr>
          <w:sz w:val="20"/>
          <w:szCs w:val="20"/>
          <w:color w:val="auto"/>
        </w:rPr>
      </w:pPr>
    </w:p>
    <w:p>
      <w:pPr>
        <w:jc w:val="both"/>
        <w:ind w:right="160" w:firstLine="1072"/>
        <w:spacing w:after="0" w:line="253" w:lineRule="auto"/>
        <w:tabs>
          <w:tab w:leader="none" w:pos="180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87"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Any Applicable Account Party, with (in the case of any such Applicable Account Party other than the Company) the written consent of the Company, may from time to time request that any Issuing Lender issue (or cause its Applicable Lending Office to issue) a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(or cause its Applicable Lending Office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(or cause its Applicable Lending Office to issue)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65" w:name="page266"/>
    <w:bookmarkEnd w:id="265"/>
    <w:p>
      <w:pPr>
        <w:ind w:firstLine="1063"/>
        <w:spacing w:after="0" w:line="27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Fees and Other Charges</w:t>
      </w:r>
      <w:r>
        <w:rPr>
          <w:rFonts w:ascii="Arial" w:cs="Arial" w:eastAsia="Arial" w:hAnsi="Arial"/>
          <w:sz w:val="16"/>
          <w:szCs w:val="16"/>
          <w:color w:val="auto"/>
        </w:rPr>
        <w:t>. The Company shall, or shall cause the Applicable Account Party to, pay a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on the average daily undrawn and unexpired amount of all outstanding Letters of Credit during each Fee Payment Period at a per annum rate equal to the Applicable Margin then in effect with respect to Eurocurrency Loans, shared ratably among the Domestic Lenders based on the Domestic Percentages of the Domestic Lenders during the relevant Fee Payment Period and payable in arrears for each Fee Payment Period on the related Fee Payment Date. In addition, the Company shall pay a fronting fee in an amount equal to 0.25% per annum on the average daily undrawn and unexpired amount of each Letter of Credit issued by such Issuing Lender, payable in arrears to the relevant Issuing Lender for each Fee Payment Period on the related Fee Payment Date. For the purposes of the foregoing calculations, the average daily undrawn and unexpired amount of any Letter of Credit denominated in an Optional Currency for any Fee Payment Period shall be calculated by multiplying (i) the average daily undrawn and unexpired amount of such Letter of Credit (expressed in the Optional Currency in which such Letter of Credit giving rise to such fee is denominated) by (ii) the Exchange Rate for each such Optional Currency in effect on the first Business Day of the related Fee Payment Period or by such other method that the Administrative Agent and the Company may agree. In addition to the foregoing fees, the Company shall pay or reimburse each Issuing Lender, for its own account such customary out-of-pocket costs and expenses as are incurred or charged by such Issuing Lender in issuing, negotiating, effecting payment under, amending or otherwise administering any Letter of Credit, to the extent that such costs and expenses have been mutually agreed upon between the Company and such Issuing Lender.</w:t>
      </w:r>
    </w:p>
    <w:p>
      <w:pPr>
        <w:spacing w:after="0" w:line="175"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L/C Participations</w:t>
      </w:r>
      <w:r>
        <w:rPr>
          <w:rFonts w:ascii="Arial" w:cs="Arial" w:eastAsia="Arial" w:hAnsi="Arial"/>
          <w:sz w:val="16"/>
          <w:szCs w:val="16"/>
          <w:color w:val="auto"/>
        </w:rPr>
        <w:t xml:space="preserve">.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Domestic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Domestic Percentage of the Dollar Equivalent of the amount of such draft or demand, or any part thereof, that is not so reimbursed (calculated, in the case of any Letter of Credit denominated in an Optional Currency, as of the Reimbursement Date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 L/C Participant be obligated to fund an amount that would cause such L/C Participant’s Total Domestic Extensions of Credit to exceed such L/C Participant’s Domestic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79" w:lineRule="exact"/>
        <w:rPr>
          <w:sz w:val="20"/>
          <w:szCs w:val="20"/>
          <w:color w:val="auto"/>
        </w:rPr>
      </w:pPr>
    </w:p>
    <w:p>
      <w:pPr>
        <w:ind w:right="160" w:firstLine="1072"/>
        <w:spacing w:after="0" w:line="253" w:lineRule="auto"/>
        <w:tabs>
          <w:tab w:leader="none" w:pos="180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66" w:name="page267"/>
    <w:bookmarkEnd w:id="266"/>
    <w:p>
      <w:pPr>
        <w:ind w:right="40"/>
        <w:spacing w:after="0" w:line="283" w:lineRule="auto"/>
        <w:rPr>
          <w:sz w:val="20"/>
          <w:szCs w:val="20"/>
          <w:color w:val="auto"/>
        </w:rPr>
      </w:pPr>
      <w:r>
        <w:rPr>
          <w:rFonts w:ascii="Arial" w:cs="Arial" w:eastAsia="Arial" w:hAnsi="Arial"/>
          <w:sz w:val="16"/>
          <w:szCs w:val="16"/>
          <w:color w:val="auto"/>
        </w:rPr>
        <w:t>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shall be conclusive in the absence of manifest error.</w:t>
      </w:r>
    </w:p>
    <w:p>
      <w:pPr>
        <w:spacing w:after="0" w:line="165" w:lineRule="exact"/>
        <w:rPr>
          <w:sz w:val="20"/>
          <w:szCs w:val="20"/>
          <w:color w:val="auto"/>
        </w:rPr>
      </w:pPr>
    </w:p>
    <w:p>
      <w:pPr>
        <w:ind w:right="40" w:firstLine="1072"/>
        <w:spacing w:after="0" w:line="265" w:lineRule="auto"/>
        <w:tabs>
          <w:tab w:leader="none" w:pos="179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Whenever, at any time after any Issuing Lender has made payment under any Letter of Credit and has received from any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78"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Reimbursement Obligation of the Company and the Applicable Account Party</w:t>
      </w:r>
      <w:r>
        <w:rPr>
          <w:rFonts w:ascii="Arial" w:cs="Arial" w:eastAsia="Arial" w:hAnsi="Arial"/>
          <w:sz w:val="16"/>
          <w:szCs w:val="16"/>
          <w:color w:val="auto"/>
        </w:rPr>
        <w:t>. If any draft or demand is paid under any Letter of Credit issued for the account of an Applicable Account Party, the Company or such Applicable Account Party, on a joint and several basis, shall reimburse the Issuing Lender for the amount of the draft or demand so paid, not later than 3:00 P.M., New York City time, on the second Business Day immediately following the day that the Company receives notice of payment of such draft or demand (or if notice of such payment is received after 10:00 A.M., New York City time, on a Business Day, on the third Business Day immediately following such date of receipt) (such date, the “</w:t>
      </w:r>
      <w:r>
        <w:rPr>
          <w:rFonts w:ascii="Arial" w:cs="Arial" w:eastAsia="Arial" w:hAnsi="Arial"/>
          <w:sz w:val="16"/>
          <w:szCs w:val="16"/>
          <w:u w:val="single" w:color="auto"/>
          <w:color w:val="auto"/>
        </w:rPr>
        <w:t>Reimbursement Date</w:t>
      </w:r>
      <w:r>
        <w:rPr>
          <w:rFonts w:ascii="Arial" w:cs="Arial" w:eastAsia="Arial" w:hAnsi="Arial"/>
          <w:sz w:val="16"/>
          <w:szCs w:val="16"/>
          <w:color w:val="auto"/>
        </w:rPr>
        <w:t xml:space="preserve">”). Each such payment shall be made to the relevant Issuing Lender in the currency in which such Letter of Credit is denominated and in immediately available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Letter of Credit denominated in an Optional Currency, if such payment, or obligation to make such payment, in an Optional Currency would subject the Administrative Agent, the relevant Issuing Lender or any Domestic Lender to any stamp duty, ad valorem charge or any similar Tax that would not be payable if such payment were paid or required to be paid in Dollars, the Company or such Applicable Account Party shall, at its option, (A) pay the amount of such Tax to the Administrative Agent, the relevant Issuing Lender or the relevant Domestic Lender or (B) pay the Dollar Equivalent of such draft or demand (calculated as of the Reimbursement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payment is not made on the applicable Reimbursement Date the obligation to pay such draft or demand shall be permanently converted into an obligation to pay the Dollar Equivalent amount of such draft or demand (calculated as of such Reimbursement Date). Interest shall be payable on any such amounts from the Reimbursement Date until payment in full at the rate set forth in Section 2.17(c). Notwithstanding any inconsistent provision of this Agreement, unless (x) the Company or such Applicable Account Party gives notice to the Administrative Agent that it has paid its Reimbursement Obligation by 2:00 P.M., New York City time, on the Reimbursement Date or notifies the Administrative Agent that it does not wish to have such Reimbursement Obligation paid with the proceeds of an ABR Loan by such time, or (y) the Administrative Agent has actual knowledge that the conditions precedent to an ABR Loan to be made on such Reimbursement Date which are contained in Section 5.2 have not been satisfied or waived, the Company or such Applicable Account Party shall be deemed to have requested that the Domestic Lenders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67" w:name="page268"/>
    <w:bookmarkEnd w:id="267"/>
    <w:p>
      <w:pPr>
        <w:spacing w:after="0" w:line="284" w:lineRule="auto"/>
        <w:rPr>
          <w:sz w:val="20"/>
          <w:szCs w:val="20"/>
          <w:color w:val="auto"/>
        </w:rPr>
      </w:pPr>
      <w:r>
        <w:rPr>
          <w:rFonts w:ascii="Arial" w:cs="Arial" w:eastAsia="Arial" w:hAnsi="Arial"/>
          <w:sz w:val="16"/>
          <w:szCs w:val="16"/>
          <w:color w:val="auto"/>
        </w:rPr>
        <w:t>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2.2,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Domestic Percentage of such ABR Loan to the relevant Reimbursement Obligation in lieu of funding such amount to the Administrative Agent.</w:t>
      </w:r>
    </w:p>
    <w:p>
      <w:pPr>
        <w:spacing w:after="0" w:line="167" w:lineRule="exact"/>
        <w:rPr>
          <w:sz w:val="20"/>
          <w:szCs w:val="20"/>
          <w:color w:val="auto"/>
        </w:rPr>
      </w:pPr>
    </w:p>
    <w:p>
      <w:pPr>
        <w:ind w:firstLine="1063"/>
        <w:spacing w:after="0" w:line="261"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80" w:lineRule="exact"/>
        <w:rPr>
          <w:sz w:val="20"/>
          <w:szCs w:val="20"/>
          <w:color w:val="auto"/>
        </w:rPr>
      </w:pPr>
    </w:p>
    <w:p>
      <w:pPr>
        <w:ind w:right="20" w:firstLine="1063"/>
        <w:spacing w:after="0" w:line="24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Letter of Credit Payments</w:t>
      </w:r>
      <w:r>
        <w:rPr>
          <w:rFonts w:ascii="Arial" w:cs="Arial" w:eastAsia="Arial" w:hAnsi="Arial"/>
          <w:sz w:val="18"/>
          <w:szCs w:val="18"/>
          <w:color w:val="auto"/>
        </w:rPr>
        <w:t>. If any draft or demand shall be presented for payment under any Letter of Credit, the relevant Issuing Lender shall promptly notify the Applicable Account Party and the Company of the date and amount thereof, and, upon the request of the Applicable Account Party or the Company to determine if material fraud is involved in connection with such draw or demand, promptly provide to the Company and the Applicable Account Party copies of all draw or demand documents presented to effect payment.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95" w:lineRule="exact"/>
        <w:rPr>
          <w:sz w:val="20"/>
          <w:szCs w:val="20"/>
          <w:color w:val="auto"/>
        </w:rPr>
      </w:pPr>
    </w:p>
    <w:p>
      <w:pPr>
        <w:ind w:right="220" w:firstLine="1063"/>
        <w:spacing w:after="0" w:line="29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Applications</w:t>
      </w:r>
      <w:r>
        <w:rPr>
          <w:rFonts w:ascii="Arial" w:cs="Arial" w:eastAsia="Arial" w:hAnsi="Arial"/>
          <w:sz w:val="17"/>
          <w:szCs w:val="17"/>
          <w:color w:val="auto"/>
        </w:rPr>
        <w:t>.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68" w:name="page269"/>
    <w:bookmarkEnd w:id="268"/>
    <w:p>
      <w:pPr>
        <w:ind w:right="20" w:firstLine="1063"/>
        <w:spacing w:after="0" w:line="280"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Collateralization</w:t>
      </w:r>
      <w:r>
        <w:rPr>
          <w:rFonts w:ascii="Arial" w:cs="Arial" w:eastAsia="Arial" w:hAnsi="Arial"/>
          <w:sz w:val="16"/>
          <w:szCs w:val="16"/>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72" w:lineRule="exact"/>
        <w:rPr>
          <w:sz w:val="20"/>
          <w:szCs w:val="20"/>
          <w:color w:val="auto"/>
        </w:rPr>
      </w:pPr>
    </w:p>
    <w:p>
      <w:pPr>
        <w:ind w:right="20" w:firstLine="1063"/>
        <w:spacing w:after="0" w:line="277"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New Issuing Lenders; L/C Commitments</w:t>
      </w:r>
      <w:r>
        <w:rPr>
          <w:rFonts w:ascii="Arial" w:cs="Arial" w:eastAsia="Arial" w:hAnsi="Arial"/>
          <w:sz w:val="16"/>
          <w:szCs w:val="16"/>
          <w:color w:val="auto"/>
        </w:rPr>
        <w:t>. (a)The Company may from time to time (i) decrease the L/C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Commitment of any existing Issuing Lender. If the Company shall decide to add a new Issuing Lender under this Agreement, then the Company may appoint from among the Domestic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Commitment shall become effective. Any decrease of an L/C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Domestic Lenders of the effectiveness of any replacement or addition of an Issuing Lender, or any changed L/C Commitment pursuant to this Section 3.10.</w:t>
      </w:r>
    </w:p>
    <w:p>
      <w:pPr>
        <w:spacing w:after="0" w:line="179" w:lineRule="exact"/>
        <w:rPr>
          <w:sz w:val="20"/>
          <w:szCs w:val="20"/>
          <w:color w:val="auto"/>
        </w:rPr>
      </w:pPr>
    </w:p>
    <w:p>
      <w:pPr>
        <w:ind w:right="460" w:firstLine="1072"/>
        <w:spacing w:after="0" w:line="263" w:lineRule="auto"/>
        <w:tabs>
          <w:tab w:leader="none" w:pos="180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Issuing Lender may, in its discretion, arrange for one or more Letters of Credit to be issued by an Applicable Lending Office thereof, in which case, such Applicable Lending Office shall be an “Issuing Lender” hereunder.</w:t>
      </w:r>
    </w:p>
    <w:p>
      <w:pPr>
        <w:spacing w:after="0" w:line="178" w:lineRule="exact"/>
        <w:rPr>
          <w:sz w:val="20"/>
          <w:szCs w:val="20"/>
          <w:color w:val="auto"/>
        </w:rPr>
      </w:pPr>
    </w:p>
    <w:p>
      <w:pPr>
        <w:ind w:firstLine="1063"/>
        <w:spacing w:after="0" w:line="250"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Conflicts</w:t>
      </w:r>
      <w:r>
        <w:rPr>
          <w:rFonts w:ascii="Arial" w:cs="Arial" w:eastAsia="Arial" w:hAnsi="Arial"/>
          <w:sz w:val="18"/>
          <w:szCs w:val="18"/>
          <w:color w:val="auto"/>
        </w:rPr>
        <w:t>. 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provided, that in the case of a Letter of Credit that is issued in a jurisdiction outside of the United States, such Letter of Credit shall be governed by, and shall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69" w:name="page270"/>
    <w:bookmarkEnd w:id="269"/>
    <w:p>
      <w:pPr>
        <w:ind w:right="60"/>
        <w:spacing w:after="0" w:line="250" w:lineRule="auto"/>
        <w:rPr>
          <w:sz w:val="20"/>
          <w:szCs w:val="20"/>
          <w:color w:val="auto"/>
        </w:rPr>
      </w:pPr>
      <w:r>
        <w:rPr>
          <w:rFonts w:ascii="Arial" w:cs="Arial" w:eastAsia="Arial" w:hAnsi="Arial"/>
          <w:sz w:val="18"/>
          <w:szCs w:val="18"/>
          <w:color w:val="auto"/>
        </w:rPr>
        <w:t>be construed in accordance with, the laws of a jurisdiction requested by the beneficiary and acceptable to the Issuing Lender and the Company and (ii) to the extent not prohibited by such laws,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190"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SECTION 4. REPRESENTATIONS AND WARRANTIES</w:t>
      </w:r>
    </w:p>
    <w:p>
      <w:pPr>
        <w:spacing w:after="0" w:line="214" w:lineRule="exact"/>
        <w:rPr>
          <w:sz w:val="20"/>
          <w:szCs w:val="20"/>
          <w:color w:val="auto"/>
        </w:rPr>
      </w:pPr>
    </w:p>
    <w:p>
      <w:pPr>
        <w:ind w:right="260" w:firstLine="1063"/>
        <w:spacing w:after="0" w:line="263" w:lineRule="auto"/>
        <w:rPr>
          <w:sz w:val="20"/>
          <w:szCs w:val="20"/>
          <w:color w:val="auto"/>
        </w:rPr>
      </w:pPr>
      <w:r>
        <w:rPr>
          <w:rFonts w:ascii="Arial" w:cs="Arial" w:eastAsia="Arial" w:hAnsi="Arial"/>
          <w:sz w:val="18"/>
          <w:szCs w:val="18"/>
          <w:color w:val="auto"/>
        </w:rPr>
        <w:t>To induce the Lenders to enter into this Agreement and to make the Loans and issue or participate in the Letters of Credit the Company hereby represents and warrants to each Lender that:</w:t>
      </w:r>
    </w:p>
    <w:p>
      <w:pPr>
        <w:spacing w:after="0" w:line="144" w:lineRule="exact"/>
        <w:rPr>
          <w:sz w:val="20"/>
          <w:szCs w:val="20"/>
          <w:color w:val="auto"/>
        </w:rPr>
      </w:pPr>
    </w:p>
    <w:p>
      <w:pPr>
        <w:ind w:firstLine="1063"/>
        <w:spacing w:after="0" w:line="26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Financial Condition</w:t>
      </w:r>
      <w:r>
        <w:rPr>
          <w:rFonts w:ascii="Arial" w:cs="Arial" w:eastAsia="Arial" w:hAnsi="Arial"/>
          <w:sz w:val="17"/>
          <w:szCs w:val="17"/>
          <w:color w:val="auto"/>
        </w:rPr>
        <w:t>. The consolidated financial statements of the Company included in its Annual Report on Form 10-K, for the twelve-month period ended December 31, 2013 (the “</w:t>
      </w:r>
      <w:r>
        <w:rPr>
          <w:rFonts w:ascii="Arial" w:cs="Arial" w:eastAsia="Arial" w:hAnsi="Arial"/>
          <w:sz w:val="17"/>
          <w:szCs w:val="17"/>
          <w:u w:val="single" w:color="auto"/>
          <w:color w:val="auto"/>
        </w:rPr>
        <w:t>2013 10-K</w:t>
      </w:r>
      <w:r>
        <w:rPr>
          <w:rFonts w:ascii="Arial" w:cs="Arial" w:eastAsia="Arial" w:hAnsi="Arial"/>
          <w:sz w:val="17"/>
          <w:szCs w:val="17"/>
          <w:color w:val="auto"/>
        </w:rPr>
        <w:t>”), in its Quarterly Report on Form 10-Q for the three-month period ended March 31, 2014 (the “</w:t>
      </w:r>
      <w:r>
        <w:rPr>
          <w:rFonts w:ascii="Arial" w:cs="Arial" w:eastAsia="Arial" w:hAnsi="Arial"/>
          <w:sz w:val="17"/>
          <w:szCs w:val="17"/>
          <w:u w:val="single" w:color="auto"/>
          <w:color w:val="auto"/>
        </w:rPr>
        <w:t>First Quarter 2014 10-Q</w:t>
      </w:r>
      <w:r>
        <w:rPr>
          <w:rFonts w:ascii="Arial" w:cs="Arial" w:eastAsia="Arial" w:hAnsi="Arial"/>
          <w:sz w:val="17"/>
          <w:szCs w:val="17"/>
          <w:color w:val="auto"/>
        </w:rPr>
        <w:t>”) and in its Quarterly Report on Form 10-Q for the three-month period ended June 30, 2014 (the “</w:t>
      </w:r>
      <w:r>
        <w:rPr>
          <w:rFonts w:ascii="Arial" w:cs="Arial" w:eastAsia="Arial" w:hAnsi="Arial"/>
          <w:sz w:val="17"/>
          <w:szCs w:val="17"/>
          <w:u w:val="single" w:color="auto"/>
          <w:color w:val="auto"/>
        </w:rPr>
        <w:t>Second Quarter 2014 10-Q</w:t>
      </w:r>
      <w:r>
        <w:rPr>
          <w:rFonts w:ascii="Arial" w:cs="Arial" w:eastAsia="Arial" w:hAnsi="Arial"/>
          <w:sz w:val="17"/>
          <w:szCs w:val="17"/>
          <w:color w:val="auto"/>
        </w:rPr>
        <w:t xml:space="preserve">”), each as most recently updated or amended on or before the Closing Date and filed with the SEC, present fairly, in all material respects, in accordance with GAAP, the financial condition and results of operations of the Company and its Subsidiaries as of, and for, (a) the twelve-month period ended on December 31, 2013, (b) the three-month period ended March 31, 2014 and (c) the three-month period ended June 30, 2014,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could reasonably be expected to have a Material Adverse Effect.</w:t>
      </w:r>
    </w:p>
    <w:p>
      <w:pPr>
        <w:spacing w:after="0" w:line="184" w:lineRule="exact"/>
        <w:rPr>
          <w:sz w:val="20"/>
          <w:szCs w:val="20"/>
          <w:color w:val="auto"/>
        </w:rPr>
      </w:pPr>
    </w:p>
    <w:p>
      <w:pPr>
        <w:ind w:right="300" w:firstLine="1063"/>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Second Quarter 2014 10-Q and the Closing Date, there has been no development or event which has had a Material Adverse Effect.</w:t>
      </w:r>
    </w:p>
    <w:p>
      <w:pPr>
        <w:spacing w:after="0" w:line="178" w:lineRule="exact"/>
        <w:rPr>
          <w:sz w:val="20"/>
          <w:szCs w:val="20"/>
          <w:color w:val="auto"/>
        </w:rPr>
      </w:pPr>
    </w:p>
    <w:p>
      <w:pPr>
        <w:ind w:firstLine="1063"/>
        <w:spacing w:after="0" w:line="250"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w:t>
      </w:r>
      <w:r>
        <w:rPr>
          <w:rFonts w:ascii="Arial" w:cs="Arial" w:eastAsia="Arial" w:hAnsi="Arial"/>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could not, in the aggregate, reasonably be expected to have a Material Adverse Effect.</w:t>
      </w:r>
    </w:p>
    <w:p>
      <w:pPr>
        <w:spacing w:after="0" w:line="190" w:lineRule="exact"/>
        <w:rPr>
          <w:sz w:val="20"/>
          <w:szCs w:val="20"/>
          <w:color w:val="auto"/>
        </w:rPr>
      </w:pPr>
    </w:p>
    <w:p>
      <w:pPr>
        <w:ind w:right="240" w:firstLine="1063"/>
        <w:spacing w:after="0" w:line="28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7" w:lineRule="exact"/>
        <w:rPr>
          <w:sz w:val="20"/>
          <w:szCs w:val="20"/>
          <w:color w:val="auto"/>
        </w:rPr>
      </w:pPr>
    </w:p>
    <w:p>
      <w:pPr>
        <w:ind w:right="220" w:firstLine="1063"/>
        <w:spacing w:after="0" w:line="26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of this Agreement and the other Loan Documents by each Loan Party that is party to such documents, the issuance of Letters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70" w:name="page271"/>
    <w:bookmarkEnd w:id="270"/>
    <w:p>
      <w:pPr>
        <w:spacing w:after="0" w:line="253" w:lineRule="auto"/>
        <w:rPr>
          <w:sz w:val="20"/>
          <w:szCs w:val="20"/>
          <w:color w:val="auto"/>
        </w:rPr>
      </w:pPr>
      <w:r>
        <w:rPr>
          <w:rFonts w:ascii="Arial" w:cs="Arial" w:eastAsia="Arial" w:hAnsi="Arial"/>
          <w:sz w:val="18"/>
          <w:szCs w:val="18"/>
          <w:color w:val="auto"/>
        </w:rPr>
        <w:t>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could not, in the aggregate, reasonably be expected to have a Material Adverse Effect.</w:t>
      </w:r>
    </w:p>
    <w:p>
      <w:pPr>
        <w:spacing w:after="0" w:line="187" w:lineRule="exact"/>
        <w:rPr>
          <w:sz w:val="20"/>
          <w:szCs w:val="20"/>
          <w:color w:val="auto"/>
        </w:rPr>
      </w:pPr>
    </w:p>
    <w:p>
      <w:pPr>
        <w:ind w:right="60" w:firstLine="1063"/>
        <w:spacing w:after="0" w:line="250"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4.6 and except as set forth in the 2013 10-K, the First Quarter 2014 10-Q, the Second Quarter 2014 10-Q or on any Current Report on Form 8-K of the Company filed with the SEC prior to the Closing Date, no litigation, investigation, proceeding or arbitration is pending, or to the best of the Company’s knowledge, is threatened against the Company or any Loan Party as of the Closing Date that could reasonably be expected to have a Material Adverse Effect.</w:t>
      </w:r>
    </w:p>
    <w:p>
      <w:pPr>
        <w:spacing w:after="0" w:line="190"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As of the Closing Date no Default or Event of Default has occurred and is continuing.</w:t>
      </w:r>
    </w:p>
    <w:p>
      <w:pPr>
        <w:spacing w:after="0" w:line="214" w:lineRule="exact"/>
        <w:rPr>
          <w:sz w:val="20"/>
          <w:szCs w:val="20"/>
          <w:color w:val="auto"/>
        </w:rPr>
      </w:pPr>
    </w:p>
    <w:p>
      <w:pPr>
        <w:ind w:right="20" w:firstLine="1063"/>
        <w:spacing w:after="0" w:line="263"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Ownership of Property</w:t>
      </w:r>
      <w:r>
        <w:rPr>
          <w:rFonts w:ascii="Arial" w:cs="Arial" w:eastAsia="Arial" w:hAnsi="Arial"/>
          <w:sz w:val="17"/>
          <w:szCs w:val="17"/>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could not reasonably be expected to detract from the current use or operation of the affected real or personal property in any material respect.</w:t>
      </w:r>
    </w:p>
    <w:p>
      <w:pPr>
        <w:spacing w:after="0" w:line="180" w:lineRule="exact"/>
        <w:rPr>
          <w:sz w:val="20"/>
          <w:szCs w:val="20"/>
          <w:color w:val="auto"/>
        </w:rPr>
      </w:pPr>
    </w:p>
    <w:p>
      <w:pPr>
        <w:jc w:val="both"/>
        <w:ind w:right="300" w:firstLine="1063"/>
        <w:spacing w:after="0" w:line="275"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could not reasonably be expected to have a Material Adverse Effect.</w:t>
      </w:r>
    </w:p>
    <w:p>
      <w:pPr>
        <w:spacing w:after="0" w:line="170" w:lineRule="exact"/>
        <w:rPr>
          <w:sz w:val="20"/>
          <w:szCs w:val="20"/>
          <w:color w:val="auto"/>
        </w:rPr>
      </w:pPr>
    </w:p>
    <w:p>
      <w:pPr>
        <w:ind w:right="100" w:firstLine="1063"/>
        <w:spacing w:after="0" w:line="263"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for any purpose that violates the provisions of Regulation T, U or X of the Board.</w:t>
      </w:r>
    </w:p>
    <w:p>
      <w:pPr>
        <w:spacing w:after="0" w:line="178" w:lineRule="exact"/>
        <w:rPr>
          <w:sz w:val="20"/>
          <w:szCs w:val="20"/>
          <w:color w:val="auto"/>
        </w:rPr>
      </w:pPr>
    </w:p>
    <w:p>
      <w:pPr>
        <w:ind w:left="1080"/>
        <w:spacing w:after="0"/>
        <w:tabs>
          <w:tab w:leader="none" w:pos="18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No ERISA Default has occurred and is continuing.</w:t>
      </w:r>
    </w:p>
    <w:p>
      <w:pPr>
        <w:spacing w:after="0" w:line="214" w:lineRule="exact"/>
        <w:rPr>
          <w:sz w:val="20"/>
          <w:szCs w:val="20"/>
          <w:color w:val="auto"/>
        </w:rPr>
      </w:pPr>
    </w:p>
    <w:p>
      <w:pPr>
        <w:ind w:right="360" w:firstLine="1063"/>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8" w:lineRule="exact"/>
        <w:rPr>
          <w:sz w:val="20"/>
          <w:szCs w:val="20"/>
          <w:color w:val="auto"/>
        </w:rPr>
      </w:pPr>
    </w:p>
    <w:p>
      <w:pPr>
        <w:ind w:right="440" w:firstLine="1063"/>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Subsidiary Borrowers</w:t>
      </w:r>
      <w:r>
        <w:rPr>
          <w:rFonts w:ascii="Arial" w:cs="Arial" w:eastAsia="Arial" w:hAnsi="Arial"/>
          <w:sz w:val="18"/>
          <w:szCs w:val="18"/>
          <w:color w:val="auto"/>
        </w:rPr>
        <w:t>. As of the Closing Date, each Subsidiary Borrower is a direct or indirect wholly-owned Subsidiary of the Company.</w:t>
      </w:r>
    </w:p>
    <w:p>
      <w:pPr>
        <w:spacing w:after="0" w:line="178" w:lineRule="exact"/>
        <w:rPr>
          <w:sz w:val="20"/>
          <w:szCs w:val="20"/>
          <w:color w:val="auto"/>
        </w:rPr>
      </w:pPr>
    </w:p>
    <w:p>
      <w:pPr>
        <w:ind w:left="1080"/>
        <w:spacing w:after="0"/>
        <w:tabs>
          <w:tab w:leader="none" w:pos="19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00"/>
          </w:cols>
          <w:pgMar w:left="220" w:top="134" w:right="279" w:bottom="1440" w:gutter="0" w:footer="0" w:header="0"/>
        </w:sectPr>
      </w:pPr>
    </w:p>
    <w:bookmarkStart w:id="271" w:name="page272"/>
    <w:bookmarkEnd w:id="271"/>
    <w:p>
      <w:pPr>
        <w:ind w:right="260" w:firstLine="1063"/>
        <w:spacing w:after="0" w:line="253"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87" w:lineRule="exact"/>
        <w:rPr>
          <w:sz w:val="20"/>
          <w:szCs w:val="20"/>
          <w:color w:val="auto"/>
        </w:rPr>
      </w:pPr>
    </w:p>
    <w:p>
      <w:pPr>
        <w:ind w:right="80" w:firstLine="1063"/>
        <w:spacing w:after="0" w:line="278"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or the U.S. Department of State or the European Union (collectively, the “</w:t>
      </w:r>
      <w:r>
        <w:rPr>
          <w:rFonts w:ascii="Arial" w:cs="Arial" w:eastAsia="Arial" w:hAnsi="Arial"/>
          <w:sz w:val="16"/>
          <w:szCs w:val="16"/>
          <w:u w:val="single" w:color="auto"/>
          <w:color w:val="auto"/>
        </w:rPr>
        <w:t>Sanctions Lists</w:t>
      </w:r>
      <w:r>
        <w:rPr>
          <w:rFonts w:ascii="Arial" w:cs="Arial" w:eastAsia="Arial" w:hAnsi="Arial"/>
          <w:sz w:val="16"/>
          <w:szCs w:val="16"/>
          <w:color w:val="auto"/>
        </w:rPr>
        <w:t>”). Neither the Company nor any of its Subsidiaries has a physical place of business, or is organized or resident, in (a) Cuba, Iran, North Korea, Sudan, or Syria or (b) in any other Sanctioned Country in violation of U.S. law. The Company and its 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that is the subject or target of comprehensive territorial sanctions administered by OFAC, the U.S. Department of Treasury or the U.S. Department of State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except in the case of (x) or (y), to the extent licensed or otherwise authorized under U.S. law or (in the case of clause (x)) such other applicable law, as the case may be. Notwithstanding the foregoing, if any country, including Cuba, Iran, North Korea, Sudan or Syria, shall no longer be the subject of comprehensive territorial sanctions administered by OFAC, then it shall not be considered a Sanctioned Country for purposes hereof and the provisions of this Section 4.16 shall no longer apply with respect to that country.</w:t>
      </w:r>
    </w:p>
    <w:p>
      <w:pPr>
        <w:spacing w:after="0" w:line="17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SECTION 5. CONDITIONS PRECEDENT</w:t>
      </w:r>
    </w:p>
    <w:p>
      <w:pPr>
        <w:spacing w:after="0" w:line="214" w:lineRule="exact"/>
        <w:rPr>
          <w:sz w:val="20"/>
          <w:szCs w:val="20"/>
          <w:color w:val="auto"/>
        </w:rPr>
      </w:pPr>
    </w:p>
    <w:p>
      <w:pPr>
        <w:ind w:right="20" w:firstLine="1063"/>
        <w:spacing w:after="0" w:line="24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Closing Date</w:t>
      </w:r>
      <w:r>
        <w:rPr>
          <w:rFonts w:ascii="Arial" w:cs="Arial" w:eastAsia="Arial" w:hAnsi="Arial"/>
          <w:sz w:val="18"/>
          <w:szCs w:val="18"/>
          <w:color w:val="auto"/>
        </w:rPr>
        <w:t>. This Agreement and the obligation of each Lender to make extensions of credit requested to be made by it hereunder shall be effective upon (1) the execution and delivery of this Agreement by each of the Administrative Agent, the Brazilian Administrative Agent, the Syndication Agent, the Co-Syndication Agent, the Company, each other Borrower, GM Holdings,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193" w:lineRule="exact"/>
        <w:rPr>
          <w:sz w:val="20"/>
          <w:szCs w:val="20"/>
          <w:color w:val="auto"/>
        </w:rPr>
      </w:pPr>
    </w:p>
    <w:p>
      <w:pPr>
        <w:ind w:right="360" w:firstLine="1072"/>
        <w:spacing w:after="0" w:line="263" w:lineRule="auto"/>
        <w:tabs>
          <w:tab w:leader="none" w:pos="179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Other Loan Documents</w:t>
      </w:r>
      <w:r>
        <w:rPr>
          <w:rFonts w:ascii="Arial" w:cs="Arial" w:eastAsia="Arial" w:hAnsi="Arial"/>
          <w:sz w:val="18"/>
          <w:szCs w:val="18"/>
          <w:color w:val="auto"/>
        </w:rPr>
        <w:t>. (x) The Company shall have executed and delivered the Guarantee and (y) each Brazilian Bank Certificate shall have been executed and delivered by GMB and/or the relevant Brazilian Subsidiary, as applicable.</w:t>
      </w:r>
    </w:p>
    <w:p>
      <w:pPr>
        <w:spacing w:after="0" w:line="177" w:lineRule="exact"/>
        <w:rPr>
          <w:rFonts w:ascii="Arial" w:cs="Arial" w:eastAsia="Arial" w:hAnsi="Arial"/>
          <w:sz w:val="18"/>
          <w:szCs w:val="18"/>
          <w:color w:val="auto"/>
        </w:rPr>
      </w:pPr>
    </w:p>
    <w:p>
      <w:pPr>
        <w:ind w:left="1800" w:hanging="728"/>
        <w:spacing w:after="0"/>
        <w:tabs>
          <w:tab w:leader="none" w:pos="18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right="320" w:firstLine="1072"/>
        <w:spacing w:after="0" w:line="407" w:lineRule="auto"/>
        <w:tabs>
          <w:tab w:leader="none" w:pos="1791" w:val="left"/>
        </w:tabs>
        <w:numPr>
          <w:ilvl w:val="0"/>
          <w:numId w:val="242"/>
        </w:numPr>
        <w:rPr>
          <w:rFonts w:ascii="Arial" w:cs="Arial" w:eastAsia="Arial" w:hAnsi="Arial"/>
          <w:sz w:val="14"/>
          <w:szCs w:val="14"/>
          <w:color w:val="auto"/>
        </w:rPr>
      </w:pPr>
      <w:r>
        <w:rPr>
          <w:rFonts w:ascii="Arial" w:cs="Arial" w:eastAsia="Arial" w:hAnsi="Arial"/>
          <w:sz w:val="14"/>
          <w:szCs w:val="14"/>
          <w:u w:val="single" w:color="auto"/>
          <w:color w:val="auto"/>
        </w:rPr>
        <w:t>Fees</w:t>
      </w:r>
      <w:r>
        <w:rPr>
          <w:rFonts w:ascii="Arial" w:cs="Arial" w:eastAsia="Arial" w:hAnsi="Arial"/>
          <w:sz w:val="14"/>
          <w:szCs w:val="14"/>
          <w:color w:val="auto"/>
        </w:rPr>
        <w:t>. The Lenders, the Administrative Agent, the Brazilian Administrative Agent and the Arrangers shall have received all fees and out-of-pocket expenses required to be paid hereunder and (with respect to such expenses) invoiced at least three (3) Business Days prior to the Closing Date.</w:t>
      </w:r>
    </w:p>
    <w:p>
      <w:pPr>
        <w:spacing w:after="0" w:line="85" w:lineRule="exact"/>
        <w:rPr>
          <w:rFonts w:ascii="Arial" w:cs="Arial" w:eastAsia="Arial" w:hAnsi="Arial"/>
          <w:sz w:val="14"/>
          <w:szCs w:val="14"/>
          <w:color w:val="auto"/>
        </w:rPr>
      </w:pPr>
    </w:p>
    <w:p>
      <w:pPr>
        <w:ind w:firstLine="1072"/>
        <w:spacing w:after="0" w:line="293" w:lineRule="auto"/>
        <w:tabs>
          <w:tab w:leader="none" w:pos="1801"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Closing Certificate; Certified Certificate of Incorporation; Good Standing Certificates</w:t>
      </w:r>
      <w:r>
        <w:rPr>
          <w:rFonts w:ascii="Arial" w:cs="Arial" w:eastAsia="Arial" w:hAnsi="Arial"/>
          <w:sz w:val="17"/>
          <w:szCs w:val="17"/>
          <w:color w:val="auto"/>
        </w:rPr>
        <w:t>. The Administrative Agent shall have received (i) a certificate of each Loan Party (or a certificate of the Loan Parties), dated the Closing Date, substantially in the form of Exhibit H, with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72" w:name="page273"/>
    <w:bookmarkEnd w:id="272"/>
    <w:p>
      <w:pPr>
        <w:ind w:right="100"/>
        <w:spacing w:after="0" w:line="269" w:lineRule="auto"/>
        <w:rPr>
          <w:sz w:val="20"/>
          <w:szCs w:val="20"/>
          <w:color w:val="auto"/>
        </w:rPr>
      </w:pPr>
      <w:r>
        <w:rPr>
          <w:rFonts w:ascii="Arial" w:cs="Arial" w:eastAsia="Arial" w:hAnsi="Arial"/>
          <w:sz w:val="17"/>
          <w:szCs w:val="17"/>
          <w:color w:val="auto"/>
        </w:rPr>
        <w:t>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76" w:lineRule="exact"/>
        <w:rPr>
          <w:sz w:val="20"/>
          <w:szCs w:val="20"/>
          <w:color w:val="auto"/>
        </w:rPr>
      </w:pPr>
    </w:p>
    <w:p>
      <w:pPr>
        <w:ind w:left="1800" w:hanging="728"/>
        <w:spacing w:after="0"/>
        <w:tabs>
          <w:tab w:leader="none" w:pos="1800"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shall have received the executed legal opinion of (i) in house counsel to the Loan Parties,</w:t>
      </w:r>
    </w:p>
    <w:p>
      <w:pPr>
        <w:spacing w:after="0" w:line="39" w:lineRule="exact"/>
        <w:rPr>
          <w:rFonts w:ascii="Arial" w:cs="Arial" w:eastAsia="Arial" w:hAnsi="Arial"/>
          <w:sz w:val="16"/>
          <w:szCs w:val="16"/>
          <w:color w:val="auto"/>
        </w:rPr>
      </w:pPr>
    </w:p>
    <w:p>
      <w:pPr>
        <w:ind w:right="140" w:firstLine="9"/>
        <w:spacing w:after="0" w:line="247" w:lineRule="auto"/>
        <w:tabs>
          <w:tab w:leader="none" w:pos="26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Demarest Advogados, special Brazil counsel to the Brazilian Administrative Agent and (iii) Weil Gotshal &amp; Manges LLP, counsel to the Loan Parties, each in form and substance reasonably acceptable to the Administrative Agent.</w:t>
      </w:r>
    </w:p>
    <w:p>
      <w:pPr>
        <w:spacing w:after="0" w:line="191" w:lineRule="exact"/>
        <w:rPr>
          <w:rFonts w:ascii="Arial" w:cs="Arial" w:eastAsia="Arial" w:hAnsi="Arial"/>
          <w:sz w:val="18"/>
          <w:szCs w:val="18"/>
          <w:color w:val="auto"/>
        </w:rPr>
      </w:pPr>
    </w:p>
    <w:p>
      <w:pPr>
        <w:ind w:right="60" w:firstLine="1072"/>
        <w:spacing w:after="0" w:line="291" w:lineRule="auto"/>
        <w:tabs>
          <w:tab w:leader="none" w:pos="1772"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t>Existing Five-Year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Five Year Credit Agreement that are not Lenders hereunder shall have been terminated (and the Commitments of all continuing Lenders shall be as set forth on Schedule 1.1(A)) and all accrued interest and fees under the Existing Five Year Credit Agreement shall have been paid, or arrangements satisfactory to the Administrative Agent in respect thereof shall have been made.</w:t>
      </w:r>
    </w:p>
    <w:p>
      <w:pPr>
        <w:spacing w:after="0" w:line="159" w:lineRule="exact"/>
        <w:rPr>
          <w:rFonts w:ascii="Arial" w:cs="Arial" w:eastAsia="Arial" w:hAnsi="Arial"/>
          <w:sz w:val="16"/>
          <w:szCs w:val="16"/>
          <w:color w:val="auto"/>
        </w:rPr>
      </w:pPr>
    </w:p>
    <w:p>
      <w:pPr>
        <w:ind w:right="280" w:firstLine="1072"/>
        <w:spacing w:after="0" w:line="263" w:lineRule="auto"/>
        <w:tabs>
          <w:tab w:leader="none" w:pos="1801"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Termination of Liens</w:t>
      </w:r>
      <w:r>
        <w:rPr>
          <w:rFonts w:ascii="Arial" w:cs="Arial" w:eastAsia="Arial" w:hAnsi="Arial"/>
          <w:sz w:val="18"/>
          <w:szCs w:val="18"/>
          <w:color w:val="auto"/>
        </w:rPr>
        <w:t>. The Administrative Agent shall have received reasonably satisfactory evidence of the termination of all Liens securing any Existing Secured Obligations.</w:t>
      </w:r>
    </w:p>
    <w:p>
      <w:pPr>
        <w:spacing w:after="0" w:line="177" w:lineRule="exact"/>
        <w:rPr>
          <w:rFonts w:ascii="Arial" w:cs="Arial" w:eastAsia="Arial" w:hAnsi="Arial"/>
          <w:sz w:val="18"/>
          <w:szCs w:val="18"/>
          <w:color w:val="auto"/>
        </w:rPr>
      </w:pPr>
    </w:p>
    <w:p>
      <w:pPr>
        <w:ind w:right="40" w:firstLine="1072"/>
        <w:spacing w:after="0" w:line="253" w:lineRule="auto"/>
        <w:tabs>
          <w:tab w:leader="none" w:pos="1801"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The Administrative Agent shall have received all documentation and other information reasonably requested by the Administrative Agent or any Lender who is not a lender under the Existing Five Year Credit Agreement under applicable “know your customer” and anti-money laundering rules and regulations, including the USA Patriot Act.</w:t>
      </w:r>
    </w:p>
    <w:p>
      <w:pPr>
        <w:spacing w:after="0" w:line="187" w:lineRule="exact"/>
        <w:rPr>
          <w:sz w:val="20"/>
          <w:szCs w:val="20"/>
          <w:color w:val="auto"/>
        </w:rPr>
      </w:pPr>
    </w:p>
    <w:p>
      <w:pPr>
        <w:ind w:firstLine="1063"/>
        <w:spacing w:after="0" w:line="24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95" w:lineRule="exact"/>
        <w:rPr>
          <w:sz w:val="20"/>
          <w:szCs w:val="20"/>
          <w:color w:val="auto"/>
        </w:rPr>
      </w:pPr>
    </w:p>
    <w:p>
      <w:pPr>
        <w:ind w:right="260" w:firstLine="1072"/>
        <w:spacing w:after="0" w:line="269" w:lineRule="auto"/>
        <w:tabs>
          <w:tab w:leader="none" w:pos="1791"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75" w:lineRule="exact"/>
        <w:rPr>
          <w:rFonts w:ascii="Arial" w:cs="Arial" w:eastAsia="Arial" w:hAnsi="Arial"/>
          <w:sz w:val="17"/>
          <w:szCs w:val="17"/>
          <w:color w:val="auto"/>
        </w:rPr>
      </w:pPr>
    </w:p>
    <w:p>
      <w:pPr>
        <w:ind w:right="100" w:firstLine="1072"/>
        <w:spacing w:after="0" w:line="263" w:lineRule="auto"/>
        <w:tabs>
          <w:tab w:leader="none" w:pos="1801"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77" w:lineRule="exact"/>
        <w:rPr>
          <w:rFonts w:ascii="Arial" w:cs="Arial" w:eastAsia="Arial" w:hAnsi="Arial"/>
          <w:sz w:val="18"/>
          <w:szCs w:val="18"/>
          <w:color w:val="auto"/>
        </w:rPr>
      </w:pPr>
    </w:p>
    <w:p>
      <w:pPr>
        <w:ind w:left="1800" w:hanging="728"/>
        <w:spacing w:after="0"/>
        <w:tabs>
          <w:tab w:leader="none" w:pos="180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73" w:name="page274"/>
    <w:bookmarkEnd w:id="273"/>
    <w:p>
      <w:pPr>
        <w:ind w:firstLine="1072"/>
        <w:spacing w:after="0" w:line="263" w:lineRule="auto"/>
        <w:tabs>
          <w:tab w:leader="none" w:pos="1801"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No Subsidiary Borrower Bankruptcy Events</w:t>
      </w:r>
      <w:r>
        <w:rPr>
          <w:rFonts w:ascii="Arial" w:cs="Arial" w:eastAsia="Arial" w:hAnsi="Arial"/>
          <w:sz w:val="17"/>
          <w:szCs w:val="17"/>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80" w:lineRule="exact"/>
        <w:rPr>
          <w:sz w:val="20"/>
          <w:szCs w:val="20"/>
          <w:color w:val="auto"/>
        </w:rPr>
      </w:pPr>
    </w:p>
    <w:p>
      <w:pPr>
        <w:ind w:right="20" w:firstLine="1063"/>
        <w:spacing w:after="0" w:line="250" w:lineRule="auto"/>
        <w:rPr>
          <w:sz w:val="20"/>
          <w:szCs w:val="20"/>
          <w:color w:val="auto"/>
        </w:rPr>
      </w:pPr>
      <w:r>
        <w:rPr>
          <w:rFonts w:ascii="Arial" w:cs="Arial" w:eastAsia="Arial" w:hAnsi="Arial"/>
          <w:sz w:val="18"/>
          <w:szCs w:val="18"/>
          <w:color w:val="auto"/>
        </w:rPr>
        <w:t>Each borrowing, or issuance of a Letter of Credit (or amendment thereof which increases the face amount thereof) hereunder (including, for the avoidance of doubt, any borrowing of Brazilian Loans pursuant to any Brazilian Bank Certificate)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5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SECTION 6. AFFIRMATIVE COVENANTS</w:t>
      </w:r>
    </w:p>
    <w:p>
      <w:pPr>
        <w:spacing w:after="0" w:line="214" w:lineRule="exact"/>
        <w:rPr>
          <w:sz w:val="20"/>
          <w:szCs w:val="20"/>
          <w:color w:val="auto"/>
        </w:rPr>
      </w:pPr>
    </w:p>
    <w:p>
      <w:pPr>
        <w:ind w:right="720" w:firstLine="1063"/>
        <w:spacing w:after="0" w:line="293" w:lineRule="auto"/>
        <w:rPr>
          <w:sz w:val="20"/>
          <w:szCs w:val="20"/>
          <w:color w:val="auto"/>
        </w:rPr>
      </w:pPr>
      <w:r>
        <w:rPr>
          <w:rFonts w:ascii="Arial" w:cs="Arial" w:eastAsia="Arial" w:hAnsi="Arial"/>
          <w:sz w:val="17"/>
          <w:szCs w:val="17"/>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21" w:lineRule="exact"/>
        <w:rPr>
          <w:sz w:val="20"/>
          <w:szCs w:val="20"/>
          <w:color w:val="auto"/>
        </w:rPr>
      </w:pPr>
    </w:p>
    <w:p>
      <w:pPr>
        <w:ind w:firstLine="1063"/>
        <w:spacing w:after="0" w:line="24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financial statements shall be deemed to be delivered upon the filing with the SEC of its Form 10-K or Form 10-Q for the relevant fiscal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restatement of previously delivered (or deemed delivered) financial statements shall not constitute a breach or violation of this Section 6.1.</w:t>
      </w:r>
    </w:p>
    <w:p>
      <w:pPr>
        <w:spacing w:after="0" w:line="195" w:lineRule="exact"/>
        <w:rPr>
          <w:sz w:val="20"/>
          <w:szCs w:val="20"/>
          <w:color w:val="auto"/>
        </w:rPr>
      </w:pPr>
    </w:p>
    <w:p>
      <w:pPr>
        <w:ind w:right="60" w:firstLine="1063"/>
        <w:spacing w:after="0" w:line="28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Compliance Certificates</w:t>
      </w:r>
      <w:r>
        <w:rPr>
          <w:rFonts w:ascii="Arial" w:cs="Arial" w:eastAsia="Arial" w:hAnsi="Arial"/>
          <w:sz w:val="16"/>
          <w:szCs w:val="16"/>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w:t>
      </w:r>
    </w:p>
    <w:p>
      <w:pPr>
        <w:spacing w:after="0" w:line="1" w:lineRule="exact"/>
        <w:rPr>
          <w:sz w:val="20"/>
          <w:szCs w:val="20"/>
          <w:color w:val="auto"/>
        </w:rPr>
      </w:pPr>
    </w:p>
    <w:p>
      <w:pPr>
        <w:ind w:right="580" w:firstLine="9"/>
        <w:spacing w:after="0" w:line="247" w:lineRule="auto"/>
        <w:tabs>
          <w:tab w:leader="none" w:pos="26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containing a calculation of Consolidated Domestic Liquidity and Consolidated Global Liquidity as of the last day of the fiscal period covered by such financial statements.</w:t>
      </w:r>
    </w:p>
    <w:p>
      <w:pPr>
        <w:spacing w:after="0" w:line="192" w:lineRule="exact"/>
        <w:rPr>
          <w:sz w:val="20"/>
          <w:szCs w:val="20"/>
          <w:color w:val="auto"/>
        </w:rPr>
      </w:pPr>
    </w:p>
    <w:p>
      <w:pPr>
        <w:ind w:right="120" w:firstLine="1063"/>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74" w:name="page275"/>
    <w:bookmarkEnd w:id="274"/>
    <w:p>
      <w:pPr>
        <w:ind w:right="200"/>
        <w:spacing w:after="0" w:line="326" w:lineRule="auto"/>
        <w:rPr>
          <w:sz w:val="20"/>
          <w:szCs w:val="20"/>
          <w:color w:val="auto"/>
        </w:rPr>
      </w:pPr>
      <w:r>
        <w:rPr>
          <w:rFonts w:ascii="Arial" w:cs="Arial" w:eastAsia="Arial" w:hAnsi="Arial"/>
          <w:sz w:val="16"/>
          <w:szCs w:val="16"/>
          <w:color w:val="auto"/>
        </w:rPr>
        <w:t>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31" w:lineRule="exact"/>
        <w:rPr>
          <w:sz w:val="20"/>
          <w:szCs w:val="20"/>
          <w:color w:val="auto"/>
        </w:rPr>
      </w:pPr>
    </w:p>
    <w:p>
      <w:pPr>
        <w:ind w:right="40" w:firstLine="1063"/>
        <w:spacing w:after="0" w:line="24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95" w:lineRule="exact"/>
        <w:rPr>
          <w:sz w:val="20"/>
          <w:szCs w:val="20"/>
          <w:color w:val="auto"/>
        </w:rPr>
      </w:pPr>
    </w:p>
    <w:p>
      <w:pPr>
        <w:jc w:val="both"/>
        <w:ind w:right="40" w:firstLine="1063"/>
        <w:spacing w:after="0" w:line="250"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and the Brazilian Administrative Agent of the occurrence of any Default or Event of Default. Each notice pursuant to this Section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90"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4"/>
          <w:szCs w:val="14"/>
          <w:u w:val="single" w:color="auto"/>
          <w:color w:val="auto"/>
        </w:rPr>
        <w:t>Reinstated Guarantors, etc.</w:t>
      </w:r>
    </w:p>
    <w:p>
      <w:pPr>
        <w:spacing w:after="0" w:line="214" w:lineRule="exact"/>
        <w:rPr>
          <w:sz w:val="20"/>
          <w:szCs w:val="20"/>
          <w:color w:val="auto"/>
        </w:rPr>
      </w:pPr>
    </w:p>
    <w:p>
      <w:pPr>
        <w:ind w:right="60" w:firstLine="1072"/>
        <w:spacing w:after="0" w:line="250" w:lineRule="auto"/>
        <w:tabs>
          <w:tab w:leader="none" w:pos="179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provided that the foregoing requirements shall not apply to GM Holdings.</w:t>
      </w:r>
    </w:p>
    <w:p>
      <w:pPr>
        <w:spacing w:after="0" w:line="189" w:lineRule="exact"/>
        <w:rPr>
          <w:rFonts w:ascii="Arial" w:cs="Arial" w:eastAsia="Arial" w:hAnsi="Arial"/>
          <w:sz w:val="18"/>
          <w:szCs w:val="18"/>
          <w:color w:val="auto"/>
        </w:rPr>
      </w:pPr>
    </w:p>
    <w:p>
      <w:pPr>
        <w:ind w:left="1800" w:hanging="728"/>
        <w:spacing w:after="0"/>
        <w:tabs>
          <w:tab w:leader="none" w:pos="180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within 90 days after the end of any fiscal quarter of the Company, during which</w:t>
      </w:r>
    </w:p>
    <w:p>
      <w:pPr>
        <w:spacing w:after="0" w:line="39" w:lineRule="exact"/>
        <w:rPr>
          <w:rFonts w:ascii="Arial" w:cs="Arial" w:eastAsia="Arial" w:hAnsi="Arial"/>
          <w:sz w:val="16"/>
          <w:szCs w:val="16"/>
          <w:color w:val="auto"/>
        </w:rPr>
      </w:pPr>
    </w:p>
    <w:p>
      <w:pPr>
        <w:ind w:firstLine="9"/>
        <w:spacing w:after="0" w:line="278" w:lineRule="auto"/>
        <w:tabs>
          <w:tab w:leader="none" w:pos="29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75" w:name="page276"/>
    <w:bookmarkEnd w:id="275"/>
    <w:p>
      <w:pPr>
        <w:ind w:right="700" w:firstLine="1072"/>
        <w:spacing w:after="0" w:line="263" w:lineRule="auto"/>
        <w:tabs>
          <w:tab w:leader="none" w:pos="179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8"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jc w:val="both"/>
        <w:ind w:right="200" w:firstLine="1063"/>
        <w:spacing w:after="0" w:line="25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87" w:lineRule="exact"/>
        <w:rPr>
          <w:sz w:val="20"/>
          <w:szCs w:val="20"/>
          <w:color w:val="auto"/>
        </w:rPr>
      </w:pPr>
    </w:p>
    <w:p>
      <w:pPr>
        <w:ind w:firstLine="1063"/>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Ratings</w:t>
      </w:r>
      <w:r>
        <w:rPr>
          <w:rFonts w:ascii="Arial" w:cs="Arial" w:eastAsia="Arial" w:hAnsi="Arial"/>
          <w:sz w:val="17"/>
          <w:szCs w:val="17"/>
          <w:color w:val="auto"/>
        </w:rPr>
        <w:t xml:space="preserve">. The Company shall use commercially reasonable efforts to (i) obtain, no later than 90 days after the Closing Date, a Facility Rating from each of S&amp;P, Moody’s and Fitch and (ii) maintain a Corporate Rating, to the extent available, from each of S&amp;P, Moody’s and Fitch (it being understood that Moody’s does not provide Corporate Ratings for investment grade companies);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clauses (i) and (ii) above, the Company shall not be required to obtain or maintain, as applicable, a specific Facility Rating or Corporate Rating, as applicable.</w:t>
      </w:r>
    </w:p>
    <w:p>
      <w:pPr>
        <w:spacing w:after="0" w:line="17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SECTION 7. NEGATIVE COVENANTS</w:t>
      </w:r>
    </w:p>
    <w:p>
      <w:pPr>
        <w:spacing w:after="0" w:line="214" w:lineRule="exact"/>
        <w:rPr>
          <w:sz w:val="20"/>
          <w:szCs w:val="20"/>
          <w:color w:val="auto"/>
        </w:rPr>
      </w:pPr>
    </w:p>
    <w:p>
      <w:pPr>
        <w:ind w:right="840" w:firstLine="1063"/>
        <w:spacing w:after="0" w:line="293" w:lineRule="auto"/>
        <w:rPr>
          <w:sz w:val="20"/>
          <w:szCs w:val="20"/>
          <w:color w:val="auto"/>
        </w:rPr>
      </w:pPr>
      <w:r>
        <w:rPr>
          <w:rFonts w:ascii="Arial" w:cs="Arial" w:eastAsia="Arial" w:hAnsi="Arial"/>
          <w:sz w:val="17"/>
          <w:szCs w:val="17"/>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21"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right="420" w:firstLine="1063"/>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78"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right="40" w:firstLine="1063"/>
        <w:spacing w:after="0" w:line="250"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Indebtedness</w:t>
      </w:r>
      <w:r>
        <w:rPr>
          <w:rFonts w:ascii="Arial" w:cs="Arial" w:eastAsia="Arial" w:hAnsi="Arial"/>
          <w:sz w:val="18"/>
          <w:szCs w:val="18"/>
          <w:color w:val="auto"/>
        </w:rPr>
        <w:t>. The Company shall not, and shall not permit any Principal Domestic Subsidiary to, incur Indebtedness that is secured by a Lien on any 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190"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4"/>
          <w:szCs w:val="14"/>
          <w:u w:val="single" w:color="auto"/>
          <w:color w:val="auto"/>
        </w:rPr>
        <w:t>Asset Sale Restrictions</w:t>
      </w:r>
      <w:r>
        <w:rPr>
          <w:rFonts w:ascii="Arial" w:cs="Arial" w:eastAsia="Arial" w:hAnsi="Arial"/>
          <w:sz w:val="14"/>
          <w:szCs w:val="14"/>
          <w:color w:val="auto"/>
        </w:rPr>
        <w:t>.</w:t>
      </w:r>
    </w:p>
    <w:p>
      <w:pPr>
        <w:spacing w:after="0" w:line="214" w:lineRule="exact"/>
        <w:rPr>
          <w:sz w:val="20"/>
          <w:szCs w:val="20"/>
          <w:color w:val="auto"/>
        </w:rPr>
      </w:pPr>
    </w:p>
    <w:p>
      <w:pPr>
        <w:ind w:firstLine="1072"/>
        <w:spacing w:after="0" w:line="291" w:lineRule="auto"/>
        <w:tabs>
          <w:tab w:leader="none" w:pos="1791"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All or Substantially All</w:t>
      </w:r>
      <w:r>
        <w:rPr>
          <w:rFonts w:ascii="Arial" w:cs="Arial" w:eastAsia="Arial" w:hAnsi="Arial"/>
          <w:sz w:val="16"/>
          <w:szCs w:val="16"/>
          <w:color w:val="auto"/>
        </w:rPr>
        <w:t>. The Company shall not, nor shall it permit any Principal Domestic Subsidiary to, in one transaction or a series of related transactions, Dispose of all or substantially all of their respective assets (on a consolidated basis), except (x) in a transaction that complies with Section 7.7(a) or (y) in the case of any Principal Domestic Subsidiary, to a wholly-owned Principal Domestic Subsidiary (or a wholly-owned Domestic Subsidiary that will be, following receipt of such assets, a wholly-owned Principal Domestic Subsidiary), in each case, other than any Excluded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76" w:name="page277"/>
    <w:bookmarkEnd w:id="276"/>
    <w:p>
      <w:pPr>
        <w:spacing w:after="0"/>
        <w:rPr>
          <w:sz w:val="20"/>
          <w:szCs w:val="20"/>
          <w:color w:val="auto"/>
        </w:rPr>
      </w:pPr>
      <w:r>
        <w:rPr>
          <w:rFonts w:ascii="Arial" w:cs="Arial" w:eastAsia="Arial" w:hAnsi="Arial"/>
          <w:sz w:val="16"/>
          <w:szCs w:val="16"/>
          <w:color w:val="auto"/>
        </w:rPr>
        <w:t xml:space="preserve">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any Reinstated Guarantee Period, any such transfer from a Subsidiary Guarantor shall be to another Subsidiary Guarantor.</w:t>
      </w:r>
    </w:p>
    <w:p>
      <w:pPr>
        <w:spacing w:after="0" w:line="237" w:lineRule="exact"/>
        <w:rPr>
          <w:sz w:val="20"/>
          <w:szCs w:val="20"/>
          <w:color w:val="auto"/>
        </w:rPr>
      </w:pPr>
    </w:p>
    <w:p>
      <w:pPr>
        <w:ind w:left="1800" w:hanging="728"/>
        <w:spacing w:after="0"/>
        <w:tabs>
          <w:tab w:leader="none" w:pos="180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right="40" w:firstLine="1072"/>
        <w:spacing w:after="0" w:line="247" w:lineRule="auto"/>
        <w:tabs>
          <w:tab w:leader="none" w:pos="1791"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xml:space="preserve">. The Company shall not, nor shall it permit any Principal Domestic Subsidiary or Qualified IP Holding Company to, Dispose of any Principal Trade Name, except (x) in a transaction that complies with Section 7.7 (other than Section 7.7(b)(iii)),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95"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left="1080"/>
        <w:spacing w:after="0"/>
        <w:tabs>
          <w:tab w:leader="none" w:pos="18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4"/>
          <w:szCs w:val="14"/>
          <w:u w:val="single" w:color="auto"/>
          <w:color w:val="auto"/>
        </w:rPr>
        <w:t>Fundamental Changes</w:t>
      </w:r>
      <w:r>
        <w:rPr>
          <w:rFonts w:ascii="Arial" w:cs="Arial" w:eastAsia="Arial" w:hAnsi="Arial"/>
          <w:sz w:val="14"/>
          <w:szCs w:val="14"/>
          <w:color w:val="auto"/>
        </w:rPr>
        <w:t>.</w:t>
      </w:r>
    </w:p>
    <w:p>
      <w:pPr>
        <w:spacing w:after="0" w:line="214" w:lineRule="exact"/>
        <w:rPr>
          <w:sz w:val="20"/>
          <w:szCs w:val="20"/>
          <w:color w:val="auto"/>
        </w:rPr>
      </w:pPr>
    </w:p>
    <w:p>
      <w:pPr>
        <w:ind w:firstLine="1072"/>
        <w:spacing w:after="0" w:line="261" w:lineRule="auto"/>
        <w:tabs>
          <w:tab w:leader="none" w:pos="179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84" w:lineRule="exact"/>
        <w:rPr>
          <w:rFonts w:ascii="Arial" w:cs="Arial" w:eastAsia="Arial" w:hAnsi="Arial"/>
          <w:sz w:val="17"/>
          <w:szCs w:val="17"/>
          <w:color w:val="auto"/>
        </w:rPr>
      </w:pPr>
    </w:p>
    <w:p>
      <w:pPr>
        <w:ind w:firstLine="1072"/>
        <w:spacing w:after="0" w:line="263" w:lineRule="auto"/>
        <w:tabs>
          <w:tab w:leader="none" w:pos="180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77" w:name="page278"/>
    <w:bookmarkEnd w:id="277"/>
    <w:p>
      <w:pPr>
        <w:spacing w:after="0"/>
        <w:rPr>
          <w:sz w:val="20"/>
          <w:szCs w:val="20"/>
          <w:color w:val="auto"/>
        </w:rPr>
      </w:pPr>
      <w:r>
        <w:rPr>
          <w:rFonts w:ascii="Arial" w:cs="Arial" w:eastAsia="Arial" w:hAnsi="Arial"/>
          <w:sz w:val="17"/>
          <w:szCs w:val="17"/>
          <w:color w:val="auto"/>
        </w:rPr>
        <w:t>with the opinions delivered on the Closing Date with respect to such Loan Party, or (iii) in connection with an asset sale not prohibited by Section 7.5.</w:t>
      </w:r>
    </w:p>
    <w:p>
      <w:pPr>
        <w:spacing w:after="0" w:line="225" w:lineRule="exact"/>
        <w:rPr>
          <w:sz w:val="20"/>
          <w:szCs w:val="20"/>
          <w:color w:val="auto"/>
        </w:rPr>
      </w:pPr>
    </w:p>
    <w:p>
      <w:pPr>
        <w:ind w:right="40" w:firstLine="1063"/>
        <w:spacing w:after="0" w:line="264"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Company and its Subsidiary Borrowers shall not, and shall not permit any of its Subsidiaries to, knowingly use the proceeds of the Loans or Letters of Credit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including Cuba, Iran, North Korea, Sudan, or Syria, shall no longer be the subject of comprehensive territorial sanctions administered by OFAC, the U.S. Department of Treasury or the U.S. Department of State, then it shall not be considered a Sanctioned Country for purposes hereof and the provisions of this Section 7.8 shall no longer apply with respect to that country.</w:t>
      </w:r>
    </w:p>
    <w:p>
      <w:pPr>
        <w:spacing w:after="0" w:line="1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SECTION 8. EVENTS OF DEFAULT</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181" w:lineRule="exact"/>
        <w:rPr>
          <w:sz w:val="20"/>
          <w:szCs w:val="20"/>
          <w:color w:val="auto"/>
        </w:rPr>
      </w:pPr>
    </w:p>
    <w:p>
      <w:pPr>
        <w:ind w:right="220" w:firstLine="1072"/>
        <w:spacing w:after="0" w:line="284" w:lineRule="auto"/>
        <w:tabs>
          <w:tab w:leader="none" w:pos="179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any Borrower shall fail to pay (i) any principal of any Loan at maturity, (ii) any interest, Facility Fee, Letter of Credit Fee or any Reimbursement Obligation hereunder or any fee owing pursuant to any Brazilian Bank Certificate for a period of five Business Days after receipt of notice of such failure by such Borrower and the Company from the Administrative Agent and, in connection with payments in respect of the Brazilian Facility, the Brazilian Administrative Agent or (iii) any other amount due and payable under any Loan Document for 30 days after receipt of notice of such failure by such Borrower and the Company from the Administrative Agent and, in connection with payments in respect of the Brazilian Facility, the Brazilian Administrative Agent (other than, in the case of amounts in this clause (iii), any such amount being disputed by the Company in good faith); or</w:t>
      </w:r>
    </w:p>
    <w:p>
      <w:pPr>
        <w:spacing w:after="0" w:line="166" w:lineRule="exact"/>
        <w:rPr>
          <w:rFonts w:ascii="Arial" w:cs="Arial" w:eastAsia="Arial" w:hAnsi="Arial"/>
          <w:sz w:val="16"/>
          <w:szCs w:val="16"/>
          <w:color w:val="auto"/>
        </w:rPr>
      </w:pPr>
    </w:p>
    <w:p>
      <w:pPr>
        <w:ind w:right="180" w:firstLine="1072"/>
        <w:spacing w:after="0" w:line="326" w:lineRule="auto"/>
        <w:tabs>
          <w:tab w:leader="none" w:pos="180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31" w:lineRule="exact"/>
        <w:rPr>
          <w:rFonts w:ascii="Arial" w:cs="Arial" w:eastAsia="Arial" w:hAnsi="Arial"/>
          <w:sz w:val="16"/>
          <w:szCs w:val="16"/>
          <w:color w:val="auto"/>
        </w:rPr>
      </w:pPr>
    </w:p>
    <w:p>
      <w:pPr>
        <w:jc w:val="both"/>
        <w:ind w:right="20" w:firstLine="1072"/>
        <w:spacing w:after="0" w:line="250" w:lineRule="auto"/>
        <w:tabs>
          <w:tab w:leader="none" w:pos="179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any Loan Party or any Principal Domestic Subsidiary shall default in the observance or performance of (i) its agreements in Section 7.2 for a period of 20 consecutive days, or (ii) any other agreement contained in this Agreement (limited with respect to any Subsidiary Borrower, to Section 7.7 and 7.8) or in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89" w:lineRule="exact"/>
        <w:rPr>
          <w:rFonts w:ascii="Arial" w:cs="Arial" w:eastAsia="Arial" w:hAnsi="Arial"/>
          <w:sz w:val="18"/>
          <w:szCs w:val="18"/>
          <w:color w:val="auto"/>
        </w:rPr>
      </w:pPr>
    </w:p>
    <w:p>
      <w:pPr>
        <w:ind w:firstLine="1072"/>
        <w:spacing w:after="0" w:line="247" w:lineRule="auto"/>
        <w:tabs>
          <w:tab w:leader="none" w:pos="180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t>due prior to its stated maturity or (in the case of any such Material Indebtedness constituting a Guarantee Obligation) to become payable; or</w:t>
      </w:r>
    </w:p>
    <w:p>
      <w:pPr>
        <w:spacing w:after="0" w:line="214" w:lineRule="exact"/>
        <w:rPr>
          <w:sz w:val="20"/>
          <w:szCs w:val="20"/>
          <w:color w:val="auto"/>
        </w:rPr>
      </w:pPr>
    </w:p>
    <w:p>
      <w:pPr>
        <w:ind w:left="1800" w:hanging="728"/>
        <w:spacing w:after="0"/>
        <w:tabs>
          <w:tab w:leader="none" w:pos="18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13" w:lineRule="exact"/>
        <w:rPr>
          <w:rFonts w:ascii="Arial" w:cs="Arial" w:eastAsia="Arial" w:hAnsi="Arial"/>
          <w:sz w:val="18"/>
          <w:szCs w:val="18"/>
          <w:color w:val="auto"/>
        </w:rPr>
      </w:pPr>
    </w:p>
    <w:p>
      <w:pPr>
        <w:ind w:firstLine="1072"/>
        <w:spacing w:after="0" w:line="264" w:lineRule="auto"/>
        <w:tabs>
          <w:tab w:leader="none" w:pos="177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78" w:lineRule="exact"/>
        <w:rPr>
          <w:rFonts w:ascii="Arial" w:cs="Arial" w:eastAsia="Arial" w:hAnsi="Arial"/>
          <w:sz w:val="17"/>
          <w:szCs w:val="17"/>
          <w:color w:val="auto"/>
        </w:rPr>
      </w:pPr>
    </w:p>
    <w:p>
      <w:pPr>
        <w:ind w:left="1800" w:hanging="728"/>
        <w:spacing w:after="0"/>
        <w:tabs>
          <w:tab w:leader="none" w:pos="18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213" w:lineRule="exact"/>
        <w:rPr>
          <w:rFonts w:ascii="Arial" w:cs="Arial" w:eastAsia="Arial" w:hAnsi="Arial"/>
          <w:sz w:val="18"/>
          <w:szCs w:val="18"/>
          <w:color w:val="auto"/>
        </w:rPr>
      </w:pPr>
    </w:p>
    <w:p>
      <w:pPr>
        <w:ind w:right="340" w:firstLine="1072"/>
        <w:spacing w:after="0" w:line="250" w:lineRule="auto"/>
        <w:tabs>
          <w:tab w:leader="none" w:pos="18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9" w:lineRule="exact"/>
        <w:rPr>
          <w:rFonts w:ascii="Arial" w:cs="Arial" w:eastAsia="Arial" w:hAnsi="Arial"/>
          <w:sz w:val="18"/>
          <w:szCs w:val="18"/>
          <w:color w:val="auto"/>
        </w:rPr>
      </w:pPr>
    </w:p>
    <w:p>
      <w:pPr>
        <w:ind w:left="1780" w:hanging="708"/>
        <w:spacing w:after="0"/>
        <w:tabs>
          <w:tab w:leader="none" w:pos="17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13" w:lineRule="exact"/>
        <w:rPr>
          <w:rFonts w:ascii="Arial" w:cs="Arial" w:eastAsia="Arial" w:hAnsi="Arial"/>
          <w:sz w:val="18"/>
          <w:szCs w:val="18"/>
          <w:color w:val="auto"/>
        </w:rPr>
      </w:pPr>
    </w:p>
    <w:p>
      <w:pPr>
        <w:ind w:right="80" w:firstLine="1072"/>
        <w:spacing w:after="0" w:line="263" w:lineRule="auto"/>
        <w:tabs>
          <w:tab w:leader="none" w:pos="17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77" w:lineRule="exact"/>
        <w:rPr>
          <w:rFonts w:ascii="Arial" w:cs="Arial" w:eastAsia="Arial" w:hAnsi="Arial"/>
          <w:sz w:val="18"/>
          <w:szCs w:val="18"/>
          <w:color w:val="auto"/>
        </w:rPr>
      </w:pPr>
    </w:p>
    <w:p>
      <w:pPr>
        <w:ind w:left="1800" w:hanging="728"/>
        <w:spacing w:after="0"/>
        <w:tabs>
          <w:tab w:leader="none" w:pos="18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1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then, and in any such event, (A) if such event is an Event of Default specified in paragraph (f) above with respect to the Company, automatically the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to be due and payable forthwith, whereupon the same shall</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79" w:name="page280"/>
    <w:bookmarkEnd w:id="279"/>
    <w:p>
      <w:pPr>
        <w:spacing w:after="0" w:line="261" w:lineRule="auto"/>
        <w:rPr>
          <w:sz w:val="20"/>
          <w:szCs w:val="20"/>
          <w:color w:val="auto"/>
        </w:rPr>
      </w:pPr>
      <w:r>
        <w:rPr>
          <w:rFonts w:ascii="Arial" w:cs="Arial" w:eastAsia="Arial" w:hAnsi="Arial"/>
          <w:sz w:val="17"/>
          <w:szCs w:val="17"/>
          <w:color w:val="auto"/>
        </w:rPr>
        <w:t>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15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SECTION 9. THE AGENTS</w:t>
      </w:r>
    </w:p>
    <w:p>
      <w:pPr>
        <w:spacing w:after="0" w:line="214" w:lineRule="exact"/>
        <w:rPr>
          <w:sz w:val="20"/>
          <w:szCs w:val="20"/>
          <w:color w:val="auto"/>
        </w:rPr>
      </w:pPr>
    </w:p>
    <w:p>
      <w:pPr>
        <w:ind w:firstLine="1063"/>
        <w:spacing w:after="0" w:line="28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the Administrative Agent and the Brazilian Administrative Agent, as applicable, as the agents of such Lender under this Agreement, the other Loan Documents and (in the case of the Brazilian Administrative Agent) the Brazilian Intercreditor Agreement, and each such Lender irrevocably authorizes the Administrative Agent and the Brazilian Administrative Agent, in such capacities, to take such action on its behalf under the provisions of this Agreement, the other Loan Documents and the Brazilian Intercreditor Agreement and to exercise such powers and perform such duties as are expressly delegated to the Administrative Agent or the Brazilian Administrative Agent, as applicable, by the terms of this Agreement, the other Loan Documents and the Brazilian Intercreditor Agreement, together with such other powers as are reasonably incidental thereto. Notwithstanding any provision to the contrary elsewhere in this Agreement, neither the Administrative Agent nor the Brazilian Administrative Agent shall have any duties or responsibilities, except those expressly set forth herein or in any other Loan Document or the Brazilian Intercreditor Agreement, or any fiduciary relationship with any Lender, and no implied covenants, functions, responsibilities, duties, obligations or liabilities shall be read into this Agreement, any other Loan Document or the Brazilian Intercreditor Agreement or otherwise exist against the Administrative Agent or the Brazilian Administrative Agent.</w:t>
      </w:r>
    </w:p>
    <w:p>
      <w:pPr>
        <w:spacing w:after="0" w:line="168" w:lineRule="exact"/>
        <w:rPr>
          <w:sz w:val="20"/>
          <w:szCs w:val="20"/>
          <w:color w:val="auto"/>
        </w:rPr>
      </w:pPr>
    </w:p>
    <w:p>
      <w:pPr>
        <w:ind w:right="160" w:firstLine="1063"/>
        <w:spacing w:after="0" w:line="275"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Each Agent may execute any of its duties under this Agreement, the other Loan Documents and the Brazilian Intercreditor Agreement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70" w:lineRule="exact"/>
        <w:rPr>
          <w:sz w:val="20"/>
          <w:szCs w:val="20"/>
          <w:color w:val="auto"/>
        </w:rPr>
      </w:pPr>
    </w:p>
    <w:p>
      <w:pPr>
        <w:ind w:right="80" w:firstLine="1063"/>
        <w:spacing w:after="0" w:line="267"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any other Loan Document or the Brazilian Intercreditor Agreement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80" w:name="page281"/>
    <w:bookmarkEnd w:id="280"/>
    <w:p>
      <w:pPr>
        <w:ind w:right="140"/>
        <w:spacing w:after="0" w:line="287" w:lineRule="auto"/>
        <w:rPr>
          <w:sz w:val="20"/>
          <w:szCs w:val="20"/>
          <w:color w:val="auto"/>
        </w:rPr>
      </w:pPr>
      <w:r>
        <w:rPr>
          <w:rFonts w:ascii="Arial" w:cs="Arial" w:eastAsia="Arial" w:hAnsi="Arial"/>
          <w:sz w:val="16"/>
          <w:szCs w:val="16"/>
          <w:color w:val="auto"/>
        </w:rPr>
        <w:t>statement or other document referred to or provided for in, or received by the Agents under or in connection with, this Agreement or any other Loan Document or for the value, validity, effectiveness, genuineness, enforceability or sufficiency of this Agreement, any other Loan Document or the Brazilian Intercreditor Agreement or for any failure of any Loan Party a party hereto or thereto to perform its obligations hereunder or thereunder. The Agents shall not be under any obligation to any Lender to ascertain or to inquire as to the observance or performance of any of the agreements contained in, or conditions of, this Agreement, any other Loan Document or the Brazilian Intercreditor Agreement, or to inspect the properties, books or records of any Loan Party.</w:t>
      </w:r>
    </w:p>
    <w:p>
      <w:pPr>
        <w:spacing w:after="0" w:line="162" w:lineRule="exact"/>
        <w:rPr>
          <w:sz w:val="20"/>
          <w:szCs w:val="20"/>
          <w:color w:val="auto"/>
        </w:rPr>
      </w:pPr>
    </w:p>
    <w:p>
      <w:pPr>
        <w:ind w:firstLine="1063"/>
        <w:spacing w:after="0" w:line="260"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Reliance by Administrative Agent and the Brazilian Administrative Agent.</w:t>
      </w:r>
      <w:r>
        <w:rPr>
          <w:rFonts w:ascii="Arial" w:cs="Arial" w:eastAsia="Arial" w:hAnsi="Arial"/>
          <w:sz w:val="17"/>
          <w:szCs w:val="17"/>
          <w:color w:val="auto"/>
        </w:rPr>
        <w:t xml:space="preserve"> Each of the Administrative Agent and the Brazilian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or the Brazilian Administrative Agent, as applicable. The Administrative Agent and the Brazilian Administrative Agent may deem and treat the payee of any Note as the owner thereof for all purposes unless a written notice of assignment, negotiation or transfer thereof shall have been filed with the Administrative Agent. The Administrative Agent and the Brazilian Administrative Agent shall be fully justified in failing or refusing to take any action under this Agreement, any other Loan Document or the Brazilian Intercreditor Agreement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and the Brazilian Administrative Agent shall in all cases be fully protected in acting, or in refraining from acting, under this Agreement, the other Loan Documents and the Brazilian Intercreditor Agreement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90" w:lineRule="exact"/>
        <w:rPr>
          <w:sz w:val="20"/>
          <w:szCs w:val="20"/>
          <w:color w:val="auto"/>
        </w:rPr>
      </w:pPr>
    </w:p>
    <w:p>
      <w:pPr>
        <w:ind w:right="140" w:firstLine="1063"/>
        <w:spacing w:after="0" w:line="262"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Notice of Default</w:t>
      </w:r>
      <w:r>
        <w:rPr>
          <w:rFonts w:ascii="Arial" w:cs="Arial" w:eastAsia="Arial" w:hAnsi="Arial"/>
          <w:sz w:val="17"/>
          <w:szCs w:val="17"/>
          <w:color w:val="auto"/>
        </w:rPr>
        <w:t>. Neither the Administrative Agent nor the Brazilian Administrative Agent shall be deemed to have knowledge or notice of the occurrence of any Default or Event of Default unless the Administrative Agent or the Brazilian Administrative Agent, as applicable, has received notice from a Lender or the Company referring to this Agreement, describing such Default or Event of Default and stating that such notice is a “notice of default.” In the event that the Administrative Agent or the Brazilian Administrative Agent receives such a notice, the Administrative Agent or the Brazilian Administrative Agent, as applicable, shall give notice thereof to the Lenders as soon as practicable thereafter. The Administrative Agent and the Brazilian Administrative Agent shall take such action with respect to such Default or Event of Default as shall be reasonably directed by the Required Lenders (or, if so specified by this Agreement, all Lenders or any other instructing group of Lenders specified in this Agreement); provided, that unless and until the Administrative Agent or the Brazilian Administrative Agent, as applicable, shall have received such directions, each of the Administrative Agent and the Brazilian Administrative Agent may (but shall not be obligated to) take such action, or refrain from taking such action, with respect to such Default or Event of Default as it shall deem advisable in the best interests of the Lenders.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81" w:name="page282"/>
    <w:bookmarkEnd w:id="281"/>
    <w:p>
      <w:pPr>
        <w:ind w:firstLine="1063"/>
        <w:spacing w:after="0" w:line="27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none of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the other Loan Documents and the Brazilian Intercreditor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Brazilian Administrative Agent, as applicable, hereunder, neither the Administrative Agent nor the Brazilian Administrative Agent shall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the Brazilian Administrative Agent or any of their respective officers, directors, employees, agents, attorneys-in-fact or affiliates.</w:t>
      </w:r>
    </w:p>
    <w:p>
      <w:pPr>
        <w:spacing w:after="0" w:line="170" w:lineRule="exact"/>
        <w:rPr>
          <w:sz w:val="20"/>
          <w:szCs w:val="20"/>
          <w:color w:val="auto"/>
        </w:rPr>
      </w:pPr>
    </w:p>
    <w:p>
      <w:pPr>
        <w:ind w:right="20" w:firstLine="1063"/>
        <w:spacing w:after="0" w:line="261"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Lenders agree to indemnify each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the Brazilian Intercreditor Agreement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84" w:lineRule="exact"/>
        <w:rPr>
          <w:sz w:val="20"/>
          <w:szCs w:val="20"/>
          <w:color w:val="auto"/>
        </w:rPr>
      </w:pPr>
    </w:p>
    <w:p>
      <w:pPr>
        <w:jc w:val="both"/>
        <w:ind w:right="220" w:firstLine="1063"/>
        <w:spacing w:after="0" w:line="248"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Loans made or renewed by it, any Letter of Credit issued or participated in by it and any other extension of credit made by it hereunder, each Agent shall have the same rights and powers under this Agreement, the other Loan Documents and the Brazilian Intercreditor Agreement as any Lender and may exercise the same as though it were not an Agent, and the terms “Lender” and “Lenders” shall include each Agent in its individual capacity.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82" w:name="page283"/>
    <w:bookmarkEnd w:id="282"/>
    <w:p>
      <w:pPr>
        <w:ind w:firstLine="1063"/>
        <w:spacing w:after="0" w:line="277"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8(f)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390" w:lineRule="exact"/>
        <w:rPr>
          <w:sz w:val="20"/>
          <w:szCs w:val="20"/>
          <w:color w:val="auto"/>
        </w:rPr>
      </w:pPr>
    </w:p>
    <w:p>
      <w:pPr>
        <w:ind w:right="140" w:firstLine="1063"/>
        <w:spacing w:after="0" w:line="283"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Replacement of Brazilian Administrative Agent</w:t>
      </w:r>
      <w:r>
        <w:rPr>
          <w:rFonts w:ascii="Arial" w:cs="Arial" w:eastAsia="Arial" w:hAnsi="Arial"/>
          <w:sz w:val="16"/>
          <w:szCs w:val="16"/>
          <w:color w:val="auto"/>
        </w:rPr>
        <w:t>. The Company may replace the Brazilian Administrative Agent, upon 30 days’ written notice to the Brazilian Administrative Agent; provided, that any proposed successor agent shall require the consent of (x) the Administrative Agent and</w:t>
      </w:r>
    </w:p>
    <w:p>
      <w:pPr>
        <w:ind w:firstLine="9"/>
        <w:spacing w:after="0" w:line="260" w:lineRule="auto"/>
        <w:tabs>
          <w:tab w:leader="none" w:pos="25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Brazilian Lenders (or, if there are more than two Brazilian Lenders at such time, the Majority Facility Lenders under the Brazilian Facility), whereupon such successor agent shall succeed to the rights, powers and duties of the Brazilian Administrative Agent, and the term “Brazilian Administrative Agent” shall mean such successor agent effective upon such appointment and approval, and the former Brazilian Administrative Agent’s rights, powers and duties as Brazilian Administrative Agent shall be terminated, without any other or further act or deed on the part of such former Brazilian Administrative Agent or any of the parties to this Agreement or any holders of the Loans. Upon such replacement, such successor Brazilian Administrative Agent shall thereupon succeed to and become vested with all the rights, powers, privileges and duties of the retiring Brazilian Administrative Agent, and the replaced Brazilian Administrative Agent shall be discharged from its duties and obligations under this Agreement. After any retiring Brazilian Administrative Agent’s resignation as Brazilian Administrative Agent, the provisions of this Section 9 shall inure to its benefit as to any actions taken or omitted to be taken by it while it was Brazilian Administrative Agent under this Agreement and the other Loan Documents.</w:t>
      </w:r>
    </w:p>
    <w:p>
      <w:pPr>
        <w:spacing w:after="0" w:line="185" w:lineRule="exact"/>
        <w:rPr>
          <w:sz w:val="20"/>
          <w:szCs w:val="20"/>
          <w:color w:val="auto"/>
        </w:rPr>
      </w:pPr>
    </w:p>
    <w:p>
      <w:pPr>
        <w:ind w:right="40" w:firstLine="1063"/>
        <w:spacing w:after="0" w:line="250"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Bookrunners, Lead Arrangers, Global and Regional Coordinators, Documentation Agents, Syndication Agent and Co-Syndication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“Arrangers”) shall have any duties or responsibilities under this Agreement, the other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344" w:right="239" w:bottom="1440" w:gutter="0" w:footer="0" w:header="0"/>
        </w:sectPr>
      </w:pPr>
    </w:p>
    <w:bookmarkStart w:id="283" w:name="page284"/>
    <w:bookmarkEnd w:id="283"/>
    <w:p>
      <w:pPr>
        <w:ind w:right="100"/>
        <w:spacing w:after="0" w:line="326" w:lineRule="auto"/>
        <w:rPr>
          <w:sz w:val="20"/>
          <w:szCs w:val="20"/>
          <w:color w:val="auto"/>
        </w:rPr>
      </w:pPr>
      <w:r>
        <w:rPr>
          <w:rFonts w:ascii="Arial" w:cs="Arial" w:eastAsia="Arial" w:hAnsi="Arial"/>
          <w:sz w:val="16"/>
          <w:szCs w:val="16"/>
          <w:color w:val="auto"/>
        </w:rPr>
        <w:t>Loan Documents or the Brazilian Intercreditor Agreement in their respective capacities as such, nor shall the consent of any such Person, in its capacity as such, be required for any amendment, modification or supplement to this Agreement, any other Loan Document or the Brazilian Intercreditor Agreement.</w:t>
      </w:r>
    </w:p>
    <w:p>
      <w:pPr>
        <w:spacing w:after="0" w:line="13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SECTION 10. MISCELLANEOUS</w:t>
      </w:r>
    </w:p>
    <w:p>
      <w:pPr>
        <w:spacing w:after="0" w:line="214" w:lineRule="exact"/>
        <w:rPr>
          <w:sz w:val="20"/>
          <w:szCs w:val="20"/>
          <w:color w:val="auto"/>
        </w:rPr>
      </w:pPr>
    </w:p>
    <w:p>
      <w:pPr>
        <w:ind w:firstLine="1063"/>
        <w:spacing w:after="0" w:line="27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Brazilian Intercreditor Agreement and the Brazilian Bank Certificates shall be amended, modified, or supplemented in accordance with their individual terms and shall not be subject to the provisions of this Section 10.1 and (ii)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Agents,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provided, however, that no such waiver and no such amendment, supplement or modification shall:</w:t>
      </w:r>
    </w:p>
    <w:p>
      <w:pPr>
        <w:spacing w:after="0" w:line="173" w:lineRule="exact"/>
        <w:rPr>
          <w:sz w:val="20"/>
          <w:szCs w:val="20"/>
          <w:color w:val="auto"/>
        </w:rPr>
      </w:pPr>
    </w:p>
    <w:p>
      <w:pPr>
        <w:ind w:left="1600" w:right="40" w:firstLine="535"/>
        <w:spacing w:after="0" w:line="247" w:lineRule="auto"/>
        <w:tabs>
          <w:tab w:leader="none" w:pos="290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194" w:lineRule="exact"/>
        <w:rPr>
          <w:rFonts w:ascii="Arial" w:cs="Arial" w:eastAsia="Arial" w:hAnsi="Arial"/>
          <w:sz w:val="18"/>
          <w:szCs w:val="18"/>
          <w:color w:val="auto"/>
        </w:rPr>
      </w:pPr>
    </w:p>
    <w:p>
      <w:pPr>
        <w:ind w:left="2900" w:hanging="765"/>
        <w:spacing w:after="0"/>
        <w:tabs>
          <w:tab w:leader="none" w:pos="290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eliminate or reduce the voting rights of any Lender under this Section 10.1 without the written consent of such Lender;</w:t>
      </w:r>
    </w:p>
    <w:p>
      <w:pPr>
        <w:spacing w:after="0" w:line="236" w:lineRule="exact"/>
        <w:rPr>
          <w:rFonts w:ascii="Arial" w:cs="Arial" w:eastAsia="Arial" w:hAnsi="Arial"/>
          <w:sz w:val="16"/>
          <w:szCs w:val="16"/>
          <w:color w:val="auto"/>
        </w:rPr>
      </w:pPr>
    </w:p>
    <w:p>
      <w:pPr>
        <w:ind w:left="1600" w:right="20" w:firstLine="535"/>
        <w:spacing w:after="0" w:line="248" w:lineRule="auto"/>
        <w:tabs>
          <w:tab w:leader="none" w:pos="289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84" w:name="page285"/>
    <w:bookmarkEnd w:id="284"/>
    <w:p>
      <w:pPr>
        <w:ind w:left="2920" w:hanging="785"/>
        <w:spacing w:after="0"/>
        <w:tabs>
          <w:tab w:leader="none" w:pos="292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reduce the percentage specified in the definition of Required Lenders without the written consent of all Lenders;</w:t>
      </w:r>
    </w:p>
    <w:p>
      <w:pPr>
        <w:spacing w:after="0" w:line="225" w:lineRule="exact"/>
        <w:rPr>
          <w:rFonts w:ascii="Arial" w:cs="Arial" w:eastAsia="Arial" w:hAnsi="Arial"/>
          <w:sz w:val="17"/>
          <w:szCs w:val="17"/>
          <w:color w:val="auto"/>
        </w:rPr>
      </w:pPr>
    </w:p>
    <w:p>
      <w:pPr>
        <w:ind w:left="1600" w:right="260" w:firstLine="535"/>
        <w:spacing w:after="0" w:line="263" w:lineRule="auto"/>
        <w:tabs>
          <w:tab w:leader="none" w:pos="288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Majority Facility Lenders with respect to any Facility without the written consent of all Lenders under such Facility;</w:t>
      </w:r>
    </w:p>
    <w:p>
      <w:pPr>
        <w:spacing w:after="0" w:line="177" w:lineRule="exact"/>
        <w:rPr>
          <w:rFonts w:ascii="Arial" w:cs="Arial" w:eastAsia="Arial" w:hAnsi="Arial"/>
          <w:sz w:val="18"/>
          <w:szCs w:val="18"/>
          <w:color w:val="auto"/>
        </w:rPr>
      </w:pPr>
    </w:p>
    <w:p>
      <w:pPr>
        <w:ind w:left="1600" w:right="360" w:firstLine="535"/>
        <w:spacing w:after="0" w:line="253" w:lineRule="auto"/>
        <w:tabs>
          <w:tab w:leader="none" w:pos="28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amend, modify or waive any provision of Section 9 in a manner adverse to (i) the Administrative Agent without the written consent of the Administrative Agent or (ii) the Brazilian Administrative Agent without the written consent of the Brazilian Administrative Agent;</w:t>
      </w:r>
    </w:p>
    <w:p>
      <w:pPr>
        <w:spacing w:after="0" w:line="187" w:lineRule="exact"/>
        <w:rPr>
          <w:rFonts w:ascii="Arial" w:cs="Arial" w:eastAsia="Arial" w:hAnsi="Arial"/>
          <w:sz w:val="18"/>
          <w:szCs w:val="18"/>
          <w:color w:val="auto"/>
        </w:rPr>
      </w:pPr>
    </w:p>
    <w:p>
      <w:pPr>
        <w:ind w:left="2920" w:hanging="785"/>
        <w:spacing w:after="0"/>
        <w:tabs>
          <w:tab w:leader="none" w:pos="29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1600" w:right="520" w:firstLine="535"/>
        <w:spacing w:after="0" w:line="263" w:lineRule="auto"/>
        <w:tabs>
          <w:tab w:leader="none" w:pos="290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amend, modify or waive any provision of Section 3 in a manner adverse to an Issuing Lender without the written consent of such Issuing Lender;</w:t>
      </w:r>
    </w:p>
    <w:p>
      <w:pPr>
        <w:spacing w:after="0" w:line="177" w:lineRule="exact"/>
        <w:rPr>
          <w:rFonts w:ascii="Arial" w:cs="Arial" w:eastAsia="Arial" w:hAnsi="Arial"/>
          <w:sz w:val="18"/>
          <w:szCs w:val="18"/>
          <w:color w:val="auto"/>
        </w:rPr>
      </w:pPr>
    </w:p>
    <w:p>
      <w:pPr>
        <w:ind w:left="2840" w:hanging="705"/>
        <w:spacing w:after="0"/>
        <w:tabs>
          <w:tab w:leader="none" w:pos="28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left="1600" w:right="280" w:firstLine="535"/>
        <w:spacing w:after="0" w:line="263" w:lineRule="auto"/>
        <w:tabs>
          <w:tab w:leader="none" w:pos="285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amend, modify or waive any provision of Section 2.20(a) or (b) without the written consent of each Lender adversely affected thereby; or</w:t>
      </w:r>
    </w:p>
    <w:p>
      <w:pPr>
        <w:spacing w:after="0" w:line="177" w:lineRule="exact"/>
        <w:rPr>
          <w:rFonts w:ascii="Arial" w:cs="Arial" w:eastAsia="Arial" w:hAnsi="Arial"/>
          <w:sz w:val="18"/>
          <w:szCs w:val="18"/>
          <w:color w:val="auto"/>
        </w:rPr>
      </w:pPr>
    </w:p>
    <w:p>
      <w:pPr>
        <w:ind w:left="2920" w:hanging="785"/>
        <w:spacing w:after="0"/>
        <w:tabs>
          <w:tab w:leader="none" w:pos="292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add additional available currencies to any Facility without the written consent of each Lender directly affected thereby.</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such waiver and any such amendment, supplement or modification shall apply equally to each of the Lenders and shall be binding upon the Loan Parties, the Lenders, the Issuing Lenders, the Administrative Agent, the Brazilian Administrative Agent and all future holders of the Loans. In the case of any waiver, the Loan Parties, the Lenders, the Issuing Lenders, the Administrative Agent and the Brazilian Administrative Agent shall be restored to their former positions and rights hereunder and under the other Loan Documents and the Brazilian Intercreditor Agreement, and any Default or Event of Default waived shall be deemed to be cured and not continuing; but no such waiver shall extend to any subsequent or other Default or Event of Default, or impair any right consequent thereon.</w:t>
      </w:r>
    </w:p>
    <w:p>
      <w:pPr>
        <w:spacing w:after="0" w:line="129" w:lineRule="exact"/>
        <w:rPr>
          <w:sz w:val="20"/>
          <w:szCs w:val="20"/>
          <w:color w:val="auto"/>
        </w:rPr>
      </w:pPr>
    </w:p>
    <w:p>
      <w:pPr>
        <w:ind w:right="60" w:firstLine="1072"/>
        <w:spacing w:after="0" w:line="262" w:lineRule="auto"/>
        <w:tabs>
          <w:tab w:leader="none" w:pos="180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Notwithstanding the foregoing paragraph (a), without the consent of the Required Lenders (or, in the case of clauses (i) and (iii) below, any Issuing Lender), but subject to any consent required by paragraphs (A) through (J) above, (i) the terms of any Facility may be amended, modified or waived in any manner that does not adversely affect the rights or obligations of Lenders under any other Facility with the written consent of the Majority Facility Lenders in respect of such Facility, (ii) this Agreement may be amended with only the consent of the Company, the Administrative Agent and each Issuing Lender, if any, as may be necessary in the reasonable opinion of the Company and the Administrative Agent in order to provide that Letters of Credit are to be issued under the Multicurrency Facility rather than the Domestic Facility and (iii)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 (A) cure any ambiguity, omission, defect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345" w:right="239" w:bottom="1440" w:gutter="0" w:footer="0" w:header="0"/>
        </w:sectPr>
      </w:pPr>
    </w:p>
    <w:bookmarkStart w:id="285" w:name="page286"/>
    <w:bookmarkEnd w:id="285"/>
    <w:p>
      <w:pPr>
        <w:ind w:right="140"/>
        <w:spacing w:after="0" w:line="253" w:lineRule="auto"/>
        <w:rPr>
          <w:sz w:val="20"/>
          <w:szCs w:val="20"/>
          <w:color w:val="auto"/>
        </w:rPr>
      </w:pPr>
      <w:r>
        <w:rPr>
          <w:rFonts w:ascii="Arial" w:cs="Arial" w:eastAsia="Arial" w:hAnsi="Arial"/>
          <w:sz w:val="18"/>
          <w:szCs w:val="18"/>
          <w:color w:val="auto"/>
        </w:rPr>
        <w:t>inconsistency, (B) permit additional affiliates of the Company or other Persons to guarantee the Obligations, or (C) release any Subsidiary Guarantor or other guarantor that is required or permitted to be released by the terms of any Loan Document and to release any such Subsidiary Guarantor that was or becomes an Excluded Subsidiary.</w:t>
      </w:r>
    </w:p>
    <w:p>
      <w:pPr>
        <w:spacing w:after="0" w:line="187" w:lineRule="exact"/>
        <w:rPr>
          <w:sz w:val="20"/>
          <w:szCs w:val="20"/>
          <w:color w:val="auto"/>
        </w:rPr>
      </w:pPr>
    </w:p>
    <w:p>
      <w:pPr>
        <w:ind w:right="100" w:firstLine="1072"/>
        <w:spacing w:after="0" w:line="247" w:lineRule="auto"/>
        <w:tabs>
          <w:tab w:leader="none" w:pos="179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For the avoidance of doubt it is understood that (i) any transaction permitted by Sections 2.12, 2.28, 2.29 and 2.30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94" w:lineRule="exact"/>
        <w:rPr>
          <w:rFonts w:ascii="Arial" w:cs="Arial" w:eastAsia="Arial" w:hAnsi="Arial"/>
          <w:sz w:val="18"/>
          <w:szCs w:val="18"/>
          <w:color w:val="auto"/>
        </w:rPr>
      </w:pPr>
    </w:p>
    <w:p>
      <w:pPr>
        <w:ind w:right="100" w:firstLine="1072"/>
        <w:spacing w:after="0" w:line="263" w:lineRule="auto"/>
        <w:tabs>
          <w:tab w:leader="none" w:pos="180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77" w:lineRule="exact"/>
        <w:rPr>
          <w:rFonts w:ascii="Arial" w:cs="Arial" w:eastAsia="Arial" w:hAnsi="Arial"/>
          <w:sz w:val="18"/>
          <w:szCs w:val="18"/>
          <w:color w:val="auto"/>
        </w:rPr>
      </w:pPr>
    </w:p>
    <w:p>
      <w:pPr>
        <w:ind w:left="1080" w:firstLine="523"/>
        <w:spacing w:after="0" w:line="277" w:lineRule="auto"/>
        <w:tabs>
          <w:tab w:leader="none" w:pos="231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to designate (x) any Domestic Subsidiary of the Company as a Domestic Subsidiary Borrower, (y) any Foreign Subsidiary organized or domiciled under the laws of the United Kingdom, Sweden, Canada, Germany or any other foreign jurisdiction, in each case, with the consent of each Lender under the Multicurrency Facility (provided that no such Lender may withhold such consent unless it is unable to make extensions of credit or provide Commitments to such Foreign Subsidiary pursuant to any Requirement of Law) and the Administrative Agent (not to be unreasonably withheld) as a Foreign Subsidiary Borrower under the Multicurrency Facility (y) with the consent of the Brazilian Lenders, any Brazilian Subsidiary as a Brazilian Subsidiary Borrower under the Brazilian Facility and (z) any other Foreign Subsidiary of the Company as a Foreign Subsidiary Borrower under a New Local Facility or any Incremental Facility upon (A) ten Business Days’ prior notice to the Administrative Agent (and, in the case of any additional Brazilian Subsidiary Borrower, the Brazilian Administrative Agent) (such notice to contain the name, primary business address and taxpayer identification number of such Subsidiary), (B) the execution and delivery by the Company, such Subsidiary and the Administrative Agent (and, in the case of any additional Brazilian Subsidiary Borrower, the Brazilian Administrative Agent) of a Borrower Joinder Agreement, providing for such Subsidiary to become a Subsidiary Borrower, (C) the agreement and acknowledgment by the Company and, during any Reinstated Guarantee Period, each Subsidiary Guarantor, that the Guarantee covers the Obligations of such Subsidiary, (D) the delivery to the Administrative Agent (and, in the case of any new Brazilian Subsidiary Borrower, the Brazilian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(and, in the case of any new Brazilian Subsidiary Borrower, the Brazilian Administrative Agent) of any documentation or other information reasonably requested by the Administrative Agent (or the Brazilian Administrative Agent, as applicable) and necessary to satisfy obligations of the Lenders described in Section 10.18 or any applicable “know your customer” or other anti-money laundering Requirement of Law; and</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86" w:name="page287"/>
    <w:bookmarkEnd w:id="286"/>
    <w:p>
      <w:pPr>
        <w:ind w:left="1080" w:right="140" w:firstLine="523"/>
        <w:spacing w:after="0" w:line="263" w:lineRule="auto"/>
        <w:tabs>
          <w:tab w:leader="none" w:pos="23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69" w:lineRule="exact"/>
        <w:rPr>
          <w:sz w:val="20"/>
          <w:szCs w:val="20"/>
          <w:color w:val="auto"/>
        </w:rPr>
      </w:pPr>
    </w:p>
    <w:p>
      <w:pPr>
        <w:ind w:firstLine="1063"/>
        <w:spacing w:after="0" w:line="235" w:lineRule="auto"/>
        <w:rPr>
          <w:sz w:val="20"/>
          <w:szCs w:val="20"/>
          <w:color w:val="auto"/>
        </w:rPr>
      </w:pPr>
      <w:r>
        <w:rPr>
          <w:rFonts w:ascii="Arial" w:cs="Arial" w:eastAsia="Arial" w:hAnsi="Arial"/>
          <w:sz w:val="18"/>
          <w:szCs w:val="18"/>
          <w:color w:val="auto"/>
        </w:rPr>
        <w:t>10.2</w:t>
      </w:r>
      <w:r>
        <w:rPr>
          <w:rFonts w:ascii="Arial" w:cs="Arial" w:eastAsia="Arial" w:hAnsi="Arial"/>
          <w:sz w:val="18"/>
          <w:szCs w:val="18"/>
          <w:u w:val="single" w:color="auto"/>
          <w:color w:val="auto"/>
        </w:rPr>
        <w:t>Notices</w:t>
      </w:r>
      <w:r>
        <w:rPr>
          <w:rFonts w:ascii="Arial" w:cs="Arial" w:eastAsia="Arial" w:hAnsi="Arial"/>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the Brazilian Administrative Agent and the Administrative Agent, and as set forth in an administrative questionnaire delivered to the Administrative Agent and the Company in the case of the Lenders, or to such other address as may be hereafter notified by the respective parties hereto:</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ind w:left="40"/>
              <w:spacing w:after="0"/>
              <w:rPr>
                <w:sz w:val="20"/>
                <w:szCs w:val="20"/>
                <w:color w:val="auto"/>
              </w:rPr>
            </w:pPr>
            <w:r>
              <w:rPr>
                <w:rFonts w:ascii="Arial" w:cs="Arial" w:eastAsia="Arial" w:hAnsi="Arial"/>
                <w:sz w:val="18"/>
                <w:szCs w:val="18"/>
                <w:color w:val="auto"/>
              </w:rPr>
              <w:t>Any Borrower:</w:t>
            </w:r>
          </w:p>
        </w:tc>
        <w:tc>
          <w:tcPr>
            <w:tcW w:w="3860" w:type="dxa"/>
            <w:vAlign w:val="bottom"/>
          </w:tcPr>
          <w:p>
            <w:pPr>
              <w:ind w:left="98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Detroit Treasury Office</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300 Renaissance Center</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Mail code: 482-C27-B94</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Detroit, MI 48265</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Attention: Treasurer</w:t>
            </w:r>
          </w:p>
        </w:tc>
        <w:tc>
          <w:tcPr>
            <w:tcW w:w="0" w:type="dxa"/>
            <w:vAlign w:val="bottom"/>
          </w:tcPr>
          <w:p>
            <w:pPr>
              <w:spacing w:after="0"/>
              <w:rPr>
                <w:sz w:val="1"/>
                <w:szCs w:val="1"/>
                <w:color w:val="auto"/>
              </w:rPr>
            </w:pPr>
          </w:p>
        </w:tc>
      </w:tr>
      <w:tr>
        <w:trPr>
          <w:trHeight w:val="224"/>
        </w:trPr>
        <w:tc>
          <w:tcPr>
            <w:tcW w:w="2600" w:type="dxa"/>
            <w:vAlign w:val="bottom"/>
          </w:tcPr>
          <w:p>
            <w:pPr>
              <w:spacing w:after="0"/>
              <w:rPr>
                <w:sz w:val="19"/>
                <w:szCs w:val="19"/>
                <w:color w:val="auto"/>
              </w:rPr>
            </w:pPr>
          </w:p>
        </w:tc>
        <w:tc>
          <w:tcPr>
            <w:tcW w:w="3860" w:type="dxa"/>
            <w:vAlign w:val="bottom"/>
          </w:tcPr>
          <w:p>
            <w:pPr>
              <w:ind w:left="980"/>
              <w:spacing w:after="0"/>
              <w:rPr>
                <w:sz w:val="20"/>
                <w:szCs w:val="20"/>
                <w:color w:val="auto"/>
              </w:rPr>
            </w:pPr>
            <w:r>
              <w:rPr>
                <w:rFonts w:ascii="Arial" w:cs="Arial" w:eastAsia="Arial" w:hAnsi="Arial"/>
                <w:sz w:val="18"/>
                <w:szCs w:val="18"/>
                <w:color w:val="auto"/>
              </w:rPr>
              <w:t>Facsimile: 313-665-9324</w:t>
            </w:r>
          </w:p>
        </w:tc>
        <w:tc>
          <w:tcPr>
            <w:tcW w:w="0" w:type="dxa"/>
            <w:vAlign w:val="bottom"/>
          </w:tcPr>
          <w:p>
            <w:pPr>
              <w:spacing w:after="0"/>
              <w:rPr>
                <w:sz w:val="1"/>
                <w:szCs w:val="1"/>
                <w:color w:val="auto"/>
              </w:rPr>
            </w:pPr>
          </w:p>
        </w:tc>
      </w:tr>
      <w:tr>
        <w:trPr>
          <w:trHeight w:val="319"/>
        </w:trPr>
        <w:tc>
          <w:tcPr>
            <w:tcW w:w="2600" w:type="dxa"/>
            <w:vAlign w:val="bottom"/>
          </w:tcPr>
          <w:p>
            <w:pPr>
              <w:ind w:left="40"/>
              <w:spacing w:after="0"/>
              <w:rPr>
                <w:sz w:val="20"/>
                <w:szCs w:val="20"/>
                <w:color w:val="auto"/>
              </w:rPr>
            </w:pPr>
            <w:r>
              <w:rPr>
                <w:rFonts w:ascii="Arial" w:cs="Arial" w:eastAsia="Arial" w:hAnsi="Arial"/>
                <w:sz w:val="18"/>
                <w:szCs w:val="18"/>
                <w:color w:val="auto"/>
              </w:rPr>
              <w:t>with a copy to:</w:t>
            </w:r>
          </w:p>
        </w:tc>
        <w:tc>
          <w:tcPr>
            <w:tcW w:w="3860" w:type="dxa"/>
            <w:vAlign w:val="bottom"/>
          </w:tcPr>
          <w:p>
            <w:pPr>
              <w:ind w:left="98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Detroit Treasury Office</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300 Renaissance Center</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Mail code: 482-C26-A81</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Detroit, MI 48265</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Attention: General Director</w:t>
            </w:r>
          </w:p>
        </w:tc>
        <w:tc>
          <w:tcPr>
            <w:tcW w:w="0" w:type="dxa"/>
            <w:vAlign w:val="bottom"/>
          </w:tcPr>
          <w:p>
            <w:pPr>
              <w:spacing w:after="0"/>
              <w:rPr>
                <w:sz w:val="1"/>
                <w:szCs w:val="1"/>
                <w:color w:val="auto"/>
              </w:rPr>
            </w:pPr>
          </w:p>
        </w:tc>
      </w:tr>
      <w:tr>
        <w:trPr>
          <w:trHeight w:val="224"/>
        </w:trPr>
        <w:tc>
          <w:tcPr>
            <w:tcW w:w="2600" w:type="dxa"/>
            <w:vAlign w:val="bottom"/>
          </w:tcPr>
          <w:p>
            <w:pPr>
              <w:spacing w:after="0"/>
              <w:rPr>
                <w:sz w:val="19"/>
                <w:szCs w:val="19"/>
                <w:color w:val="auto"/>
              </w:rPr>
            </w:pPr>
          </w:p>
        </w:tc>
        <w:tc>
          <w:tcPr>
            <w:tcW w:w="3860" w:type="dxa"/>
            <w:vAlign w:val="bottom"/>
          </w:tcPr>
          <w:p>
            <w:pPr>
              <w:ind w:left="980"/>
              <w:spacing w:after="0"/>
              <w:rPr>
                <w:sz w:val="20"/>
                <w:szCs w:val="20"/>
                <w:color w:val="auto"/>
              </w:rPr>
            </w:pPr>
            <w:r>
              <w:rPr>
                <w:rFonts w:ascii="Arial" w:cs="Arial" w:eastAsia="Arial" w:hAnsi="Arial"/>
                <w:sz w:val="18"/>
                <w:szCs w:val="18"/>
                <w:color w:val="auto"/>
              </w:rPr>
              <w:t>Facsimile: 313-665-0735</w:t>
            </w:r>
          </w:p>
        </w:tc>
        <w:tc>
          <w:tcPr>
            <w:tcW w:w="0" w:type="dxa"/>
            <w:vAlign w:val="bottom"/>
          </w:tcPr>
          <w:p>
            <w:pPr>
              <w:spacing w:after="0"/>
              <w:rPr>
                <w:sz w:val="1"/>
                <w:szCs w:val="1"/>
                <w:color w:val="auto"/>
              </w:rPr>
            </w:pPr>
          </w:p>
        </w:tc>
      </w:tr>
      <w:tr>
        <w:trPr>
          <w:trHeight w:val="319"/>
        </w:trPr>
        <w:tc>
          <w:tcPr>
            <w:tcW w:w="2600" w:type="dxa"/>
            <w:vAlign w:val="bottom"/>
          </w:tcPr>
          <w:p>
            <w:pPr>
              <w:ind w:left="40"/>
              <w:spacing w:after="0"/>
              <w:rPr>
                <w:sz w:val="20"/>
                <w:szCs w:val="20"/>
                <w:color w:val="auto"/>
              </w:rPr>
            </w:pPr>
            <w:r>
              <w:rPr>
                <w:rFonts w:ascii="Arial" w:cs="Arial" w:eastAsia="Arial" w:hAnsi="Arial"/>
                <w:sz w:val="18"/>
                <w:szCs w:val="18"/>
                <w:color w:val="auto"/>
              </w:rPr>
              <w:t>with a further copy to:</w:t>
            </w:r>
          </w:p>
        </w:tc>
        <w:tc>
          <w:tcPr>
            <w:tcW w:w="3860" w:type="dxa"/>
            <w:vAlign w:val="bottom"/>
          </w:tcPr>
          <w:p>
            <w:pPr>
              <w:ind w:left="98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Detroit Treasury Office</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300 Renaissance Center</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Mail code: 482-C26-A81</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Detroit, MI 48265</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Attention: Director, Capital Markets</w:t>
            </w:r>
          </w:p>
        </w:tc>
        <w:tc>
          <w:tcPr>
            <w:tcW w:w="0" w:type="dxa"/>
            <w:vAlign w:val="bottom"/>
          </w:tcPr>
          <w:p>
            <w:pPr>
              <w:spacing w:after="0"/>
              <w:rPr>
                <w:sz w:val="1"/>
                <w:szCs w:val="1"/>
                <w:color w:val="auto"/>
              </w:rPr>
            </w:pPr>
          </w:p>
        </w:tc>
      </w:tr>
      <w:tr>
        <w:trPr>
          <w:trHeight w:val="224"/>
        </w:trPr>
        <w:tc>
          <w:tcPr>
            <w:tcW w:w="2600" w:type="dxa"/>
            <w:vAlign w:val="bottom"/>
          </w:tcPr>
          <w:p>
            <w:pPr>
              <w:spacing w:after="0"/>
              <w:rPr>
                <w:sz w:val="19"/>
                <w:szCs w:val="19"/>
                <w:color w:val="auto"/>
              </w:rPr>
            </w:pPr>
          </w:p>
        </w:tc>
        <w:tc>
          <w:tcPr>
            <w:tcW w:w="3860" w:type="dxa"/>
            <w:vAlign w:val="bottom"/>
          </w:tcPr>
          <w:p>
            <w:pPr>
              <w:ind w:left="980"/>
              <w:spacing w:after="0"/>
              <w:rPr>
                <w:sz w:val="20"/>
                <w:szCs w:val="20"/>
                <w:color w:val="auto"/>
              </w:rPr>
            </w:pPr>
            <w:r>
              <w:rPr>
                <w:rFonts w:ascii="Arial" w:cs="Arial" w:eastAsia="Arial" w:hAnsi="Arial"/>
                <w:sz w:val="18"/>
                <w:szCs w:val="18"/>
                <w:color w:val="auto"/>
              </w:rPr>
              <w:t>Facsimile: 313-665-0735</w:t>
            </w:r>
          </w:p>
        </w:tc>
        <w:tc>
          <w:tcPr>
            <w:tcW w:w="0" w:type="dxa"/>
            <w:vAlign w:val="bottom"/>
          </w:tcPr>
          <w:p>
            <w:pPr>
              <w:spacing w:after="0"/>
              <w:rPr>
                <w:sz w:val="1"/>
                <w:szCs w:val="1"/>
                <w:color w:val="auto"/>
              </w:rPr>
            </w:pPr>
          </w:p>
        </w:tc>
      </w:tr>
      <w:tr>
        <w:trPr>
          <w:trHeight w:val="319"/>
        </w:trPr>
        <w:tc>
          <w:tcPr>
            <w:tcW w:w="2600" w:type="dxa"/>
            <w:vAlign w:val="bottom"/>
          </w:tcPr>
          <w:p>
            <w:pPr>
              <w:ind w:left="40"/>
              <w:spacing w:after="0"/>
              <w:rPr>
                <w:sz w:val="20"/>
                <w:szCs w:val="20"/>
                <w:color w:val="auto"/>
              </w:rPr>
            </w:pPr>
            <w:r>
              <w:rPr>
                <w:rFonts w:ascii="Arial" w:cs="Arial" w:eastAsia="Arial" w:hAnsi="Arial"/>
                <w:sz w:val="18"/>
                <w:szCs w:val="18"/>
                <w:color w:val="auto"/>
              </w:rPr>
              <w:t>with a further copy to:</w:t>
            </w:r>
          </w:p>
        </w:tc>
        <w:tc>
          <w:tcPr>
            <w:tcW w:w="3860" w:type="dxa"/>
            <w:vAlign w:val="bottom"/>
          </w:tcPr>
          <w:p>
            <w:pPr>
              <w:ind w:left="98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Detroit Treasury Office</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300 Renaissance Center</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Mail code: 482-C26-A81</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rPr>
              <w:t>Detroit, MI 48265</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3860" w:type="dxa"/>
            <w:vAlign w:val="bottom"/>
          </w:tcPr>
          <w:p>
            <w:pPr>
              <w:ind w:left="980"/>
              <w:spacing w:after="0" w:line="200" w:lineRule="exact"/>
              <w:rPr>
                <w:sz w:val="20"/>
                <w:szCs w:val="20"/>
                <w:color w:val="auto"/>
              </w:rPr>
            </w:pPr>
            <w:r>
              <w:rPr>
                <w:rFonts w:ascii="Arial" w:cs="Arial" w:eastAsia="Arial" w:hAnsi="Arial"/>
                <w:sz w:val="18"/>
                <w:szCs w:val="18"/>
                <w:color w:val="auto"/>
                <w:w w:val="89"/>
              </w:rPr>
              <w:t>Attention: Director, Treasury Operations</w:t>
            </w:r>
          </w:p>
        </w:tc>
        <w:tc>
          <w:tcPr>
            <w:tcW w:w="0" w:type="dxa"/>
            <w:vAlign w:val="bottom"/>
          </w:tcPr>
          <w:p>
            <w:pPr>
              <w:spacing w:after="0"/>
              <w:rPr>
                <w:sz w:val="1"/>
                <w:szCs w:val="1"/>
                <w:color w:val="auto"/>
              </w:rPr>
            </w:pPr>
          </w:p>
        </w:tc>
      </w:tr>
      <w:tr>
        <w:trPr>
          <w:trHeight w:val="224"/>
        </w:trPr>
        <w:tc>
          <w:tcPr>
            <w:tcW w:w="2600" w:type="dxa"/>
            <w:vAlign w:val="bottom"/>
          </w:tcPr>
          <w:p>
            <w:pPr>
              <w:spacing w:after="0"/>
              <w:rPr>
                <w:sz w:val="19"/>
                <w:szCs w:val="19"/>
                <w:color w:val="auto"/>
              </w:rPr>
            </w:pPr>
          </w:p>
        </w:tc>
        <w:tc>
          <w:tcPr>
            <w:tcW w:w="3860" w:type="dxa"/>
            <w:vAlign w:val="bottom"/>
          </w:tcPr>
          <w:p>
            <w:pPr>
              <w:ind w:left="980"/>
              <w:spacing w:after="0"/>
              <w:rPr>
                <w:sz w:val="20"/>
                <w:szCs w:val="20"/>
                <w:color w:val="auto"/>
              </w:rPr>
            </w:pPr>
            <w:r>
              <w:rPr>
                <w:rFonts w:ascii="Arial" w:cs="Arial" w:eastAsia="Arial" w:hAnsi="Arial"/>
                <w:sz w:val="18"/>
                <w:szCs w:val="18"/>
                <w:color w:val="auto"/>
              </w:rPr>
              <w:t>Facsimile: 313-665-0735</w:t>
            </w:r>
          </w:p>
        </w:tc>
        <w:tc>
          <w:tcPr>
            <w:tcW w:w="0" w:type="dxa"/>
            <w:vAlign w:val="bottom"/>
          </w:tcPr>
          <w:p>
            <w:pPr>
              <w:spacing w:after="0"/>
              <w:rPr>
                <w:sz w:val="1"/>
                <w:szCs w:val="1"/>
                <w:color w:val="auto"/>
              </w:rPr>
            </w:pPr>
          </w:p>
        </w:tc>
      </w:tr>
      <w:tr>
        <w:trPr>
          <w:trHeight w:val="532"/>
        </w:trPr>
        <w:tc>
          <w:tcPr>
            <w:tcW w:w="2600" w:type="dxa"/>
            <w:vAlign w:val="bottom"/>
            <w:vMerge w:val="restart"/>
          </w:tcPr>
          <w:p>
            <w:pPr>
              <w:spacing w:after="0"/>
              <w:rPr>
                <w:sz w:val="20"/>
                <w:szCs w:val="20"/>
                <w:color w:val="auto"/>
              </w:rPr>
            </w:pPr>
            <w:r>
              <w:rPr>
                <w:rFonts w:ascii="Arial" w:cs="Arial" w:eastAsia="Arial" w:hAnsi="Arial"/>
                <w:sz w:val="10"/>
                <w:szCs w:val="10"/>
                <w:color w:val="auto"/>
              </w:rPr>
              <w:t>509265-1725-14038-Active.16362140</w:t>
            </w:r>
          </w:p>
        </w:tc>
        <w:tc>
          <w:tcPr>
            <w:tcW w:w="3860" w:type="dxa"/>
            <w:vAlign w:val="bottom"/>
          </w:tcPr>
          <w:p>
            <w:pPr>
              <w:ind w:left="30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11"/>
        </w:trPr>
        <w:tc>
          <w:tcPr>
            <w:tcW w:w="2600" w:type="dxa"/>
            <w:vAlign w:val="bottom"/>
            <w:vMerge w:val="continue"/>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20" w:top="134" w:right="239" w:bottom="1440" w:gutter="0" w:footer="0" w:header="0"/>
        </w:sectPr>
      </w:pPr>
    </w:p>
    <w:bookmarkStart w:id="287" w:name="page288"/>
    <w:bookmarkEnd w:id="287"/>
    <w:p>
      <w:pPr>
        <w:ind w:left="40"/>
        <w:spacing w:after="0"/>
        <w:rPr>
          <w:sz w:val="20"/>
          <w:szCs w:val="20"/>
          <w:color w:val="auto"/>
        </w:rPr>
      </w:pPr>
      <w:r>
        <w:rPr>
          <w:rFonts w:ascii="Arial" w:cs="Arial" w:eastAsia="Arial" w:hAnsi="Arial"/>
          <w:sz w:val="16"/>
          <w:szCs w:val="16"/>
          <w:color w:val="auto"/>
        </w:rPr>
        <w:t>with a further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8" w:lineRule="auto"/>
        <w:rPr>
          <w:sz w:val="20"/>
          <w:szCs w:val="20"/>
          <w:color w:val="auto"/>
        </w:rPr>
      </w:pPr>
      <w:r>
        <w:rPr>
          <w:rFonts w:ascii="Arial" w:cs="Arial" w:eastAsia="Arial" w:hAnsi="Arial"/>
          <w:sz w:val="18"/>
          <w:szCs w:val="18"/>
          <w:color w:val="auto"/>
        </w:rPr>
        <w:t>Legal Staff</w:t>
      </w:r>
    </w:p>
    <w:p>
      <w:pPr>
        <w:spacing w:after="0" w:line="231" w:lineRule="auto"/>
        <w:rPr>
          <w:sz w:val="20"/>
          <w:szCs w:val="20"/>
          <w:color w:val="auto"/>
        </w:rPr>
      </w:pPr>
      <w:r>
        <w:rPr>
          <w:rFonts w:ascii="Arial" w:cs="Arial" w:eastAsia="Arial" w:hAnsi="Arial"/>
          <w:sz w:val="18"/>
          <w:szCs w:val="18"/>
          <w:color w:val="auto"/>
        </w:rPr>
        <w:t>Mail Code 482-C23-D24</w:t>
      </w:r>
    </w:p>
    <w:p>
      <w:pPr>
        <w:spacing w:after="0" w:line="231" w:lineRule="auto"/>
        <w:rPr>
          <w:sz w:val="20"/>
          <w:szCs w:val="20"/>
          <w:color w:val="auto"/>
        </w:rPr>
      </w:pPr>
      <w:r>
        <w:rPr>
          <w:rFonts w:ascii="Arial" w:cs="Arial" w:eastAsia="Arial" w:hAnsi="Arial"/>
          <w:sz w:val="18"/>
          <w:szCs w:val="18"/>
          <w:color w:val="auto"/>
        </w:rPr>
        <w:t>300 Renaissance Center</w:t>
      </w:r>
    </w:p>
    <w:p>
      <w:pPr>
        <w:spacing w:after="0" w:line="231" w:lineRule="auto"/>
        <w:rPr>
          <w:sz w:val="20"/>
          <w:szCs w:val="20"/>
          <w:color w:val="auto"/>
        </w:rPr>
      </w:pPr>
      <w:r>
        <w:rPr>
          <w:rFonts w:ascii="Arial" w:cs="Arial" w:eastAsia="Arial" w:hAnsi="Arial"/>
          <w:sz w:val="18"/>
          <w:szCs w:val="18"/>
          <w:color w:val="auto"/>
        </w:rPr>
        <w:t>P.O. Box 300</w:t>
      </w:r>
    </w:p>
    <w:p>
      <w:pPr>
        <w:spacing w:after="0" w:line="232" w:lineRule="auto"/>
        <w:rPr>
          <w:sz w:val="20"/>
          <w:szCs w:val="20"/>
          <w:color w:val="auto"/>
        </w:rPr>
      </w:pPr>
      <w:r>
        <w:rPr>
          <w:rFonts w:ascii="Arial" w:cs="Arial" w:eastAsia="Arial" w:hAnsi="Arial"/>
          <w:sz w:val="18"/>
          <w:szCs w:val="18"/>
          <w:color w:val="auto"/>
        </w:rPr>
        <w:t>Detroit, MI 48265-3000</w:t>
      </w:r>
    </w:p>
    <w:p>
      <w:pPr>
        <w:spacing w:after="0"/>
        <w:rPr>
          <w:sz w:val="20"/>
          <w:szCs w:val="20"/>
          <w:color w:val="auto"/>
        </w:rPr>
      </w:pPr>
      <w:r>
        <w:rPr>
          <w:rFonts w:ascii="Arial" w:cs="Arial" w:eastAsia="Arial" w:hAnsi="Arial"/>
          <w:sz w:val="16"/>
          <w:szCs w:val="16"/>
          <w:color w:val="auto"/>
        </w:rPr>
        <w:t>Attention: Kimberly K. Hudolin, Esq,</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Facsimile: 313-665-4976</w:t>
      </w:r>
    </w:p>
    <w:p>
      <w:pPr>
        <w:spacing w:after="0"/>
        <w:rPr>
          <w:sz w:val="20"/>
          <w:szCs w:val="20"/>
          <w:color w:val="auto"/>
        </w:rPr>
      </w:pPr>
      <w:r>
        <w:rPr>
          <w:rFonts w:ascii="Arial" w:cs="Arial" w:eastAsia="Arial" w:hAnsi="Arial"/>
          <w:sz w:val="17"/>
          <w:szCs w:val="17"/>
          <w:color w:val="auto"/>
        </w:rPr>
        <w:t>Email: kimberly.k.hudolin@gm.com</w:t>
      </w:r>
    </w:p>
    <w:p>
      <w:pPr>
        <w:spacing w:after="0" w:line="134" w:lineRule="exact"/>
        <w:rPr>
          <w:sz w:val="20"/>
          <w:szCs w:val="20"/>
          <w:color w:val="auto"/>
        </w:rPr>
      </w:pPr>
    </w:p>
    <w:p>
      <w:pPr>
        <w:sectPr>
          <w:pgSz w:w="11900" w:h="16838" w:orient="portrait"/>
          <w:cols w:equalWidth="0" w:num="2">
            <w:col w:w="2860" w:space="720"/>
            <w:col w:w="7740"/>
          </w:cols>
          <w:pgMar w:left="220" w:top="256" w:right="359" w:bottom="1440" w:gutter="0" w:footer="0" w:header="0"/>
        </w:sectPr>
      </w:pPr>
    </w:p>
    <w:p>
      <w:pPr>
        <w:ind w:left="40"/>
        <w:spacing w:after="0"/>
        <w:rPr>
          <w:sz w:val="20"/>
          <w:szCs w:val="20"/>
          <w:color w:val="auto"/>
        </w:rPr>
      </w:pPr>
      <w:r>
        <w:rPr>
          <w:rFonts w:ascii="Arial" w:cs="Arial" w:eastAsia="Arial" w:hAnsi="Arial"/>
          <w:sz w:val="16"/>
          <w:szCs w:val="16"/>
          <w:color w:val="auto"/>
        </w:rPr>
        <w:t>with a further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Weil Gotshal &amp; Manges LLP</w:t>
      </w:r>
    </w:p>
    <w:p>
      <w:pPr>
        <w:spacing w:after="0" w:line="238" w:lineRule="auto"/>
        <w:rPr>
          <w:sz w:val="20"/>
          <w:szCs w:val="20"/>
          <w:color w:val="auto"/>
        </w:rPr>
      </w:pPr>
      <w:r>
        <w:rPr>
          <w:rFonts w:ascii="Arial" w:cs="Arial" w:eastAsia="Arial" w:hAnsi="Arial"/>
          <w:sz w:val="18"/>
          <w:szCs w:val="18"/>
          <w:color w:val="auto"/>
        </w:rPr>
        <w:t>767 Fifth Avenue</w:t>
      </w:r>
    </w:p>
    <w:p>
      <w:pPr>
        <w:spacing w:after="0" w:line="231" w:lineRule="auto"/>
        <w:rPr>
          <w:sz w:val="20"/>
          <w:szCs w:val="20"/>
          <w:color w:val="auto"/>
        </w:rPr>
      </w:pPr>
      <w:r>
        <w:rPr>
          <w:rFonts w:ascii="Arial" w:cs="Arial" w:eastAsia="Arial" w:hAnsi="Arial"/>
          <w:sz w:val="18"/>
          <w:szCs w:val="18"/>
          <w:color w:val="auto"/>
        </w:rPr>
        <w:t>New York, NY 10153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Attention: Daniel S. Dokos, Esq.</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Facsimile: 212-310-8007</w:t>
      </w:r>
    </w:p>
    <w:p>
      <w:pPr>
        <w:spacing w:after="0"/>
        <w:rPr>
          <w:sz w:val="20"/>
          <w:szCs w:val="20"/>
          <w:color w:val="auto"/>
        </w:rPr>
      </w:pPr>
      <w:r>
        <w:rPr>
          <w:rFonts w:ascii="Arial" w:cs="Arial" w:eastAsia="Arial" w:hAnsi="Arial"/>
          <w:sz w:val="17"/>
          <w:szCs w:val="17"/>
          <w:color w:val="auto"/>
        </w:rPr>
        <w:t>Email: daniel.dokos@weil.com</w:t>
      </w:r>
    </w:p>
    <w:p>
      <w:pPr>
        <w:spacing w:after="0" w:line="134" w:lineRule="exact"/>
        <w:rPr>
          <w:sz w:val="20"/>
          <w:szCs w:val="20"/>
          <w:color w:val="auto"/>
        </w:rPr>
      </w:pPr>
    </w:p>
    <w:p>
      <w:pPr>
        <w:sectPr>
          <w:pgSz w:w="11900" w:h="16838" w:orient="portrait"/>
          <w:cols w:equalWidth="0" w:num="2">
            <w:col w:w="2860" w:space="720"/>
            <w:col w:w="7740"/>
          </w:cols>
          <w:pgMar w:left="220" w:top="256" w:right="3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Administrative Agent for all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 as Administrative Agent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Investment Bank Loan Operations North America</w:t>
      </w:r>
    </w:p>
    <w:p>
      <w:pPr>
        <w:spacing w:after="0" w:line="235" w:lineRule="auto"/>
        <w:rPr>
          <w:sz w:val="20"/>
          <w:szCs w:val="20"/>
          <w:color w:val="auto"/>
        </w:rPr>
      </w:pPr>
      <w:r>
        <w:rPr>
          <w:rFonts w:ascii="Arial" w:cs="Arial" w:eastAsia="Arial" w:hAnsi="Arial"/>
          <w:sz w:val="18"/>
          <w:szCs w:val="18"/>
          <w:color w:val="auto"/>
        </w:rPr>
        <w:t>500 Stanton Christiana Road, Ops 2, Floor 03</w:t>
      </w:r>
    </w:p>
    <w:p>
      <w:pPr>
        <w:spacing w:after="0" w:line="231" w:lineRule="auto"/>
        <w:rPr>
          <w:sz w:val="20"/>
          <w:szCs w:val="20"/>
          <w:color w:val="auto"/>
        </w:rPr>
      </w:pPr>
      <w:r>
        <w:rPr>
          <w:rFonts w:ascii="Arial" w:cs="Arial" w:eastAsia="Arial" w:hAnsi="Arial"/>
          <w:sz w:val="18"/>
          <w:szCs w:val="18"/>
          <w:color w:val="auto"/>
        </w:rPr>
        <w:t>Newark, DE, 19713-2107, United States</w:t>
      </w:r>
    </w:p>
    <w:p>
      <w:pPr>
        <w:spacing w:after="0" w:line="231" w:lineRule="auto"/>
        <w:rPr>
          <w:sz w:val="20"/>
          <w:szCs w:val="20"/>
          <w:color w:val="auto"/>
        </w:rPr>
      </w:pPr>
      <w:r>
        <w:rPr>
          <w:rFonts w:ascii="Arial" w:cs="Arial" w:eastAsia="Arial" w:hAnsi="Arial"/>
          <w:sz w:val="18"/>
          <w:szCs w:val="18"/>
          <w:color w:val="auto"/>
        </w:rPr>
        <w:t>Email: emily.cousineau@jpmorgan.com</w:t>
      </w:r>
    </w:p>
    <w:p>
      <w:pPr>
        <w:spacing w:after="0" w:line="232" w:lineRule="auto"/>
        <w:rPr>
          <w:sz w:val="20"/>
          <w:szCs w:val="20"/>
          <w:color w:val="auto"/>
        </w:rPr>
      </w:pPr>
      <w:r>
        <w:rPr>
          <w:rFonts w:ascii="Arial" w:cs="Arial" w:eastAsia="Arial" w:hAnsi="Arial"/>
          <w:sz w:val="18"/>
          <w:szCs w:val="18"/>
          <w:color w:val="auto"/>
        </w:rPr>
        <w:t>(201) 639-5215 (facsimile)</w:t>
      </w:r>
    </w:p>
    <w:p>
      <w:pPr>
        <w:spacing w:after="0" w:line="231" w:lineRule="auto"/>
        <w:rPr>
          <w:sz w:val="20"/>
          <w:szCs w:val="20"/>
          <w:color w:val="auto"/>
        </w:rPr>
      </w:pPr>
      <w:r>
        <w:rPr>
          <w:rFonts w:ascii="Arial" w:cs="Arial" w:eastAsia="Arial" w:hAnsi="Arial"/>
          <w:sz w:val="18"/>
          <w:szCs w:val="18"/>
          <w:color w:val="auto"/>
        </w:rPr>
        <w:t>302-634-8612 (Tel)</w:t>
      </w:r>
    </w:p>
    <w:p>
      <w:pPr>
        <w:spacing w:after="0"/>
        <w:rPr>
          <w:sz w:val="20"/>
          <w:szCs w:val="20"/>
          <w:color w:val="auto"/>
        </w:rPr>
      </w:pPr>
      <w:r>
        <w:rPr>
          <w:rFonts w:ascii="Arial" w:cs="Arial" w:eastAsia="Arial" w:hAnsi="Arial"/>
          <w:sz w:val="18"/>
          <w:szCs w:val="18"/>
          <w:color w:val="auto"/>
        </w:rPr>
        <w:t>Attn: Emily Cousineau</w:t>
      </w:r>
    </w:p>
    <w:p>
      <w:pPr>
        <w:spacing w:after="0" w:line="122" w:lineRule="exact"/>
        <w:rPr>
          <w:sz w:val="20"/>
          <w:szCs w:val="20"/>
          <w:color w:val="auto"/>
        </w:rPr>
      </w:pPr>
    </w:p>
    <w:p>
      <w:pPr>
        <w:sectPr>
          <w:pgSz w:w="11900" w:h="16838" w:orient="portrait"/>
          <w:cols w:equalWidth="0" w:num="2">
            <w:col w:w="2860" w:space="720"/>
            <w:col w:w="7740"/>
          </w:cols>
          <w:pgMar w:left="220" w:top="256" w:right="3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JPMorgan Chase Bank, N.A.</w:t>
      </w:r>
    </w:p>
    <w:p>
      <w:pPr>
        <w:spacing w:after="0" w:line="238" w:lineRule="auto"/>
        <w:rPr>
          <w:sz w:val="20"/>
          <w:szCs w:val="20"/>
          <w:color w:val="auto"/>
        </w:rPr>
      </w:pPr>
      <w:r>
        <w:rPr>
          <w:rFonts w:ascii="Arial" w:cs="Arial" w:eastAsia="Arial" w:hAnsi="Arial"/>
          <w:sz w:val="18"/>
          <w:szCs w:val="18"/>
          <w:color w:val="auto"/>
        </w:rPr>
        <w:t>383 Madison Avenue, Floor 24</w:t>
      </w:r>
    </w:p>
    <w:p>
      <w:pPr>
        <w:spacing w:after="0" w:line="231" w:lineRule="auto"/>
        <w:rPr>
          <w:sz w:val="20"/>
          <w:szCs w:val="20"/>
          <w:color w:val="auto"/>
        </w:rPr>
      </w:pPr>
      <w:r>
        <w:rPr>
          <w:rFonts w:ascii="Arial" w:cs="Arial" w:eastAsia="Arial" w:hAnsi="Arial"/>
          <w:sz w:val="18"/>
          <w:szCs w:val="18"/>
          <w:color w:val="auto"/>
        </w:rPr>
        <w:t>New York, NY, 10179, United States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Email: RICHARD.DUKER@jpmorgan.com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Facsimile: 212-270-5100</w:t>
      </w:r>
    </w:p>
    <w:p>
      <w:pPr>
        <w:spacing w:after="0" w:line="231" w:lineRule="auto"/>
        <w:rPr>
          <w:sz w:val="20"/>
          <w:szCs w:val="20"/>
          <w:color w:val="auto"/>
        </w:rPr>
      </w:pPr>
      <w:r>
        <w:rPr>
          <w:rFonts w:ascii="Arial" w:cs="Arial" w:eastAsia="Arial" w:hAnsi="Arial"/>
          <w:sz w:val="18"/>
          <w:szCs w:val="18"/>
          <w:color w:val="auto"/>
        </w:rPr>
        <w:t>Telephone: 212-270-3057</w:t>
      </w:r>
    </w:p>
    <w:p>
      <w:pPr>
        <w:spacing w:after="0"/>
        <w:rPr>
          <w:sz w:val="20"/>
          <w:szCs w:val="20"/>
          <w:color w:val="auto"/>
        </w:rPr>
      </w:pPr>
      <w:r>
        <w:rPr>
          <w:rFonts w:ascii="Arial" w:cs="Arial" w:eastAsia="Arial" w:hAnsi="Arial"/>
          <w:sz w:val="18"/>
          <w:szCs w:val="18"/>
          <w:color w:val="auto"/>
        </w:rPr>
        <w:t>Attention: Richard W. Duker</w:t>
      </w:r>
    </w:p>
    <w:p>
      <w:pPr>
        <w:spacing w:after="0" w:line="122" w:lineRule="exact"/>
        <w:rPr>
          <w:sz w:val="20"/>
          <w:szCs w:val="20"/>
          <w:color w:val="auto"/>
        </w:rPr>
      </w:pPr>
    </w:p>
    <w:p>
      <w:pPr>
        <w:sectPr>
          <w:pgSz w:w="11900" w:h="16838" w:orient="portrait"/>
          <w:cols w:equalWidth="0" w:num="2">
            <w:col w:w="2860" w:space="720"/>
            <w:col w:w="7740"/>
          </w:cols>
          <w:pgMar w:left="220" w:top="256" w:right="359" w:bottom="1440" w:gutter="0" w:footer="0" w:header="0"/>
          <w:type w:val="continuous"/>
        </w:sectPr>
      </w:pPr>
    </w:p>
    <w:p>
      <w:pPr>
        <w:jc w:val="both"/>
        <w:ind w:left="40"/>
        <w:spacing w:after="0"/>
        <w:rPr>
          <w:sz w:val="20"/>
          <w:szCs w:val="20"/>
          <w:color w:val="auto"/>
        </w:rPr>
      </w:pPr>
      <w:r>
        <w:rPr>
          <w:rFonts w:ascii="Arial" w:cs="Arial" w:eastAsia="Arial" w:hAnsi="Arial"/>
          <w:sz w:val="18"/>
          <w:szCs w:val="18"/>
          <w:color w:val="auto"/>
        </w:rPr>
        <w:t>with a further copy (with respect to any notices in connection with the Multicurrency Facility)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J.P. Morgan Europe Limited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Loans Agency 6th Floor</w:t>
      </w:r>
    </w:p>
    <w:p>
      <w:pPr>
        <w:spacing w:after="0"/>
        <w:rPr>
          <w:sz w:val="20"/>
          <w:szCs w:val="20"/>
          <w:color w:val="auto"/>
        </w:rPr>
      </w:pPr>
      <w:r>
        <w:rPr>
          <w:rFonts w:ascii="Arial" w:cs="Arial" w:eastAsia="Arial" w:hAnsi="Arial"/>
          <w:sz w:val="16"/>
          <w:szCs w:val="16"/>
          <w:color w:val="auto"/>
        </w:rPr>
        <w:t>25 Bank Street, Canary Wharf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London E14 5JP</w:t>
      </w:r>
    </w:p>
    <w:p>
      <w:pPr>
        <w:spacing w:after="0" w:line="231" w:lineRule="auto"/>
        <w:rPr>
          <w:sz w:val="20"/>
          <w:szCs w:val="20"/>
          <w:color w:val="auto"/>
        </w:rPr>
      </w:pPr>
      <w:r>
        <w:rPr>
          <w:rFonts w:ascii="Arial" w:cs="Arial" w:eastAsia="Arial" w:hAnsi="Arial"/>
          <w:sz w:val="18"/>
          <w:szCs w:val="18"/>
          <w:color w:val="auto"/>
        </w:rPr>
        <w:t>United Kingdom</w:t>
      </w:r>
    </w:p>
    <w:p>
      <w:pPr>
        <w:spacing w:after="0" w:line="231" w:lineRule="auto"/>
        <w:rPr>
          <w:sz w:val="20"/>
          <w:szCs w:val="20"/>
          <w:color w:val="auto"/>
        </w:rPr>
      </w:pPr>
      <w:r>
        <w:rPr>
          <w:rFonts w:ascii="Arial" w:cs="Arial" w:eastAsia="Arial" w:hAnsi="Arial"/>
          <w:sz w:val="18"/>
          <w:szCs w:val="18"/>
          <w:color w:val="auto"/>
        </w:rPr>
        <w:t>Attention: Loans Agency</w:t>
      </w:r>
    </w:p>
    <w:p>
      <w:pPr>
        <w:spacing w:after="0"/>
        <w:rPr>
          <w:sz w:val="20"/>
          <w:szCs w:val="20"/>
          <w:color w:val="auto"/>
        </w:rPr>
      </w:pPr>
      <w:r>
        <w:rPr>
          <w:rFonts w:ascii="Arial" w:cs="Arial" w:eastAsia="Arial" w:hAnsi="Arial"/>
          <w:sz w:val="16"/>
          <w:szCs w:val="16"/>
          <w:color w:val="auto"/>
        </w:rPr>
        <w:t>Facsimile: +44 20 7777 2360</w:t>
      </w:r>
    </w:p>
    <w:p>
      <w:pPr>
        <w:spacing w:after="0" w:line="145" w:lineRule="exact"/>
        <w:rPr>
          <w:sz w:val="20"/>
          <w:szCs w:val="20"/>
          <w:color w:val="auto"/>
        </w:rPr>
      </w:pPr>
    </w:p>
    <w:p>
      <w:pPr>
        <w:sectPr>
          <w:pgSz w:w="11900" w:h="16838" w:orient="portrait"/>
          <w:cols w:equalWidth="0" w:num="2">
            <w:col w:w="3380" w:space="200"/>
            <w:col w:w="7740"/>
          </w:cols>
          <w:pgMar w:left="220" w:top="256" w:right="3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Brazilian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Banco do Brasil S.A.</w:t>
      </w:r>
    </w:p>
    <w:p>
      <w:pPr>
        <w:spacing w:after="0" w:line="238" w:lineRule="auto"/>
        <w:rPr>
          <w:sz w:val="20"/>
          <w:szCs w:val="20"/>
          <w:color w:val="auto"/>
        </w:rPr>
      </w:pPr>
      <w:r>
        <w:rPr>
          <w:rFonts w:ascii="Arial" w:cs="Arial" w:eastAsia="Arial" w:hAnsi="Arial"/>
          <w:sz w:val="18"/>
          <w:szCs w:val="18"/>
          <w:color w:val="auto"/>
        </w:rPr>
        <w:t>Avenida Paulista, 2300, Conjunto 21</w:t>
      </w:r>
    </w:p>
    <w:p>
      <w:pPr>
        <w:spacing w:after="0" w:line="231" w:lineRule="auto"/>
        <w:rPr>
          <w:sz w:val="20"/>
          <w:szCs w:val="20"/>
          <w:color w:val="auto"/>
        </w:rPr>
      </w:pPr>
      <w:r>
        <w:rPr>
          <w:rFonts w:ascii="Arial" w:cs="Arial" w:eastAsia="Arial" w:hAnsi="Arial"/>
          <w:sz w:val="18"/>
          <w:szCs w:val="18"/>
          <w:color w:val="auto"/>
        </w:rPr>
        <w:t>Bela Vista</w:t>
      </w:r>
    </w:p>
    <w:p>
      <w:pPr>
        <w:spacing w:after="0" w:line="231" w:lineRule="auto"/>
        <w:rPr>
          <w:sz w:val="20"/>
          <w:szCs w:val="20"/>
          <w:color w:val="auto"/>
        </w:rPr>
      </w:pPr>
      <w:r>
        <w:rPr>
          <w:rFonts w:ascii="Arial" w:cs="Arial" w:eastAsia="Arial" w:hAnsi="Arial"/>
          <w:sz w:val="18"/>
          <w:szCs w:val="18"/>
          <w:color w:val="auto"/>
        </w:rPr>
        <w:t>CEP 01310-300</w:t>
      </w:r>
    </w:p>
    <w:p>
      <w:pPr>
        <w:spacing w:after="0" w:line="231" w:lineRule="auto"/>
        <w:rPr>
          <w:sz w:val="20"/>
          <w:szCs w:val="20"/>
          <w:color w:val="auto"/>
        </w:rPr>
      </w:pPr>
      <w:r>
        <w:rPr>
          <w:rFonts w:ascii="Arial" w:cs="Arial" w:eastAsia="Arial" w:hAnsi="Arial"/>
          <w:sz w:val="18"/>
          <w:szCs w:val="18"/>
          <w:color w:val="auto"/>
        </w:rPr>
        <w:t>Sao Paulo - SP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Attention: José Mauricio Affonso Bragança - Global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Facsimile: +55 11 2138-4855</w:t>
      </w:r>
    </w:p>
    <w:p>
      <w:pPr>
        <w:spacing w:after="0" w:line="200" w:lineRule="exact"/>
        <w:rPr>
          <w:sz w:val="20"/>
          <w:szCs w:val="20"/>
          <w:color w:val="auto"/>
        </w:rPr>
      </w:pPr>
    </w:p>
    <w:p>
      <w:pPr>
        <w:sectPr>
          <w:pgSz w:w="11900" w:h="16838" w:orient="portrait"/>
          <w:cols w:equalWidth="0" w:num="2">
            <w:col w:w="2860" w:space="720"/>
            <w:col w:w="7740"/>
          </w:cols>
          <w:pgMar w:left="220" w:top="256" w:right="359" w:bottom="1440" w:gutter="0" w:footer="0" w:header="0"/>
          <w:type w:val="continuous"/>
        </w:sectPr>
      </w:pPr>
    </w:p>
    <w:p>
      <w:pPr>
        <w:spacing w:after="0" w:line="19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Brazilian Administrative Agent or the Lenders pursuant to Section 2.2, 2.4, 2.5, 2.6, 2.10, 2.12, 2.13, or 2.15 shall not be effective until received.</w:t>
      </w:r>
    </w:p>
    <w:p>
      <w:pPr>
        <w:spacing w:after="0" w:line="144" w:lineRule="exact"/>
        <w:rPr>
          <w:sz w:val="20"/>
          <w:szCs w:val="20"/>
          <w:color w:val="auto"/>
        </w:rPr>
      </w:pPr>
    </w:p>
    <w:p>
      <w:pPr>
        <w:ind w:firstLine="1072"/>
        <w:spacing w:after="0" w:line="263" w:lineRule="auto"/>
        <w:tabs>
          <w:tab w:leader="none" w:pos="180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shall not be obligated to, make any notices or other Communications</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320"/>
          </w:cols>
          <w:pgMar w:left="220" w:top="256" w:right="359" w:bottom="1440" w:gutter="0" w:footer="0" w:header="0"/>
          <w:type w:val="continuous"/>
        </w:sectPr>
      </w:pPr>
    </w:p>
    <w:bookmarkStart w:id="288" w:name="page289"/>
    <w:bookmarkEnd w:id="288"/>
    <w:p>
      <w:pPr>
        <w:ind w:right="180"/>
        <w:spacing w:after="0" w:line="326" w:lineRule="auto"/>
        <w:rPr>
          <w:sz w:val="20"/>
          <w:szCs w:val="20"/>
          <w:color w:val="auto"/>
        </w:rPr>
      </w:pPr>
      <w:r>
        <w:rPr>
          <w:rFonts w:ascii="Arial" w:cs="Arial" w:eastAsia="Arial" w:hAnsi="Arial"/>
          <w:sz w:val="16"/>
          <w:szCs w:val="16"/>
          <w:color w:val="auto"/>
        </w:rPr>
        <w:t>available to the Lenders and the Issuing Lenders by posting such Communications on IntraLinks™ or a substantially similar electronic platform chosen by the Administrative Agent or the Brazilian Administrative Agent, as applicable, to be its electronic transmission system (the “</w:t>
      </w:r>
      <w:r>
        <w:rPr>
          <w:rFonts w:ascii="Arial" w:cs="Arial" w:eastAsia="Arial" w:hAnsi="Arial"/>
          <w:sz w:val="16"/>
          <w:szCs w:val="16"/>
          <w:u w:val="single" w:color="auto"/>
          <w:color w:val="auto"/>
        </w:rPr>
        <w:t>Approved Electronic Platform</w:t>
      </w:r>
      <w:r>
        <w:rPr>
          <w:rFonts w:ascii="Arial" w:cs="Arial" w:eastAsia="Arial" w:hAnsi="Arial"/>
          <w:sz w:val="16"/>
          <w:szCs w:val="16"/>
          <w:color w:val="auto"/>
        </w:rPr>
        <w:t>”).</w:t>
      </w:r>
    </w:p>
    <w:p>
      <w:pPr>
        <w:spacing w:after="0" w:line="131" w:lineRule="exact"/>
        <w:rPr>
          <w:sz w:val="20"/>
          <w:szCs w:val="20"/>
          <w:color w:val="auto"/>
        </w:rPr>
      </w:pPr>
    </w:p>
    <w:p>
      <w:pPr>
        <w:ind w:firstLine="1072"/>
        <w:spacing w:after="0" w:line="263" w:lineRule="auto"/>
        <w:tabs>
          <w:tab w:leader="none" w:pos="179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or the Brazilian Administrative Agent, as applicable,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80" w:lineRule="exact"/>
        <w:rPr>
          <w:rFonts w:ascii="Arial" w:cs="Arial" w:eastAsia="Arial" w:hAnsi="Arial"/>
          <w:sz w:val="17"/>
          <w:szCs w:val="17"/>
          <w:color w:val="auto"/>
        </w:rPr>
      </w:pPr>
    </w:p>
    <w:p>
      <w:pPr>
        <w:ind w:right="20" w:firstLine="1072"/>
        <w:spacing w:after="0" w:line="263" w:lineRule="auto"/>
        <w:tabs>
          <w:tab w:leader="none" w:pos="180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APPROVED ELECTRONIC PLATFORM AND THE COMMUNICATIONS ARE PROVIDED “AS IS” AND “AS AVAILABLE”. NONE OF THE ADMINISTRATIVE AGENT, THE BRAZILIAN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OR THE BRAZILIAN ADMINISTRATIVE AGENT IN CONNECTION WITH THE COMMUNICATIONS OR THE APPROVED ELECTRONIC PLATFORM.</w:t>
      </w:r>
    </w:p>
    <w:p>
      <w:pPr>
        <w:spacing w:after="0" w:line="180" w:lineRule="exact"/>
        <w:rPr>
          <w:rFonts w:ascii="Arial" w:cs="Arial" w:eastAsia="Arial" w:hAnsi="Arial"/>
          <w:sz w:val="17"/>
          <w:szCs w:val="17"/>
          <w:color w:val="auto"/>
        </w:rPr>
      </w:pPr>
    </w:p>
    <w:p>
      <w:pPr>
        <w:jc w:val="both"/>
        <w:ind w:right="340" w:firstLine="1072"/>
        <w:spacing w:after="0" w:line="275" w:lineRule="auto"/>
        <w:tabs>
          <w:tab w:leader="none" w:pos="179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Each of the parties hereto agrees that the Administrative Agent and the Brazilian Administrative Agent may, but (except as may be required by applicable law) shall not be obligated to, store the Communications on the Approved Electronic Platform in accordance with the Administrative Agent’s or the Brazilian Administrative Agent’s, as applicable, generally-applicable document retention procedures and policies.</w:t>
      </w:r>
    </w:p>
    <w:p>
      <w:pPr>
        <w:spacing w:after="0" w:line="170" w:lineRule="exact"/>
        <w:rPr>
          <w:sz w:val="20"/>
          <w:szCs w:val="20"/>
          <w:color w:val="auto"/>
        </w:rPr>
      </w:pPr>
    </w:p>
    <w:p>
      <w:pPr>
        <w:ind w:right="40" w:firstLine="1063"/>
        <w:spacing w:after="0" w:line="24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any right, remedy, power or privilege hereunder or under the other Loan Documents or the Brazilian Intercreditor Agreement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3" w:lineRule="exact"/>
        <w:rPr>
          <w:sz w:val="20"/>
          <w:szCs w:val="20"/>
          <w:color w:val="auto"/>
        </w:rPr>
      </w:pPr>
    </w:p>
    <w:p>
      <w:pPr>
        <w:ind w:right="100" w:firstLine="1063"/>
        <w:spacing w:after="0" w:line="25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89" w:name="page290"/>
    <w:bookmarkEnd w:id="289"/>
    <w:p>
      <w:pPr>
        <w:ind w:firstLine="1063"/>
        <w:spacing w:after="0" w:line="276"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(a) to pay or reimburse the Administrative Agent, the Brazilian Administrative Agent and the Arrangers for all their reasonable out-of-pocket costs and expenses incurred in connection with the development, preparation and execution of, and any amendment, supplement or modification to, this Agreement, the other Loan Documents and the Brazilian Intercreditor Agreement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be shared by the Administrative Agent and the Brazilian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and the Brazilian Administrative Agent for all their reasonable out-of-pocket costs and expenses incurred in connection with the enforcement or preservation of any rights under this Agreement, the other Loan Documents and the Brazilian Intercreditor Agreement, including the reasonable fees and out-of-pocket disbursements and other charges of one primary counsel to the Administrative Agent and the Brazilian Administrative Agent, one additional local counsel in each relevant jurisdiction which counsel shall act on behalf of all Lenders to be shared by the Administrative Agent and the Brazilian Administrative Agent and, in the event of a conflict, one separate counsel (and one local counsel in each relevant jurisdiction) for all persons similarly situated as required to address such conflict), (c) to pay, indemnify or reimburse each Lender, each Issuing Lender, the Brazilian Administrative Agent and the Administrative Agent for, and hold each Lender, each Issuing Lender, the Brazilian Administrative Agent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the Brazilian Intercreditor Agreement, and (d) to pay, indemnify or reimburse each Lender, each Issuing Lender, the Brazilian Administrative Agent, the Administrative Agent, their respective affiliates, and their respective officers, directors, partners, employees, advisors, agents, controlling persons and trustees (each, an “Indemnitee”)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2.22 or with respect to the costs, losses or expenses which are of the type covered by Section 2.21 or Section 2.23) in respect of the financing contemplated by this Agreement or the use or the proposed use of proceeds thereof, the other Loan Documents and the Brazilian Intercreditor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(ii) a material breach of the Loan Documents or the Brazilian Intercreditor Agreement, by, such Indemnitee, any of its affiliates or its or their respective officers, directors, partners, employees, advisors, agents, controlling persons or trustees or (iii) any dispute solely among Indemnitees not arising out of any act or omission of the Company or any of its affiliates (other than disputes involving claims against any Indemnitee in its capacity as, or fulfilling its role as, the Administrative Agent, the Brazilian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344" w:right="219" w:bottom="1440" w:gutter="0" w:footer="0" w:header="0"/>
        </w:sectPr>
      </w:pPr>
    </w:p>
    <w:bookmarkStart w:id="290" w:name="page291"/>
    <w:bookmarkEnd w:id="290"/>
    <w:p>
      <w:pPr>
        <w:spacing w:after="0" w:line="277" w:lineRule="auto"/>
        <w:rPr>
          <w:sz w:val="20"/>
          <w:szCs w:val="20"/>
          <w:color w:val="auto"/>
        </w:rPr>
      </w:pPr>
      <w:r>
        <w:rPr>
          <w:rFonts w:ascii="Arial" w:cs="Arial" w:eastAsia="Arial" w:hAnsi="Arial"/>
          <w:sz w:val="16"/>
          <w:szCs w:val="16"/>
          <w:color w:val="auto"/>
        </w:rPr>
        <w:t>expenses of whatever kind or nature, under or related to Environmental Laws, that any of them might have by statute or otherwise against any Indemnitee unless the same shall have resulted from the gross negligence or willful misconduct of, or material breach of the Loan Documents or the Brazilian Intercreditor Agreement by, such Indemnitee, any of its affiliates or its or their respective officers, directors, partners, employees, advisors, agents, controlling persons or trustees.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provided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76" w:lineRule="exact"/>
        <w:rPr>
          <w:sz w:val="20"/>
          <w:szCs w:val="20"/>
          <w:color w:val="auto"/>
        </w:rPr>
      </w:pPr>
    </w:p>
    <w:p>
      <w:pPr>
        <w:ind w:firstLine="1063"/>
        <w:spacing w:after="0" w:line="24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7.7,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w:t>
      </w:r>
    </w:p>
    <w:p>
      <w:pPr>
        <w:spacing w:after="0" w:line="195" w:lineRule="exact"/>
        <w:rPr>
          <w:sz w:val="20"/>
          <w:szCs w:val="20"/>
          <w:color w:val="auto"/>
        </w:rPr>
      </w:pPr>
    </w:p>
    <w:p>
      <w:pPr>
        <w:jc w:val="both"/>
        <w:ind w:right="140" w:firstLine="1072"/>
        <w:spacing w:after="0" w:line="250" w:lineRule="auto"/>
        <w:tabs>
          <w:tab w:leader="none" w:pos="18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189" w:lineRule="exact"/>
        <w:rPr>
          <w:rFonts w:ascii="Arial" w:cs="Arial" w:eastAsia="Arial" w:hAnsi="Arial"/>
          <w:sz w:val="18"/>
          <w:szCs w:val="18"/>
          <w:color w:val="auto"/>
        </w:rPr>
      </w:pPr>
    </w:p>
    <w:p>
      <w:pPr>
        <w:jc w:val="both"/>
        <w:ind w:left="1600" w:right="20" w:firstLine="535"/>
        <w:spacing w:after="0" w:line="253" w:lineRule="auto"/>
        <w:tabs>
          <w:tab w:leader="none" w:pos="287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91" w:name="page292"/>
    <w:bookmarkEnd w:id="291"/>
    <w:p>
      <w:pPr>
        <w:ind w:left="2880" w:hanging="745"/>
        <w:spacing w:after="0"/>
        <w:tabs>
          <w:tab w:leader="none" w:pos="28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213" w:lineRule="exact"/>
        <w:rPr>
          <w:rFonts w:ascii="Arial" w:cs="Arial" w:eastAsia="Arial" w:hAnsi="Arial"/>
          <w:sz w:val="18"/>
          <w:szCs w:val="18"/>
          <w:color w:val="auto"/>
        </w:rPr>
      </w:pPr>
    </w:p>
    <w:p>
      <w:pPr>
        <w:ind w:left="1600" w:right="80" w:firstLine="535"/>
        <w:spacing w:after="0" w:line="293" w:lineRule="auto"/>
        <w:tabs>
          <w:tab w:leader="none" w:pos="287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in the case of any assignment of any rights or interest under the Domestic Facility, each Material Issuing Lender at such time (unless such assignment is to a Lender who has an investment grade rating from two of S&amp;P, Moody’s and Fitch);</w:t>
      </w:r>
    </w:p>
    <w:p>
      <w:pPr>
        <w:spacing w:after="0" w:line="153" w:lineRule="exact"/>
        <w:rPr>
          <w:rFonts w:ascii="Arial" w:cs="Arial" w:eastAsia="Arial" w:hAnsi="Arial"/>
          <w:sz w:val="17"/>
          <w:szCs w:val="17"/>
          <w:color w:val="auto"/>
        </w:rPr>
      </w:pPr>
    </w:p>
    <w:p>
      <w:pPr>
        <w:ind w:left="2880" w:hanging="745"/>
        <w:spacing w:after="0"/>
        <w:tabs>
          <w:tab w:leader="none" w:pos="28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13" w:lineRule="exact"/>
        <w:rPr>
          <w:rFonts w:ascii="Arial" w:cs="Arial" w:eastAsia="Arial" w:hAnsi="Arial"/>
          <w:sz w:val="18"/>
          <w:szCs w:val="18"/>
          <w:color w:val="auto"/>
        </w:rPr>
      </w:pPr>
    </w:p>
    <w:p>
      <w:pPr>
        <w:ind w:left="2880" w:hanging="745"/>
        <w:spacing w:after="0"/>
        <w:tabs>
          <w:tab w:leader="none" w:pos="28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Brazilian Administrative Agent (in the case of any assignment of Brazilian Loans);</w:t>
      </w:r>
    </w:p>
    <w:p>
      <w:pPr>
        <w:spacing w:after="0" w:line="214" w:lineRule="exact"/>
        <w:rPr>
          <w:sz w:val="20"/>
          <w:szCs w:val="20"/>
          <w:color w:val="auto"/>
        </w:rPr>
      </w:pPr>
    </w:p>
    <w:p>
      <w:pPr>
        <w:ind w:left="1080"/>
        <w:spacing w:after="0" w:line="30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(x) no consent provided for in clause (2) above shall be required for an assignment to a Lender or an affiliate thereof and (y) none of the consents provided for in clause (3) above shall be required for an assignment to a Domestic Lender or an affiliate thereof and (z) no consent of the Company provided for in clause (1) above shall be required if an Event of Default under Section 8(a) or (f) has occurred and is continuing.</w:t>
      </w:r>
    </w:p>
    <w:p>
      <w:pPr>
        <w:spacing w:after="0" w:line="118" w:lineRule="exact"/>
        <w:rPr>
          <w:sz w:val="20"/>
          <w:szCs w:val="20"/>
          <w:color w:val="auto"/>
        </w:rPr>
      </w:pPr>
    </w:p>
    <w:p>
      <w:pPr>
        <w:ind w:right="20" w:firstLine="1063"/>
        <w:spacing w:after="0" w:line="253"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54" w:lineRule="exact"/>
        <w:rPr>
          <w:sz w:val="20"/>
          <w:szCs w:val="20"/>
          <w:color w:val="auto"/>
        </w:rPr>
      </w:pPr>
    </w:p>
    <w:p>
      <w:pPr>
        <w:ind w:left="2360" w:hanging="757"/>
        <w:spacing w:after="0"/>
        <w:tabs>
          <w:tab w:leader="none" w:pos="23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13" w:lineRule="exact"/>
        <w:rPr>
          <w:rFonts w:ascii="Arial" w:cs="Arial" w:eastAsia="Arial" w:hAnsi="Arial"/>
          <w:sz w:val="18"/>
          <w:szCs w:val="18"/>
          <w:color w:val="auto"/>
        </w:rPr>
      </w:pPr>
    </w:p>
    <w:p>
      <w:pPr>
        <w:ind w:left="1600" w:firstLine="535"/>
        <w:spacing w:after="0" w:line="284" w:lineRule="auto"/>
        <w:tabs>
          <w:tab w:leader="none" w:pos="2909"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8(a) or (f) has occurred and is continuing and (2) such amounts shall be aggregated in respect of each Lender and its affiliates or Approved Funds, if any;</w:t>
      </w:r>
    </w:p>
    <w:p>
      <w:pPr>
        <w:spacing w:after="0" w:line="166" w:lineRule="exact"/>
        <w:rPr>
          <w:rFonts w:ascii="Arial" w:cs="Arial" w:eastAsia="Arial" w:hAnsi="Arial"/>
          <w:sz w:val="16"/>
          <w:szCs w:val="16"/>
          <w:color w:val="auto"/>
        </w:rPr>
      </w:pPr>
    </w:p>
    <w:p>
      <w:pPr>
        <w:ind w:left="1600" w:right="20" w:firstLine="535"/>
        <w:spacing w:after="0" w:line="267" w:lineRule="auto"/>
        <w:tabs>
          <w:tab w:leader="none" w:pos="2899"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the parties to each assignment (or, in the case of an assignment made pursuant to the exercise of the Company’s rights under Section 2.25,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2.25, by the assigning Lender, the Assignee, or the Company);</w:t>
      </w:r>
    </w:p>
    <w:p>
      <w:pPr>
        <w:spacing w:after="0" w:line="175" w:lineRule="exact"/>
        <w:rPr>
          <w:rFonts w:ascii="Arial" w:cs="Arial" w:eastAsia="Arial" w:hAnsi="Arial"/>
          <w:sz w:val="17"/>
          <w:szCs w:val="17"/>
          <w:color w:val="auto"/>
        </w:rPr>
      </w:pPr>
    </w:p>
    <w:p>
      <w:pPr>
        <w:ind w:left="1600" w:right="220" w:firstLine="535"/>
        <w:spacing w:after="0" w:line="263" w:lineRule="auto"/>
        <w:tabs>
          <w:tab w:leader="none" w:pos="2899"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and the Company an administrative questionnaire; and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92" w:name="page293"/>
    <w:bookmarkEnd w:id="292"/>
    <w:p>
      <w:pPr>
        <w:ind w:left="1600" w:right="160" w:firstLine="535"/>
        <w:spacing w:after="0" w:line="263" w:lineRule="auto"/>
        <w:tabs>
          <w:tab w:leader="none" w:pos="2909" w:val="left"/>
        </w:tabs>
        <w:numPr>
          <w:ilvl w:val="2"/>
          <w:numId w:val="267"/>
        </w:numPr>
        <w:rPr>
          <w:rFonts w:ascii="Arial" w:cs="Arial" w:eastAsia="Arial" w:hAnsi="Arial"/>
          <w:sz w:val="18"/>
          <w:szCs w:val="18"/>
          <w:color w:val="auto"/>
        </w:rPr>
      </w:pPr>
      <w:r>
        <w:rPr>
          <w:rFonts w:ascii="Arial" w:cs="Arial" w:eastAsia="Arial" w:hAnsi="Arial"/>
          <w:sz w:val="18"/>
          <w:szCs w:val="18"/>
          <w:color w:val="auto"/>
        </w:rPr>
        <w:t>any assignment of L/C Commitments (other than any L/C Commitment held by an Issuing Lender other than an Initial Issuing Lender) must be made ratably by the Initial Issuing Lenders.</w:t>
      </w:r>
    </w:p>
    <w:p>
      <w:pPr>
        <w:spacing w:after="0" w:line="177" w:lineRule="exact"/>
        <w:rPr>
          <w:rFonts w:ascii="Arial" w:cs="Arial" w:eastAsia="Arial" w:hAnsi="Arial"/>
          <w:sz w:val="18"/>
          <w:szCs w:val="18"/>
          <w:color w:val="auto"/>
        </w:rPr>
      </w:pPr>
    </w:p>
    <w:p>
      <w:pPr>
        <w:ind w:left="1080" w:right="60" w:firstLine="523"/>
        <w:spacing w:after="0" w:line="281" w:lineRule="auto"/>
        <w:tabs>
          <w:tab w:leader="none" w:pos="2409" w:val="left"/>
        </w:tabs>
        <w:numPr>
          <w:ilvl w:val="1"/>
          <w:numId w:val="268"/>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2.21, 2.22, 2.23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70" w:lineRule="exact"/>
        <w:rPr>
          <w:rFonts w:ascii="Arial" w:cs="Arial" w:eastAsia="Arial" w:hAnsi="Arial"/>
          <w:sz w:val="16"/>
          <w:szCs w:val="16"/>
          <w:color w:val="auto"/>
        </w:rPr>
      </w:pPr>
    </w:p>
    <w:p>
      <w:pPr>
        <w:ind w:left="1080" w:right="40" w:firstLine="523"/>
        <w:spacing w:after="0" w:line="280" w:lineRule="auto"/>
        <w:tabs>
          <w:tab w:leader="none" w:pos="2399"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Subject to the last sentence of (b)(iii) above, the entries in the Register shall be conclusive,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172" w:lineRule="exact"/>
        <w:rPr>
          <w:rFonts w:ascii="Arial" w:cs="Arial" w:eastAsia="Arial" w:hAnsi="Arial"/>
          <w:sz w:val="16"/>
          <w:szCs w:val="16"/>
          <w:color w:val="auto"/>
        </w:rPr>
      </w:pPr>
    </w:p>
    <w:p>
      <w:pPr>
        <w:ind w:left="1080" w:firstLine="523"/>
        <w:spacing w:after="0" w:line="332" w:lineRule="auto"/>
        <w:tabs>
          <w:tab w:leader="none" w:pos="2350" w:val="left"/>
        </w:tabs>
        <w:numPr>
          <w:ilvl w:val="1"/>
          <w:numId w:val="268"/>
        </w:numPr>
        <w:rPr>
          <w:rFonts w:ascii="Arial" w:cs="Arial" w:eastAsia="Arial" w:hAnsi="Arial"/>
          <w:sz w:val="14"/>
          <w:szCs w:val="14"/>
          <w:color w:val="auto"/>
        </w:rPr>
      </w:pPr>
      <w:r>
        <w:rPr>
          <w:rFonts w:ascii="Arial" w:cs="Arial" w:eastAsia="Arial" w:hAnsi="Arial"/>
          <w:sz w:val="14"/>
          <w:szCs w:val="14"/>
          <w:color w:val="auto"/>
        </w:rPr>
        <w:t>Upon its receipt of a duly completed Assignment and Assumption executed by an assigning Lender (or, in the case of an assignment made pursuant to the exercise of the Company’s rights under Section 2.25, the Administrative Agent, as agent for the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36" w:lineRule="exact"/>
        <w:rPr>
          <w:rFonts w:ascii="Arial" w:cs="Arial" w:eastAsia="Arial" w:hAnsi="Arial"/>
          <w:sz w:val="14"/>
          <w:szCs w:val="14"/>
          <w:color w:val="auto"/>
        </w:rPr>
      </w:pPr>
    </w:p>
    <w:p>
      <w:pPr>
        <w:ind w:right="20" w:firstLine="1072"/>
        <w:spacing w:after="0" w:line="253" w:lineRule="auto"/>
        <w:tabs>
          <w:tab w:leader="none" w:pos="179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 Any Lender may, without the consent of the Company, any Issuing Lender, the Brazilian Administrative Agent or the Administrative Agent,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Commitments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that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60"/>
          </w:cols>
          <w:pgMar w:left="220" w:top="134" w:right="219" w:bottom="1440" w:gutter="0" w:footer="0" w:header="0"/>
        </w:sectPr>
      </w:pPr>
    </w:p>
    <w:bookmarkStart w:id="293" w:name="page294"/>
    <w:bookmarkEnd w:id="293"/>
    <w:p>
      <w:pPr>
        <w:spacing w:after="0" w:line="260" w:lineRule="auto"/>
        <w:rPr>
          <w:sz w:val="20"/>
          <w:szCs w:val="20"/>
          <w:color w:val="auto"/>
        </w:rPr>
      </w:pPr>
      <w:r>
        <w:rPr>
          <w:rFonts w:ascii="Arial" w:cs="Arial" w:eastAsia="Arial" w:hAnsi="Arial"/>
          <w:sz w:val="17"/>
          <w:szCs w:val="17"/>
          <w:color w:val="auto"/>
        </w:rPr>
        <w:t xml:space="preserve">such Lender’s obligations under this Agreement shall remain unchanged, (B) such Lender shall remain solely responsible to the other parties hereto for the performance of such obligations, (C) the Loan Parties, the Administrative Agent, the Brazilian Administrative Agent, the Issuing Lenders and the other Lenders shall continue to deal solely and directly with such Lender in connection with such Lender’s rights and obligations under this Agreement, the other Loan Documents and the Brazilian Intercreditor Agreement,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2.21, 2.22, and 2.23 to the same extent as if it were a Lender and had acquired its interest by assignment pursuant to paragraph (b) of this Section.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and such Lender, the Company, the Brazilian Administrative Agent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83" w:lineRule="exact"/>
        <w:rPr>
          <w:sz w:val="20"/>
          <w:szCs w:val="20"/>
          <w:color w:val="auto"/>
        </w:rPr>
      </w:pPr>
    </w:p>
    <w:p>
      <w:pPr>
        <w:ind w:left="1080" w:right="140" w:firstLine="523"/>
        <w:spacing w:after="0" w:line="265" w:lineRule="auto"/>
        <w:tabs>
          <w:tab w:leader="none" w:pos="236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2.21 or 2.22 than the applicable Lender would have been entitled to receive with respect to the participation sold to such Participant. A Participant shall not be entitled to receive any funds directly from the Company in respect of Sections 2.21, 2.22, 2.23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2.22 unless such Participant complies with Section 2.22(c) and 2.22(d) as though it were a Lender.</w:t>
      </w:r>
    </w:p>
    <w:p>
      <w:pPr>
        <w:spacing w:after="0" w:line="177" w:lineRule="exact"/>
        <w:rPr>
          <w:rFonts w:ascii="Arial" w:cs="Arial" w:eastAsia="Arial" w:hAnsi="Arial"/>
          <w:sz w:val="17"/>
          <w:szCs w:val="17"/>
          <w:color w:val="auto"/>
        </w:rPr>
      </w:pPr>
    </w:p>
    <w:p>
      <w:pPr>
        <w:ind w:right="20" w:firstLine="1072"/>
        <w:spacing w:after="0" w:line="287" w:lineRule="auto"/>
        <w:tabs>
          <w:tab w:leader="none" w:pos="180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Any Lender may, without the consent of the Company, the Brazilian Administrative Agent,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or assignment of a security interest shall release a Lender from any of its obligations hereunder or substitute any such pledgee or Assignee for such Lender as a party hereto.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94" w:name="page295"/>
    <w:bookmarkEnd w:id="294"/>
    <w:p>
      <w:pPr>
        <w:ind w:right="20" w:firstLine="1072"/>
        <w:spacing w:after="0" w:line="247" w:lineRule="auto"/>
        <w:tabs>
          <w:tab w:leader="none" w:pos="179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95" w:lineRule="exact"/>
        <w:rPr>
          <w:sz w:val="20"/>
          <w:szCs w:val="20"/>
          <w:color w:val="auto"/>
        </w:rPr>
      </w:pPr>
    </w:p>
    <w:p>
      <w:pPr>
        <w:ind w:firstLine="1063"/>
        <w:spacing w:after="0" w:line="280"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Adjustments</w:t>
      </w:r>
      <w:r>
        <w:rPr>
          <w:rFonts w:ascii="Arial" w:cs="Arial" w:eastAsia="Arial" w:hAnsi="Arial"/>
          <w:sz w:val="16"/>
          <w:szCs w:val="16"/>
          <w:color w:val="auto"/>
        </w:rPr>
        <w:t>. If any Lender (a “</w:t>
      </w:r>
      <w:r>
        <w:rPr>
          <w:rFonts w:ascii="Arial" w:cs="Arial" w:eastAsia="Arial" w:hAnsi="Arial"/>
          <w:sz w:val="16"/>
          <w:szCs w:val="16"/>
          <w:u w:val="single" w:color="auto"/>
          <w:color w:val="auto"/>
        </w:rPr>
        <w:t>Benefitted Lender</w:t>
      </w:r>
      <w:r>
        <w:rPr>
          <w:rFonts w:ascii="Arial" w:cs="Arial" w:eastAsia="Arial" w:hAnsi="Arial"/>
          <w:sz w:val="16"/>
          <w:szCs w:val="16"/>
          <w:color w:val="auto"/>
        </w:rPr>
        <w:t>”)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68" w:lineRule="exact"/>
        <w:rPr>
          <w:sz w:val="20"/>
          <w:szCs w:val="20"/>
          <w:color w:val="auto"/>
        </w:rPr>
      </w:pPr>
    </w:p>
    <w:p>
      <w:pPr>
        <w:ind w:right="120" w:firstLine="1063"/>
        <w:spacing w:after="0" w:line="269"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76" w:lineRule="exact"/>
        <w:rPr>
          <w:sz w:val="20"/>
          <w:szCs w:val="20"/>
          <w:color w:val="auto"/>
        </w:rPr>
      </w:pPr>
    </w:p>
    <w:p>
      <w:pPr>
        <w:ind w:right="120" w:firstLine="1063"/>
        <w:spacing w:after="0" w:line="253"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7" w:lineRule="exact"/>
        <w:rPr>
          <w:sz w:val="20"/>
          <w:szCs w:val="20"/>
          <w:color w:val="auto"/>
        </w:rPr>
      </w:pPr>
    </w:p>
    <w:p>
      <w:pPr>
        <w:ind w:right="20" w:firstLine="1063"/>
        <w:spacing w:after="0" w:line="248"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the other Loan Documents and the Brazilian Intercreditor Agreement represent the entire agreement of the Borrowers, the Administrative Agent, the Brazilian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in the other Loan Documents or in the Brazilian Intercreditor Agreement (other than agreements between any Borrower and any Issuing Lender contemplated by this Agreement).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344" w:right="259" w:bottom="1440" w:gutter="0" w:footer="0" w:header="0"/>
        </w:sectPr>
      </w:pPr>
    </w:p>
    <w:bookmarkStart w:id="295" w:name="page296"/>
    <w:bookmarkEnd w:id="295"/>
    <w:p>
      <w:pPr>
        <w:ind w:right="100" w:firstLine="1063"/>
        <w:spacing w:after="0" w:line="25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SHALL BE GOVERNED BY, AND CONSTRUED AND INTERPRETED IN ACCORDANCE WITH, THE LAW OF THE STATE OF NEW YORK.</w:t>
      </w:r>
    </w:p>
    <w:p>
      <w:pPr>
        <w:spacing w:after="0" w:line="187"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w:t>
      </w:r>
    </w:p>
    <w:p>
      <w:pPr>
        <w:spacing w:after="0" w:line="214" w:lineRule="exact"/>
        <w:rPr>
          <w:sz w:val="20"/>
          <w:szCs w:val="20"/>
          <w:color w:val="auto"/>
        </w:rPr>
      </w:pPr>
    </w:p>
    <w:p>
      <w:pPr>
        <w:ind w:firstLine="1072"/>
        <w:spacing w:after="0" w:line="263" w:lineRule="auto"/>
        <w:tabs>
          <w:tab w:leader="none" w:pos="179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Each of the Administrative Agent, the Brazilian Administrative Agent, the Lenders, the Issuing Lenders, the Company, each Subsidiary Borrower and each other Loan Party hereby irrevocably and unconditionally:</w:t>
      </w:r>
    </w:p>
    <w:p>
      <w:pPr>
        <w:spacing w:after="0" w:line="177" w:lineRule="exact"/>
        <w:rPr>
          <w:rFonts w:ascii="Arial" w:cs="Arial" w:eastAsia="Arial" w:hAnsi="Arial"/>
          <w:sz w:val="18"/>
          <w:szCs w:val="18"/>
          <w:color w:val="auto"/>
        </w:rPr>
      </w:pPr>
    </w:p>
    <w:p>
      <w:pPr>
        <w:ind w:left="1080" w:right="120" w:firstLine="523"/>
        <w:spacing w:after="0" w:line="250" w:lineRule="auto"/>
        <w:tabs>
          <w:tab w:leader="none" w:pos="231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the other Loan Documents and the Brazilian Intercreditor Agreement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189" w:lineRule="exact"/>
        <w:rPr>
          <w:rFonts w:ascii="Arial" w:cs="Arial" w:eastAsia="Arial" w:hAnsi="Arial"/>
          <w:sz w:val="18"/>
          <w:szCs w:val="18"/>
          <w:color w:val="auto"/>
        </w:rPr>
      </w:pPr>
    </w:p>
    <w:p>
      <w:pPr>
        <w:ind w:left="1080" w:right="160" w:firstLine="523"/>
        <w:spacing w:after="0" w:line="253" w:lineRule="auto"/>
        <w:tabs>
          <w:tab w:leader="none" w:pos="23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87" w:lineRule="exact"/>
        <w:rPr>
          <w:rFonts w:ascii="Arial" w:cs="Arial" w:eastAsia="Arial" w:hAnsi="Arial"/>
          <w:sz w:val="18"/>
          <w:szCs w:val="18"/>
          <w:color w:val="auto"/>
        </w:rPr>
      </w:pPr>
    </w:p>
    <w:p>
      <w:pPr>
        <w:ind w:left="1080" w:right="720" w:firstLine="523"/>
        <w:spacing w:after="0" w:line="263" w:lineRule="auto"/>
        <w:tabs>
          <w:tab w:leader="none" w:pos="2409"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7" w:lineRule="exact"/>
        <w:rPr>
          <w:rFonts w:ascii="Arial" w:cs="Arial" w:eastAsia="Arial" w:hAnsi="Arial"/>
          <w:sz w:val="18"/>
          <w:szCs w:val="18"/>
          <w:color w:val="auto"/>
        </w:rPr>
      </w:pPr>
    </w:p>
    <w:p>
      <w:pPr>
        <w:ind w:firstLine="1072"/>
        <w:spacing w:after="0" w:line="262" w:lineRule="auto"/>
        <w:tabs>
          <w:tab w:leader="none" w:pos="1801" w:val="left"/>
        </w:tabs>
        <w:numPr>
          <w:ilvl w:val="0"/>
          <w:numId w:val="273"/>
        </w:numPr>
        <w:rPr>
          <w:rFonts w:ascii="Arial" w:cs="Arial" w:eastAsia="Arial" w:hAnsi="Arial"/>
          <w:sz w:val="17"/>
          <w:szCs w:val="17"/>
          <w:color w:val="auto"/>
        </w:rPr>
      </w:pPr>
      <w:r>
        <w:rPr>
          <w:rFonts w:ascii="Arial" w:cs="Arial" w:eastAsia="Arial" w:hAnsi="Arial"/>
          <w:sz w:val="17"/>
          <w:szCs w:val="17"/>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80" w:lineRule="exact"/>
        <w:rPr>
          <w:rFonts w:ascii="Arial" w:cs="Arial" w:eastAsia="Arial" w:hAnsi="Arial"/>
          <w:sz w:val="17"/>
          <w:szCs w:val="17"/>
          <w:color w:val="auto"/>
        </w:rPr>
      </w:pPr>
    </w:p>
    <w:p>
      <w:pPr>
        <w:jc w:val="both"/>
        <w:ind w:right="60" w:firstLine="1072"/>
        <w:spacing w:after="0" w:line="291" w:lineRule="auto"/>
        <w:tabs>
          <w:tab w:leader="none" w:pos="179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20"/>
          </w:cols>
          <w:pgMar w:left="220" w:top="134" w:right="259" w:bottom="1440" w:gutter="0" w:footer="0" w:header="0"/>
        </w:sectPr>
      </w:pPr>
    </w:p>
    <w:bookmarkStart w:id="296" w:name="page297"/>
    <w:bookmarkEnd w:id="296"/>
    <w:p>
      <w:pPr>
        <w:ind w:right="60" w:firstLine="1063"/>
        <w:spacing w:after="0" w:line="280"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Judgment</w:t>
      </w:r>
      <w:r>
        <w:rPr>
          <w:rFonts w:ascii="Arial" w:cs="Arial" w:eastAsia="Arial" w:hAnsi="Arial"/>
          <w:sz w:val="16"/>
          <w:szCs w:val="16"/>
          <w:color w:val="auto"/>
        </w:rPr>
        <w:t>. The obligations of the Company or any Subsidiary Borrower in respect of this Agreement and the other Loan Documents due to any party hereto shall, notwithstanding any judgment in a currency (the “Judgment Currency”) other than the currency in which the sum originally due to such party is denominated (the “Original Currency”),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Facility Fees, Letter of Credit Fees, and Letter of Credit fronting fees payable hereunder or under any other Loan Document.</w:t>
      </w:r>
    </w:p>
    <w:p>
      <w:pPr>
        <w:spacing w:after="0" w:line="172"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u w:val="single" w:color="auto"/>
          <w:color w:val="auto"/>
        </w:rPr>
        <w:t>Acknowledgments</w:t>
      </w:r>
      <w:r>
        <w:rPr>
          <w:rFonts w:ascii="Arial" w:cs="Arial" w:eastAsia="Arial" w:hAnsi="Arial"/>
          <w:sz w:val="16"/>
          <w:szCs w:val="16"/>
          <w:color w:val="auto"/>
        </w:rPr>
        <w:t>. Each of the Company and the Subsidiary Borrowers hereby acknowledges that:</w:t>
      </w:r>
    </w:p>
    <w:p>
      <w:pPr>
        <w:spacing w:after="0" w:line="214" w:lineRule="exact"/>
        <w:rPr>
          <w:sz w:val="20"/>
          <w:szCs w:val="20"/>
          <w:color w:val="auto"/>
        </w:rPr>
      </w:pPr>
    </w:p>
    <w:p>
      <w:pPr>
        <w:ind w:left="1800" w:hanging="728"/>
        <w:spacing w:after="0"/>
        <w:tabs>
          <w:tab w:leader="none" w:pos="18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225" w:lineRule="exact"/>
        <w:rPr>
          <w:rFonts w:ascii="Arial" w:cs="Arial" w:eastAsia="Arial" w:hAnsi="Arial"/>
          <w:sz w:val="17"/>
          <w:szCs w:val="17"/>
          <w:color w:val="auto"/>
        </w:rPr>
      </w:pPr>
    </w:p>
    <w:p>
      <w:pPr>
        <w:ind w:right="60" w:firstLine="1072"/>
        <w:spacing w:after="0" w:line="250" w:lineRule="auto"/>
        <w:tabs>
          <w:tab w:leader="none" w:pos="180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none of the Administrative Agent, the Brazilian Administrative Agent or any Lender has any fiduciary relationship with or duty to the Company or any Subsidiary arising out of or in connection with this Agreement, any of the other Loan Documents or the Brazilian Intercreditor Agreement, and the relationship between Administrative Agent, the Brazilian Administrative Agent and the Lenders, on one hand, and the Company or any Subsidiary, on the other hand, in connection herewith or therewith is solely that of debtor and creditor; and</w:t>
      </w:r>
    </w:p>
    <w:p>
      <w:pPr>
        <w:spacing w:after="0" w:line="189" w:lineRule="exact"/>
        <w:rPr>
          <w:rFonts w:ascii="Arial" w:cs="Arial" w:eastAsia="Arial" w:hAnsi="Arial"/>
          <w:sz w:val="18"/>
          <w:szCs w:val="18"/>
          <w:color w:val="auto"/>
        </w:rPr>
      </w:pPr>
    </w:p>
    <w:p>
      <w:pPr>
        <w:ind w:right="420" w:firstLine="1072"/>
        <w:spacing w:after="0" w:line="293" w:lineRule="auto"/>
        <w:tabs>
          <w:tab w:leader="none" w:pos="1791" w:val="left"/>
        </w:tabs>
        <w:numPr>
          <w:ilvl w:val="0"/>
          <w:numId w:val="274"/>
        </w:numPr>
        <w:rPr>
          <w:rFonts w:ascii="Arial" w:cs="Arial" w:eastAsia="Arial" w:hAnsi="Arial"/>
          <w:sz w:val="17"/>
          <w:szCs w:val="17"/>
          <w:color w:val="auto"/>
        </w:rPr>
      </w:pPr>
      <w:r>
        <w:rPr>
          <w:rFonts w:ascii="Arial" w:cs="Arial" w:eastAsia="Arial" w:hAnsi="Arial"/>
          <w:sz w:val="17"/>
          <w:szCs w:val="17"/>
          <w:color w:val="auto"/>
        </w:rPr>
        <w:t>no joint venture is created hereby or by the other Loan Documents or the Brazilian Intercreditor Agreement or otherwise exists by virtue of the transactions contemplated hereby among the Lenders or among the Company or any Subsidiary and the Lenders.</w:t>
      </w:r>
    </w:p>
    <w:p>
      <w:pPr>
        <w:spacing w:after="0" w:line="154"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4"/>
          <w:szCs w:val="14"/>
          <w:u w:val="single" w:color="auto"/>
          <w:color w:val="auto"/>
        </w:rPr>
        <w:t>Releases of Guarantees and Liens</w:t>
      </w:r>
      <w:r>
        <w:rPr>
          <w:rFonts w:ascii="Arial" w:cs="Arial" w:eastAsia="Arial" w:hAnsi="Arial"/>
          <w:sz w:val="14"/>
          <w:szCs w:val="14"/>
          <w:color w:val="auto"/>
        </w:rPr>
        <w:t>.</w:t>
      </w:r>
    </w:p>
    <w:p>
      <w:pPr>
        <w:spacing w:after="0" w:line="214" w:lineRule="exact"/>
        <w:rPr>
          <w:sz w:val="20"/>
          <w:szCs w:val="20"/>
          <w:color w:val="auto"/>
        </w:rPr>
      </w:pPr>
    </w:p>
    <w:p>
      <w:pPr>
        <w:ind w:firstLine="1072"/>
        <w:spacing w:after="0" w:line="247" w:lineRule="auto"/>
        <w:tabs>
          <w:tab w:leader="none" w:pos="179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or the Brazilian Intercreditor Agreement, the Administrative Agent is hereby irrevocably authorized by each Lender and each Issuing Lender (without requirement of notice to or consent of any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94" w:lineRule="exact"/>
        <w:rPr>
          <w:rFonts w:ascii="Arial" w:cs="Arial" w:eastAsia="Arial" w:hAnsi="Arial"/>
          <w:sz w:val="18"/>
          <w:szCs w:val="18"/>
          <w:color w:val="auto"/>
        </w:rPr>
      </w:pPr>
    </w:p>
    <w:p>
      <w:pPr>
        <w:ind w:right="60" w:firstLine="1072"/>
        <w:spacing w:after="0" w:line="326" w:lineRule="auto"/>
        <w:tabs>
          <w:tab w:leader="none" w:pos="1801"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At such time as the Loans, the Reimbursement Obligations and interest and fees owing hereunder and under any other Loan Document shall have been paid in full, the Commitments have been terminated and no Letters of Credit shall be outstanding (or such Letters of Credit are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345" w:right="239" w:bottom="1440" w:gutter="0" w:footer="0" w:header="0"/>
        </w:sectPr>
      </w:pPr>
    </w:p>
    <w:bookmarkStart w:id="297" w:name="page298"/>
    <w:bookmarkEnd w:id="297"/>
    <w:p>
      <w:pPr>
        <w:ind w:right="420"/>
        <w:spacing w:after="0" w:line="263" w:lineRule="auto"/>
        <w:rPr>
          <w:sz w:val="20"/>
          <w:szCs w:val="20"/>
          <w:color w:val="auto"/>
        </w:rPr>
      </w:pPr>
      <w:r>
        <w:rPr>
          <w:rFonts w:ascii="Arial" w:cs="Arial" w:eastAsia="Arial" w:hAnsi="Arial"/>
          <w:sz w:val="18"/>
          <w:szCs w:val="18"/>
          <w:color w:val="auto"/>
        </w:rPr>
        <w:t>Collateralized), all obligations (other than as expressly provided therein) of each Guarantor under the Guarantee shall terminate, all without delivery of any instrument or performance of any act by any person.</w:t>
      </w:r>
    </w:p>
    <w:p>
      <w:pPr>
        <w:spacing w:after="0" w:line="178" w:lineRule="exact"/>
        <w:rPr>
          <w:sz w:val="20"/>
          <w:szCs w:val="20"/>
          <w:color w:val="auto"/>
        </w:rPr>
      </w:pPr>
    </w:p>
    <w:p>
      <w:pPr>
        <w:ind w:left="1800" w:hanging="728"/>
        <w:spacing w:after="0"/>
        <w:tabs>
          <w:tab w:leader="none" w:pos="18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[reserved].</w:t>
      </w:r>
    </w:p>
    <w:p>
      <w:pPr>
        <w:spacing w:after="0" w:line="213" w:lineRule="exact"/>
        <w:rPr>
          <w:rFonts w:ascii="Arial" w:cs="Arial" w:eastAsia="Arial" w:hAnsi="Arial"/>
          <w:sz w:val="18"/>
          <w:szCs w:val="18"/>
          <w:color w:val="auto"/>
        </w:rPr>
      </w:pPr>
    </w:p>
    <w:p>
      <w:pPr>
        <w:ind w:right="40" w:firstLine="1072"/>
        <w:spacing w:after="0" w:line="277" w:lineRule="auto"/>
        <w:tabs>
          <w:tab w:leader="none" w:pos="180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Immediately upon the occurrence of any Guarantee Release Date, all obligations (other than as expressly provided therein) of each Subsidiary Guarantor under the Guarantee shall terminate, all without delivery of any instrument or performance of any act by any person. In connection with any such termination, the Administrative Agent and the Brazilian Administrative Agent are hereby irrevocably authorized by each Lender and each Issuing Lender (without requirement of notice to or consent of any Lender or any Issuing Lender except as expressly required by Section 10.1) to take, and the Administrative Agent and the Brazilian Administrative Agent hereby agree to take, promptly, any action reasonably requested by the Company having the effect of releasing, or evidencing the release of, the obligations of each Subsidiary Guarantor under the Guarantee.</w:t>
      </w:r>
    </w:p>
    <w:p>
      <w:pPr>
        <w:spacing w:after="0" w:line="1" w:lineRule="exact"/>
        <w:rPr>
          <w:rFonts w:ascii="Arial" w:cs="Arial" w:eastAsia="Arial" w:hAnsi="Arial"/>
          <w:sz w:val="16"/>
          <w:szCs w:val="16"/>
          <w:color w:val="auto"/>
        </w:rPr>
      </w:pPr>
    </w:p>
    <w:p>
      <w:pPr>
        <w:ind w:right="400" w:firstLine="1072"/>
        <w:spacing w:after="0" w:line="245" w:lineRule="auto"/>
        <w:tabs>
          <w:tab w:leader="none" w:pos="179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ceases for any reason not otherwise prohibited by the Loan Documents to be a Subsidiary Guarantor.</w:t>
      </w:r>
    </w:p>
    <w:p>
      <w:pPr>
        <w:spacing w:after="0" w:line="194" w:lineRule="exact"/>
        <w:rPr>
          <w:sz w:val="20"/>
          <w:szCs w:val="20"/>
          <w:color w:val="auto"/>
        </w:rPr>
      </w:pPr>
    </w:p>
    <w:p>
      <w:pPr>
        <w:ind w:firstLine="1063"/>
        <w:spacing w:after="0" w:line="277"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of the Administrative Agent, the Brazilian Administrative Agent, each Issuing Lender, each Lender and each Transferee (each a “Receiving Party”) agrees to keep confidential all non-public information provided to it by or on behalf of any Loan Party or any of its respective Subsidiaries, the Administrative Agent, the Brazilian Administrative Agent, an Issuing Lender or any 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 Receiving Party from disclosing any such information (a) to the Administrative Agent, the Brazilian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(or other provisions at least as restrictive as this Section),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or the Brazilian Intercreditor Agreement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the Brazilian Intercreditor Agreement or (j) with the consent of the Borrower.</w:t>
      </w:r>
    </w:p>
    <w:p>
      <w:pPr>
        <w:spacing w:after="0" w:line="176" w:lineRule="exact"/>
        <w:rPr>
          <w:sz w:val="20"/>
          <w:szCs w:val="20"/>
          <w:color w:val="auto"/>
        </w:rPr>
      </w:pPr>
    </w:p>
    <w:p>
      <w:pPr>
        <w:ind w:right="260" w:firstLine="1063"/>
        <w:spacing w:after="0" w:line="263"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THE BRAZILIAN ADMINISTRATIVE AGENT,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98" w:name="page299"/>
    <w:bookmarkEnd w:id="298"/>
    <w:p>
      <w:pPr>
        <w:jc w:val="both"/>
        <w:ind w:right="400"/>
        <w:spacing w:after="0" w:line="253" w:lineRule="auto"/>
        <w:rPr>
          <w:sz w:val="20"/>
          <w:szCs w:val="20"/>
          <w:color w:val="auto"/>
        </w:rPr>
      </w:pPr>
      <w:r>
        <w:rPr>
          <w:rFonts w:ascii="Arial" w:cs="Arial" w:eastAsia="Arial" w:hAnsi="Arial"/>
          <w:sz w:val="18"/>
          <w:szCs w:val="18"/>
          <w:color w:val="auto"/>
        </w:rPr>
        <w:t>THE ISSUING LENDERS AND THE LENDERS HEREBY IRREVOCABLY AND UNCONDITIONALLY WAIVE TRIAL BY JURY IN ANY LEGAL ACTION OR PROCEEDING RELATING TO THIS AGREEMENT OR ANY OTHER LOAN DOCUMENT OR THE BRAZILIAN INTERCREDITOR AGREEMENT AND FOR ANY COUNTERCLAIM THEREIN.</w:t>
      </w:r>
    </w:p>
    <w:p>
      <w:pPr>
        <w:spacing w:after="0" w:line="187" w:lineRule="exact"/>
        <w:rPr>
          <w:sz w:val="20"/>
          <w:szCs w:val="20"/>
          <w:color w:val="auto"/>
        </w:rPr>
      </w:pPr>
    </w:p>
    <w:p>
      <w:pPr>
        <w:ind w:firstLine="1063"/>
        <w:spacing w:after="0" w:line="291"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w:t>
      </w:r>
    </w:p>
    <w:p>
      <w:pPr>
        <w:spacing w:after="0" w:line="160"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4" w:lineRule="exact"/>
        <w:rPr>
          <w:sz w:val="20"/>
          <w:szCs w:val="20"/>
          <w:color w:val="auto"/>
        </w:rPr>
      </w:pPr>
    </w:p>
    <w:p>
      <w:pPr>
        <w:ind w:firstLine="1063"/>
        <w:spacing w:after="0" w:line="283"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No Novation</w:t>
      </w:r>
      <w:r>
        <w:rPr>
          <w:rFonts w:ascii="Arial" w:cs="Arial" w:eastAsia="Arial" w:hAnsi="Arial"/>
          <w:sz w:val="16"/>
          <w:szCs w:val="16"/>
          <w:color w:val="auto"/>
        </w:rPr>
        <w:t>. The terms and conditions of the Existing Five Year Credit Agreement are amended as set forth in, and restated in their entirety and superseded by, this Agreement. Nothing in this Agreement shall be deemed to be a novation of any of the Obligations as defined in the Existing Five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Five Year Credit Agreement. From and after the Closing Date, each reference to the “Agreement”, “Credit Agreement” or other reference originally applicable to the Existing Five Year Credit Agreement contained in any Loan Document or the Brazilian Intercreditor Agreement shall be a reference to this Agreement, as amended, supplemented, restated or otherwise modified from time to time.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509265-1725-14038-Active.16362140</w:t>
      </w:r>
    </w:p>
    <w:p>
      <w:pPr>
        <w:sectPr>
          <w:pgSz w:w="11900" w:h="16838" w:orient="portrait"/>
          <w:cols w:equalWidth="0" w:num="1">
            <w:col w:w="11440"/>
          </w:cols>
          <w:pgMar w:left="220" w:top="134" w:right="239" w:bottom="1440" w:gutter="0" w:footer="0" w:header="0"/>
        </w:sectPr>
      </w:pPr>
    </w:p>
    <w:bookmarkStart w:id="299" w:name="page300"/>
    <w:bookmarkEnd w:id="299"/>
    <w:p>
      <w:pPr>
        <w:ind w:firstLine="1063"/>
        <w:spacing w:after="0" w:line="263"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proper and duly authorized officers as of the day and year first above written.</w:t>
      </w:r>
    </w:p>
    <w:p>
      <w:pPr>
        <w:spacing w:after="0" w:line="26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GENERAL MOTORS COMPANY</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NIHARIKA RAMDEV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Niharika Ramdev</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 Finance &amp; Treasurer</w:t>
      </w:r>
    </w:p>
    <w:p>
      <w:pPr>
        <w:spacing w:after="0" w:line="200" w:lineRule="exact"/>
        <w:rPr>
          <w:sz w:val="20"/>
          <w:szCs w:val="20"/>
          <w:color w:val="auto"/>
        </w:rPr>
      </w:pPr>
    </w:p>
    <w:p>
      <w:pPr>
        <w:spacing w:after="0" w:line="36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GENERAL MOTORS FINANCIAL COMPANY, INC.</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SUSAN B.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Susan B. Sheffield</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Executive Vice President &amp; Treasurer</w:t>
      </w:r>
    </w:p>
    <w:p>
      <w:pPr>
        <w:spacing w:after="0" w:line="200" w:lineRule="exact"/>
        <w:rPr>
          <w:sz w:val="20"/>
          <w:szCs w:val="20"/>
          <w:color w:val="auto"/>
        </w:rPr>
      </w:pPr>
    </w:p>
    <w:p>
      <w:pPr>
        <w:spacing w:after="0" w:line="36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GENERAL MOTORS DO BRASIL LTDA.</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PAULO HENRIQUE LAGE NOMAN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Paulo Henrique Lage Noman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368" w:lineRule="exact"/>
        <w:rPr>
          <w:sz w:val="20"/>
          <w:szCs w:val="20"/>
          <w:color w:val="auto"/>
        </w:rPr>
      </w:pPr>
    </w:p>
    <w:p>
      <w:pPr>
        <w:ind w:left="5100" w:right="220"/>
        <w:spacing w:after="0" w:line="312" w:lineRule="auto"/>
        <w:rPr>
          <w:sz w:val="20"/>
          <w:szCs w:val="20"/>
          <w:color w:val="auto"/>
        </w:rPr>
      </w:pPr>
      <w:r>
        <w:rPr>
          <w:rFonts w:ascii="Arial" w:cs="Arial" w:eastAsia="Arial" w:hAnsi="Arial"/>
          <w:sz w:val="16"/>
          <w:szCs w:val="16"/>
          <w:color w:val="auto"/>
        </w:rPr>
        <w:t>Consented to in its capacity as the “Company” under the Existing Three Year Credit Agreement and not as to any Obligations or Guarantee under this Agreement:</w:t>
      </w:r>
    </w:p>
    <w:p>
      <w:pPr>
        <w:spacing w:after="0" w:line="23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GENERAL MOTORS HOLDINGS LLC</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NIHARIKA RAMDEV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Niharika Ramdev</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 Finance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JPMORGAN CHASE BANK, N.A., as Administrative Agent and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RICHARD W. DUKER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Richard W. Duker</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Signature Page to 5-Year Revolving Credit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280"/>
          </w:cols>
          <w:pgMar w:left="220" w:top="134" w:right="399" w:bottom="1440" w:gutter="0" w:footer="0" w:header="0"/>
        </w:sectPr>
      </w:pPr>
    </w:p>
    <w:bookmarkStart w:id="300" w:name="page301"/>
    <w:bookmarkEnd w:id="300"/>
    <w:p>
      <w:pPr>
        <w:ind w:left="5100"/>
        <w:spacing w:after="0"/>
        <w:rPr>
          <w:sz w:val="20"/>
          <w:szCs w:val="20"/>
          <w:color w:val="auto"/>
        </w:rPr>
      </w:pPr>
      <w:r>
        <w:rPr>
          <w:rFonts w:ascii="Arial" w:cs="Arial" w:eastAsia="Arial" w:hAnsi="Arial"/>
          <w:sz w:val="17"/>
          <w:szCs w:val="17"/>
          <w:color w:val="auto"/>
        </w:rPr>
        <w:t>BANCO DO BRASIL S.A., as Brazilian Administrative Agent and as Lender</w:t>
      </w:r>
    </w:p>
    <w:p>
      <w:pPr>
        <w:spacing w:after="0" w:line="31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GERALDO MORETE JUNIOR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Geraldo Morete Junior</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Gerente Geral</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JOSE MAURICIO A. BRAGANCA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Jose Mauricio A. Braganca</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Global Officer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CITIBANK, N.A., as Syndication Agent and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Susan M. Olsen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6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BANK OF AMERICA, N.A., as Co-Syndication Agent and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Brian Lukehart</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68" w:lineRule="exact"/>
        <w:rPr>
          <w:sz w:val="20"/>
          <w:szCs w:val="20"/>
          <w:color w:val="auto"/>
        </w:rPr>
      </w:pPr>
    </w:p>
    <w:p>
      <w:pPr>
        <w:ind w:left="5100"/>
        <w:spacing w:after="0" w:line="250" w:lineRule="auto"/>
        <w:rPr>
          <w:sz w:val="20"/>
          <w:szCs w:val="20"/>
          <w:color w:val="auto"/>
        </w:rPr>
      </w:pPr>
      <w:r>
        <w:rPr>
          <w:rFonts w:ascii="Arial" w:cs="Arial" w:eastAsia="Arial" w:hAnsi="Arial"/>
          <w:sz w:val="18"/>
          <w:szCs w:val="18"/>
          <w:color w:val="auto"/>
        </w:rPr>
        <w:t>INDUSTRIAL AND COMMERCIAL BANK OF CHINA LIMITED NEW YORK BRANCH, as Lender</w:t>
      </w:r>
    </w:p>
    <w:p>
      <w:pPr>
        <w:spacing w:after="0" w:line="27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QING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Mr. Qing Hong</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Deputy General Manager</w:t>
      </w:r>
    </w:p>
    <w:p>
      <w:pPr>
        <w:spacing w:after="0" w:line="200" w:lineRule="exact"/>
        <w:rPr>
          <w:sz w:val="20"/>
          <w:szCs w:val="20"/>
          <w:color w:val="auto"/>
        </w:rPr>
      </w:pPr>
    </w:p>
    <w:p>
      <w:pPr>
        <w:spacing w:after="0" w:line="36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LLOYDS BANK PLC,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STEPHEN GIACOLONE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Stephen Giacolone</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Assistant Vice President – G011</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DENNIS MCCLELLAN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Dennis McClellan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Assistant Vice President – M040</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Signature Page to 5-Year Revolving Credit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020"/>
          </w:cols>
          <w:pgMar w:left="220" w:top="256" w:right="659" w:bottom="1440" w:gutter="0" w:footer="0" w:header="0"/>
        </w:sectPr>
      </w:pPr>
    </w:p>
    <w:bookmarkStart w:id="301" w:name="page302"/>
    <w:bookmarkEnd w:id="301"/>
    <w:p>
      <w:pPr>
        <w:ind w:left="5100"/>
        <w:spacing w:after="0"/>
        <w:rPr>
          <w:sz w:val="20"/>
          <w:szCs w:val="20"/>
          <w:color w:val="auto"/>
        </w:rPr>
      </w:pPr>
      <w:r>
        <w:rPr>
          <w:rFonts w:ascii="Arial" w:cs="Arial" w:eastAsia="Arial" w:hAnsi="Arial"/>
          <w:sz w:val="18"/>
          <w:szCs w:val="18"/>
          <w:color w:val="auto"/>
        </w:rPr>
        <w:t>TORONTO DOMINION (TEXAS) LLC,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VICTOR J. HUEBNER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Victor J. Huebner</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Authorized Signing Officer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Banco Bradesco S.A., New York Branch,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ADRIAN A. G.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Adrian A. G. Costa</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BARCLAYS BANK PLC,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Craig J. Malloy</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BNP PARIBAS,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RICHARD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Richard Pace</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Managing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NANETTE BAUDON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Nanette Baudon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Director</w:t>
      </w:r>
    </w:p>
    <w:p>
      <w:pPr>
        <w:spacing w:after="0" w:line="302" w:lineRule="exact"/>
        <w:rPr>
          <w:sz w:val="20"/>
          <w:szCs w:val="20"/>
          <w:color w:val="auto"/>
        </w:rPr>
      </w:pPr>
    </w:p>
    <w:p>
      <w:pPr>
        <w:ind w:left="5100"/>
        <w:spacing w:after="0" w:line="250" w:lineRule="auto"/>
        <w:rPr>
          <w:sz w:val="20"/>
          <w:szCs w:val="20"/>
          <w:color w:val="auto"/>
        </w:rPr>
      </w:pPr>
      <w:r>
        <w:rPr>
          <w:rFonts w:ascii="Arial" w:cs="Arial" w:eastAsia="Arial" w:hAnsi="Arial"/>
          <w:sz w:val="18"/>
          <w:szCs w:val="18"/>
          <w:color w:val="auto"/>
        </w:rPr>
        <w:t>COMMERZBANK AG, NEW YORK AND GRAND CAYMAN BRANCHES, as Lender</w:t>
      </w:r>
    </w:p>
    <w:p>
      <w:pPr>
        <w:spacing w:after="0" w:line="27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PATRICK HARTWEGER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Patrick Hartweger</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Managing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ANNE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Anne Culver</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Signature Page to 5-Year Revolving Credit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0980"/>
          </w:cols>
          <w:pgMar w:left="220" w:top="1053" w:right="69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color w:val="auto"/>
        </w:rPr>
        <w:t>CREDIT AGRICOLE CORPORATE &amp; INVESTMENT BANK,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Gordon Yip</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JULIETTE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Juliette Cohen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Managing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CREDIT SUISSE AG, CAYMAN ISLANDS BRANCH,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Mikhail Faybusovich</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Authorized Signatory</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REMY RIESTER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Remy Riester</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Authorized Signatory</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DEUTSCHE BANK AG NEW YORK BRANCH,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MICHAEL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Michael Winters</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KIRK L. TASHJIAN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Kirk L. Tashjian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GOLDMAN SACHS BANK USA,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Rebecca Kratz</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Authorized Signatory</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Mizuho Bank, Ltd.,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Signature Page to 5-Year Revolving Credit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0440"/>
          </w:cols>
          <w:pgMar w:left="220" w:top="1054" w:right="1239" w:bottom="1440" w:gutter="0" w:footer="0" w:header="0"/>
        </w:sectPr>
      </w:pPr>
    </w:p>
    <w:bookmarkStart w:id="303" w:name="page304"/>
    <w:bookmarkEnd w:id="303"/>
    <w:p>
      <w:pPr>
        <w:ind w:left="5100"/>
        <w:spacing w:after="0"/>
        <w:rPr>
          <w:sz w:val="20"/>
          <w:szCs w:val="20"/>
          <w:color w:val="auto"/>
        </w:rPr>
      </w:pPr>
      <w:r>
        <w:rPr>
          <w:rFonts w:ascii="Arial" w:cs="Arial" w:eastAsia="Arial" w:hAnsi="Arial"/>
          <w:sz w:val="18"/>
          <w:szCs w:val="18"/>
          <w:color w:val="auto"/>
        </w:rPr>
        <w:t>Name: Donna DeMagistris</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6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MORGAN STANLEY SENIOR FUNDING, INC.,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Michael King</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ROYAL BANK OF CANADA,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P K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P K Shields</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Authorized Signatory</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THE ROYAL BANK OF SCOTLAND PLC,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L. PETER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L. Peter Yetman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Director</w:t>
      </w:r>
    </w:p>
    <w:p>
      <w:pPr>
        <w:spacing w:after="0" w:line="30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Societe Generale,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LINDA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Linda Tam</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Director</w:t>
      </w:r>
    </w:p>
    <w:p>
      <w:pPr>
        <w:spacing w:after="0" w:line="30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Agricultural Bank of China Ltd., New York Branch,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JIAN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Jian Zhang</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EVP</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BANCO BILBAO VIZCAYA ARGENTARIA, S.A. NEW YORK BRANCH,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VERONICA INCERA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Veronica Incera</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Managing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MAURICIO BENITEZ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Mauricio Benitez</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Signature Page to 5-Year Revolving Credit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360"/>
          </w:cols>
          <w:pgMar w:left="220" w:top="256" w:right="319" w:bottom="1440" w:gutter="0" w:footer="0" w:header="0"/>
        </w:sectPr>
      </w:pPr>
    </w:p>
    <w:bookmarkStart w:id="304" w:name="page305"/>
    <w:bookmarkEnd w:id="304"/>
    <w:p>
      <w:pPr>
        <w:jc w:val="center"/>
        <w:ind w:right="-259"/>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Bangkok Bank, New York Branch,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Thitipong Prasertsilp</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VP &amp; Branch Manager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Bank of China, New York Branch,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HAIFENG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Haifeng Xu</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Executive Vice President</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Bank of Montreal, Chicago Branch,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YACOUBA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Yacouba Kane</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CANADIAN IMPERIAL BANK OF COMMERCE, NEW YORK AGENCY,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DOMINIC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Dominic Sorresso</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Authorized Signatory</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RHEMA ASAAM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Rhema Asaam</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Authorized Signatory</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Capital One, N.A.,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DAVID MAHEU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David Maheu</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Senior Vice President</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COMMONWEALTH BANK OF AUSTRALIA,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JARED M. KENDLER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Jared M. Kendler</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Associate Director</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Signature Page to 5-Year Revolving Credit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1380"/>
          </w:cols>
          <w:pgMar w:left="220" w:top="255" w:right="299" w:bottom="1440" w:gutter="0" w:footer="0" w:header="0"/>
        </w:sectPr>
      </w:pPr>
    </w:p>
    <w:bookmarkStart w:id="305" w:name="page306"/>
    <w:bookmarkEnd w:id="305"/>
    <w:p>
      <w:pPr>
        <w:spacing w:after="0" w:line="14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INTESA SANPAOLO S.p.A.,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FRANCESCO CALCARA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Francesco Calcara</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WILLIAM DENTON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William Denton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Global Relationship Manager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DBS Bank Ltd., Los Angeles Agency,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ROSE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Rose Park</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Portfolio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Itau Unibanco S.A., New York Branch,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CIRO DE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Ciro De Mello</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General Manager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CLAUDIA L.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Claudia L. Lopes</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Deputy General Manager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PNC BANK, NATIONAL ASSOCIATION,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SCOTT M. KOWALSKI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Scott M. Kowalski</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Senior Vice President</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SANTANDER BANK, N.A.,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DEANNE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Deanne Horn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Senior Vice President</w:t>
      </w:r>
    </w:p>
    <w:p>
      <w:pPr>
        <w:spacing w:after="0" w:line="302"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STATE STREET BANK AND TRUST COMPANY, as Lender</w:t>
      </w:r>
    </w:p>
    <w:p>
      <w:pPr>
        <w:spacing w:after="0" w:line="216"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Signature Page to 5-Year Revolving Credit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0239"/>
          </w:cols>
          <w:pgMar w:left="220" w:top="1440" w:right="1440" w:bottom="1440" w:gutter="0" w:footer="0" w:header="0"/>
        </w:sectPr>
      </w:pPr>
    </w:p>
    <w:bookmarkStart w:id="306" w:name="page307"/>
    <w:bookmarkEnd w:id="306"/>
    <w:p>
      <w:pPr>
        <w:ind w:left="5100"/>
        <w:spacing w:after="0"/>
        <w:rPr>
          <w:sz w:val="20"/>
          <w:szCs w:val="20"/>
          <w:color w:val="auto"/>
        </w:rPr>
      </w:pPr>
      <w:r>
        <w:rPr>
          <w:rFonts w:ascii="Arial" w:cs="Arial" w:eastAsia="Arial" w:hAnsi="Arial"/>
          <w:sz w:val="18"/>
          <w:szCs w:val="18"/>
          <w:color w:val="auto"/>
        </w:rPr>
        <w:t>By: /s/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Mary H. Carey</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w:t>
      </w:r>
    </w:p>
    <w:p>
      <w:pPr>
        <w:spacing w:after="0" w:line="302"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SUMITOMO MITSUI BANKING CORPORATION,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DAVID W.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David W. Kee</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Managing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THE BANK OF NEW YORK MELLON,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John T. Smathers</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First Vice President</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The Bank of Nova Scotia,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KIM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Kim Snyder</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UniCredit Bank AG, New York Branch,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KEN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Ken Hamilton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Managing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Peter Daugavietis</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Associate Director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U.S. BANK NATIONAL ASSOCIATION,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Jeffrey S. Johnson</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Westpac Banking Corporation, as Lender</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RICHARD YARNOLD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405765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57650" cy="6985"/>
                    </a:xfrm>
                    <a:prstGeom prst="rect">
                      <a:avLst/>
                    </a:prstGeom>
                    <a:noFill/>
                  </pic:spPr>
                </pic:pic>
              </a:graphicData>
            </a:graphic>
          </wp:anchor>
        </w:drawing>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Richard Yarnold</w:t>
      </w:r>
    </w:p>
    <w:p>
      <w:pPr>
        <w:spacing w:after="0" w:line="216"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Signature Page to 5-Year Revolving Credit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0239"/>
          </w:cols>
          <w:pgMar w:left="220" w:top="521" w:right="1440" w:bottom="1440" w:gutter="0" w:footer="0" w:header="0"/>
        </w:sectPr>
      </w:pPr>
    </w:p>
    <w:bookmarkStart w:id="307" w:name="page308"/>
    <w:bookmarkEnd w:id="307"/>
    <w:p>
      <w:pPr>
        <w:jc w:val="right"/>
        <w:ind w:right="139"/>
        <w:spacing w:after="0"/>
        <w:rPr>
          <w:sz w:val="20"/>
          <w:szCs w:val="20"/>
          <w:color w:val="auto"/>
        </w:rPr>
      </w:pPr>
      <w:r>
        <w:rPr>
          <w:rFonts w:ascii="Arial" w:cs="Arial" w:eastAsia="Arial" w:hAnsi="Arial"/>
          <w:sz w:val="18"/>
          <w:szCs w:val="18"/>
          <w:color w:val="auto"/>
        </w:rPr>
        <w:t>Title: Senior Relationship Manager, Corporate &amp; Institutional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Signature Page to 5-Year Revolving Credit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509265-1725-14038-Active.16338633</w:t>
      </w:r>
    </w:p>
    <w:p>
      <w:pPr>
        <w:sectPr>
          <w:pgSz w:w="11900" w:h="16838" w:orient="portrait"/>
          <w:cols w:equalWidth="0" w:num="1">
            <w:col w:w="10239"/>
          </w:cols>
          <w:pgMar w:left="220" w:top="256" w:right="1440" w:bottom="1440" w:gutter="0" w:footer="0" w:header="0"/>
        </w:sectPr>
      </w:pPr>
    </w:p>
    <w:bookmarkStart w:id="308" w:name="page309"/>
    <w:bookmarkEnd w:id="308"/>
    <w:p>
      <w:pPr>
        <w:jc w:val="center"/>
        <w:ind w:left="9220"/>
        <w:spacing w:after="0"/>
        <w:rPr>
          <w:sz w:val="20"/>
          <w:szCs w:val="20"/>
          <w:color w:val="auto"/>
        </w:rPr>
      </w:pPr>
      <w:r>
        <w:rPr>
          <w:rFonts w:ascii="Arial" w:cs="Arial" w:eastAsia="Arial" w:hAnsi="Arial"/>
          <w:sz w:val="16"/>
          <w:szCs w:val="16"/>
          <w:color w:val="auto"/>
        </w:rPr>
        <w:t>SCHEDULE 1.1A</w:t>
      </w:r>
    </w:p>
    <w:p>
      <w:pPr>
        <w:spacing w:after="0" w:line="60" w:lineRule="exact"/>
        <w:rPr>
          <w:sz w:val="20"/>
          <w:szCs w:val="20"/>
          <w:color w:val="auto"/>
        </w:rPr>
      </w:pPr>
    </w:p>
    <w:p>
      <w:pPr>
        <w:jc w:val="center"/>
        <w:ind w:left="922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6"/>
          <w:szCs w:val="16"/>
          <w:color w:val="auto"/>
        </w:rPr>
        <w:t>Credit Agreement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3080" w:type="dxa"/>
            <w:vAlign w:val="bottom"/>
          </w:tcPr>
          <w:p>
            <w:pPr>
              <w:jc w:val="right"/>
              <w:ind w:right="1531"/>
              <w:spacing w:after="0"/>
              <w:rPr>
                <w:sz w:val="20"/>
                <w:szCs w:val="20"/>
                <w:color w:val="auto"/>
              </w:rPr>
            </w:pPr>
            <w:r>
              <w:rPr>
                <w:rFonts w:ascii="Arial" w:cs="Arial" w:eastAsia="Arial" w:hAnsi="Arial"/>
                <w:sz w:val="18"/>
                <w:szCs w:val="18"/>
                <w:b w:val="1"/>
                <w:bCs w:val="1"/>
                <w:color w:val="auto"/>
              </w:rPr>
              <w:t>COMMITMENTS</w:t>
            </w:r>
          </w:p>
        </w:tc>
      </w:tr>
      <w:tr>
        <w:trPr>
          <w:trHeight w:val="642"/>
        </w:trPr>
        <w:tc>
          <w:tcPr>
            <w:tcW w:w="4980" w:type="dxa"/>
            <w:vAlign w:val="bottom"/>
          </w:tcPr>
          <w:p>
            <w:pPr>
              <w:spacing w:after="0"/>
              <w:rPr>
                <w:sz w:val="20"/>
                <w:szCs w:val="20"/>
                <w:color w:val="auto"/>
              </w:rPr>
            </w:pPr>
            <w:r>
              <w:rPr>
                <w:rFonts w:ascii="Arial" w:cs="Arial" w:eastAsia="Arial" w:hAnsi="Arial"/>
                <w:sz w:val="18"/>
                <w:szCs w:val="18"/>
                <w:color w:val="auto"/>
              </w:rPr>
              <w:t>[ * * * ]</w:t>
            </w:r>
          </w:p>
        </w:tc>
        <w:tc>
          <w:tcPr>
            <w:tcW w:w="3080" w:type="dxa"/>
            <w:vAlign w:val="bottom"/>
          </w:tcPr>
          <w:p>
            <w:pPr>
              <w:spacing w:after="0"/>
              <w:rPr>
                <w:sz w:val="24"/>
                <w:szCs w:val="24"/>
                <w:color w:val="auto"/>
              </w:rPr>
            </w:pPr>
          </w:p>
        </w:tc>
      </w:tr>
      <w:tr>
        <w:trPr>
          <w:trHeight w:val="517"/>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Bangkok Bank, New York Branch</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 * * ]</w:t>
            </w:r>
          </w:p>
        </w:tc>
      </w:tr>
      <w:tr>
        <w:trPr>
          <w:trHeight w:val="228"/>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487"/>
        </w:trPr>
        <w:tc>
          <w:tcPr>
            <w:tcW w:w="4980" w:type="dxa"/>
            <w:vAlign w:val="bottom"/>
          </w:tcPr>
          <w:p>
            <w:pPr>
              <w:spacing w:after="0"/>
              <w:rPr>
                <w:sz w:val="20"/>
                <w:szCs w:val="20"/>
                <w:color w:val="auto"/>
              </w:rPr>
            </w:pPr>
            <w:r>
              <w:rPr>
                <w:rFonts w:ascii="Arial" w:cs="Arial" w:eastAsia="Arial" w:hAnsi="Arial"/>
                <w:sz w:val="18"/>
                <w:szCs w:val="18"/>
                <w:color w:val="auto"/>
              </w:rPr>
              <w:t>[ * * * ]</w:t>
            </w:r>
          </w:p>
        </w:tc>
        <w:tc>
          <w:tcPr>
            <w:tcW w:w="3080" w:type="dxa"/>
            <w:vAlign w:val="bottom"/>
          </w:tcPr>
          <w:p>
            <w:pPr>
              <w:spacing w:after="0"/>
              <w:rPr>
                <w:sz w:val="24"/>
                <w:szCs w:val="24"/>
                <w:color w:val="auto"/>
              </w:rPr>
            </w:pPr>
          </w:p>
        </w:tc>
      </w:tr>
      <w:tr>
        <w:trPr>
          <w:trHeight w:val="509"/>
        </w:trPr>
        <w:tc>
          <w:tcPr>
            <w:tcW w:w="4980" w:type="dxa"/>
            <w:vAlign w:val="bottom"/>
          </w:tcPr>
          <w:p>
            <w:pPr>
              <w:ind w:left="40"/>
              <w:spacing w:after="0"/>
              <w:rPr>
                <w:sz w:val="20"/>
                <w:szCs w:val="20"/>
                <w:color w:val="auto"/>
              </w:rPr>
            </w:pPr>
            <w:r>
              <w:rPr>
                <w:rFonts w:ascii="Arial" w:cs="Arial" w:eastAsia="Arial" w:hAnsi="Arial"/>
                <w:sz w:val="18"/>
                <w:szCs w:val="18"/>
                <w:color w:val="auto"/>
              </w:rPr>
              <w:t>JPMorgan Chase Bank, N.A.</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1"/>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Citibank, N.A.</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 * * ]</w:t>
            </w:r>
          </w:p>
        </w:tc>
      </w:tr>
      <w:tr>
        <w:trPr>
          <w:trHeight w:val="228"/>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487"/>
        </w:trPr>
        <w:tc>
          <w:tcPr>
            <w:tcW w:w="4980" w:type="dxa"/>
            <w:vAlign w:val="bottom"/>
          </w:tcPr>
          <w:p>
            <w:pPr>
              <w:spacing w:after="0"/>
              <w:rPr>
                <w:sz w:val="20"/>
                <w:szCs w:val="20"/>
                <w:color w:val="auto"/>
              </w:rPr>
            </w:pPr>
            <w:r>
              <w:rPr>
                <w:rFonts w:ascii="Arial" w:cs="Arial" w:eastAsia="Arial" w:hAnsi="Arial"/>
                <w:sz w:val="18"/>
                <w:szCs w:val="18"/>
                <w:color w:val="auto"/>
              </w:rPr>
              <w:t>[ * * * ]</w:t>
            </w:r>
          </w:p>
        </w:tc>
        <w:tc>
          <w:tcPr>
            <w:tcW w:w="3080" w:type="dxa"/>
            <w:vAlign w:val="bottom"/>
          </w:tcPr>
          <w:p>
            <w:pPr>
              <w:spacing w:after="0"/>
              <w:rPr>
                <w:sz w:val="24"/>
                <w:szCs w:val="24"/>
                <w:color w:val="auto"/>
              </w:rPr>
            </w:pPr>
          </w:p>
        </w:tc>
      </w:tr>
      <w:tr>
        <w:trPr>
          <w:trHeight w:val="517"/>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Banco do Brasil S.A.</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 * * ]</w:t>
            </w:r>
          </w:p>
        </w:tc>
      </w:tr>
      <w:tr>
        <w:trPr>
          <w:trHeight w:val="228"/>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487"/>
        </w:trPr>
        <w:tc>
          <w:tcPr>
            <w:tcW w:w="4980" w:type="dxa"/>
            <w:vAlign w:val="bottom"/>
          </w:tcPr>
          <w:p>
            <w:pPr>
              <w:spacing w:after="0"/>
              <w:rPr>
                <w:sz w:val="20"/>
                <w:szCs w:val="20"/>
                <w:color w:val="auto"/>
              </w:rPr>
            </w:pPr>
            <w:r>
              <w:rPr>
                <w:rFonts w:ascii="Arial" w:cs="Arial" w:eastAsia="Arial" w:hAnsi="Arial"/>
                <w:sz w:val="18"/>
                <w:szCs w:val="18"/>
                <w:color w:val="auto"/>
              </w:rPr>
              <w:t>[ * * * ]</w:t>
            </w:r>
          </w:p>
        </w:tc>
        <w:tc>
          <w:tcPr>
            <w:tcW w:w="3080" w:type="dxa"/>
            <w:vAlign w:val="bottom"/>
          </w:tcPr>
          <w:p>
            <w:pPr>
              <w:spacing w:after="0"/>
              <w:rPr>
                <w:sz w:val="24"/>
                <w:szCs w:val="24"/>
                <w:color w:val="auto"/>
              </w:rPr>
            </w:pPr>
          </w:p>
        </w:tc>
      </w:tr>
      <w:tr>
        <w:trPr>
          <w:trHeight w:val="377"/>
        </w:trPr>
        <w:tc>
          <w:tcPr>
            <w:tcW w:w="4980" w:type="dxa"/>
            <w:vAlign w:val="bottom"/>
          </w:tcPr>
          <w:p>
            <w:pPr>
              <w:ind w:left="40"/>
              <w:spacing w:after="0"/>
              <w:rPr>
                <w:sz w:val="20"/>
                <w:szCs w:val="20"/>
                <w:color w:val="auto"/>
              </w:rPr>
            </w:pPr>
            <w:r>
              <w:rPr>
                <w:rFonts w:ascii="Arial" w:cs="Arial" w:eastAsia="Arial" w:hAnsi="Arial"/>
                <w:sz w:val="18"/>
                <w:szCs w:val="18"/>
                <w:color w:val="auto"/>
              </w:rPr>
              <w:t>JPMorgan Chase Bank, N.A.</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rPr>
              <w:t>Citibank, N.A.</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rPr>
              <w:t>Bank of America, N.A.</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rPr>
              <w:t>Barclays Bank PLC</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rPr>
              <w:t>BNP Paribas</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rPr>
              <w:t>Commerzbank AG, New York and Grand Cayman Branches</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rPr>
              <w:t>Credit Agricole Corporate &amp; Investment Bank</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rPr>
              <w:t>Credit Suisse AG, Cayman Islands Branch</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rPr>
              <w:t>Deutsche Bank AG New York Branch</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rPr>
              <w:t>Goldman Sachs Bank USA</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w w:val="91"/>
              </w:rPr>
              <w:t>Industrial and Commercial Bank of China Limited New York Branch</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4980" w:type="dxa"/>
            <w:vAlign w:val="bottom"/>
          </w:tcPr>
          <w:p>
            <w:pPr>
              <w:ind w:left="40"/>
              <w:spacing w:after="0"/>
              <w:rPr>
                <w:sz w:val="20"/>
                <w:szCs w:val="20"/>
                <w:color w:val="auto"/>
              </w:rPr>
            </w:pPr>
            <w:r>
              <w:rPr>
                <w:rFonts w:ascii="Arial" w:cs="Arial" w:eastAsia="Arial" w:hAnsi="Arial"/>
                <w:sz w:val="18"/>
                <w:szCs w:val="18"/>
                <w:color w:val="auto"/>
              </w:rPr>
              <w:t>Lloyds Bank plc</w:t>
            </w:r>
          </w:p>
        </w:tc>
        <w:tc>
          <w:tcPr>
            <w:tcW w:w="308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464"/>
        </w:trPr>
        <w:tc>
          <w:tcPr>
            <w:tcW w:w="498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3080" w:type="dxa"/>
            <w:vAlign w:val="bottom"/>
          </w:tcPr>
          <w:p>
            <w:pPr>
              <w:spacing w:after="0"/>
              <w:rPr>
                <w:sz w:val="24"/>
                <w:szCs w:val="24"/>
                <w:color w:val="auto"/>
              </w:rPr>
            </w:pPr>
          </w:p>
        </w:tc>
      </w:tr>
      <w:tr>
        <w:trPr>
          <w:trHeight w:val="124"/>
        </w:trPr>
        <w:tc>
          <w:tcPr>
            <w:tcW w:w="4980" w:type="dxa"/>
            <w:vAlign w:val="bottom"/>
          </w:tcPr>
          <w:p>
            <w:pPr>
              <w:spacing w:after="0"/>
              <w:rPr>
                <w:sz w:val="20"/>
                <w:szCs w:val="20"/>
                <w:color w:val="auto"/>
              </w:rPr>
            </w:pPr>
            <w:r>
              <w:rPr>
                <w:rFonts w:ascii="Arial" w:cs="Arial" w:eastAsia="Arial" w:hAnsi="Arial"/>
                <w:sz w:val="10"/>
                <w:szCs w:val="10"/>
                <w:color w:val="auto"/>
              </w:rPr>
              <w:t>WEIL:\95095329\6\64946.0030</w:t>
            </w:r>
          </w:p>
        </w:tc>
        <w:tc>
          <w:tcPr>
            <w:tcW w:w="3080" w:type="dxa"/>
            <w:vAlign w:val="bottom"/>
          </w:tcPr>
          <w:p>
            <w:pPr>
              <w:spacing w:after="0"/>
              <w:rPr>
                <w:sz w:val="10"/>
                <w:szCs w:val="10"/>
                <w:color w:val="auto"/>
              </w:rPr>
            </w:pPr>
          </w:p>
        </w:tc>
      </w:tr>
    </w:tbl>
    <w:p>
      <w:pPr>
        <w:sectPr>
          <w:pgSz w:w="11900" w:h="16838" w:orient="portrait"/>
          <w:cols w:equalWidth="0" w:num="1">
            <w:col w:w="11000"/>
          </w:cols>
          <w:pgMar w:left="220" w:top="633" w:right="679" w:bottom="1440" w:gutter="0" w:footer="0" w:header="0"/>
        </w:sectPr>
      </w:pPr>
    </w:p>
    <w:bookmarkStart w:id="309" w:name="page310"/>
    <w:bookmarkEnd w:id="3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40" w:type="dxa"/>
            <w:vAlign w:val="bottom"/>
          </w:tcPr>
          <w:p>
            <w:pPr>
              <w:ind w:left="40"/>
              <w:spacing w:after="0"/>
              <w:rPr>
                <w:sz w:val="20"/>
                <w:szCs w:val="20"/>
                <w:color w:val="auto"/>
              </w:rPr>
            </w:pPr>
            <w:r>
              <w:rPr>
                <w:rFonts w:ascii="Arial" w:cs="Arial" w:eastAsia="Arial" w:hAnsi="Arial"/>
                <w:sz w:val="18"/>
                <w:szCs w:val="18"/>
                <w:color w:val="auto"/>
              </w:rPr>
              <w:t>Mizuho Bank, Ltd.</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Morgan Stanley Senior Funding, Inc.</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Royal Bank of Canada</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The Royal Bank of Scotland plc</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Socété Générale</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Toronto Dominion (Texas) LLC</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Banco Bradesco S.A.</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Canadian Imperial Bank of Commerce, New York Agency</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Banco Bilbao Vizcaya Argentaria, S.A. New York Branch</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Intesa Sanpaolo S.p.A.</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Sumitomo Mitsui Banking Corporation</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The Bank of Nova Scotia</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Agricultural Bank of China, Ltd., New York Branch</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Itau Unibanco S.A., New York Branch</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The Bank of New York Mellon</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Bank of Montreal, Chicago Branch</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DBS Bank Ltd, Los Angeles Agency</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Santander Bank, N.A.</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U.S. Bank National Association</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UniCredit Bank AG, New York Branch</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Capital One, N.A.</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State Street Bank and Trust Company</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Bank of China, New York Branch</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Commonwealth Bank of Australia</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44"/>
        </w:trPr>
        <w:tc>
          <w:tcPr>
            <w:tcW w:w="5840" w:type="dxa"/>
            <w:vAlign w:val="bottom"/>
          </w:tcPr>
          <w:p>
            <w:pPr>
              <w:ind w:left="40"/>
              <w:spacing w:after="0"/>
              <w:rPr>
                <w:sz w:val="20"/>
                <w:szCs w:val="20"/>
                <w:color w:val="auto"/>
              </w:rPr>
            </w:pPr>
            <w:r>
              <w:rPr>
                <w:rFonts w:ascii="Arial" w:cs="Arial" w:eastAsia="Arial" w:hAnsi="Arial"/>
                <w:sz w:val="18"/>
                <w:szCs w:val="18"/>
                <w:color w:val="auto"/>
              </w:rPr>
              <w:t>PNC Bank, National Association</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r>
        <w:trPr>
          <w:trHeight w:val="251"/>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Westpac Banking Corporation</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 * * ]</w:t>
            </w:r>
          </w:p>
        </w:tc>
      </w:tr>
      <w:tr>
        <w:trPr>
          <w:trHeight w:val="228"/>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20" w:type="dxa"/>
            <w:vAlign w:val="bottom"/>
          </w:tcPr>
          <w:p>
            <w:pPr>
              <w:jc w:val="right"/>
              <w:spacing w:after="0"/>
              <w:rPr>
                <w:sz w:val="20"/>
                <w:szCs w:val="20"/>
                <w:color w:val="auto"/>
              </w:rPr>
            </w:pPr>
            <w:r>
              <w:rPr>
                <w:rFonts w:ascii="Arial" w:cs="Arial" w:eastAsia="Arial" w:hAnsi="Arial"/>
                <w:sz w:val="18"/>
                <w:szCs w:val="18"/>
                <w:color w:val="auto"/>
              </w:rPr>
              <w:t>[ * * * ]</w:t>
            </w:r>
          </w:p>
        </w:tc>
      </w:tr>
    </w:tbl>
    <w:p>
      <w:pPr>
        <w:sectPr>
          <w:pgSz w:w="11900" w:h="16838" w:orient="portrait"/>
          <w:cols w:equalWidth="0" w:num="1">
            <w:col w:w="10239"/>
          </w:cols>
          <w:pgMar w:left="220" w:top="632" w:right="1440" w:bottom="1440" w:gutter="0" w:footer="0" w:header="0"/>
        </w:sectPr>
      </w:pPr>
    </w:p>
    <w:bookmarkStart w:id="310" w:name="page311"/>
    <w:bookmarkEnd w:id="31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140" w:type="dxa"/>
            <w:vAlign w:val="bottom"/>
          </w:tcPr>
          <w:p>
            <w:pPr>
              <w:jc w:val="center"/>
              <w:ind w:left="111"/>
              <w:spacing w:after="0"/>
              <w:rPr>
                <w:sz w:val="20"/>
                <w:szCs w:val="20"/>
                <w:color w:val="auto"/>
              </w:rPr>
            </w:pPr>
            <w:r>
              <w:rPr>
                <w:rFonts w:ascii="Arial" w:cs="Arial" w:eastAsia="Arial" w:hAnsi="Arial"/>
                <w:sz w:val="18"/>
                <w:szCs w:val="18"/>
                <w:color w:val="auto"/>
                <w:w w:val="92"/>
              </w:rPr>
              <w:t>SCHEDULE 1.1B</w:t>
            </w:r>
          </w:p>
        </w:tc>
      </w:tr>
      <w:tr>
        <w:trPr>
          <w:trHeight w:val="244"/>
        </w:trPr>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140" w:type="dxa"/>
            <w:vAlign w:val="bottom"/>
          </w:tcPr>
          <w:p>
            <w:pPr>
              <w:jc w:val="center"/>
              <w:ind w:left="111"/>
              <w:spacing w:after="0"/>
              <w:rPr>
                <w:sz w:val="20"/>
                <w:szCs w:val="20"/>
                <w:color w:val="auto"/>
              </w:rPr>
            </w:pPr>
            <w:r>
              <w:rPr>
                <w:rFonts w:ascii="Arial" w:cs="Arial" w:eastAsia="Arial" w:hAnsi="Arial"/>
                <w:sz w:val="18"/>
                <w:szCs w:val="18"/>
                <w:color w:val="auto"/>
                <w:w w:val="92"/>
              </w:rPr>
              <w:t>to</w:t>
            </w:r>
          </w:p>
        </w:tc>
      </w:tr>
      <w:tr>
        <w:trPr>
          <w:trHeight w:val="244"/>
        </w:trPr>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140" w:type="dxa"/>
            <w:vAlign w:val="bottom"/>
          </w:tcPr>
          <w:p>
            <w:pPr>
              <w:jc w:val="center"/>
              <w:ind w:left="91"/>
              <w:spacing w:after="0"/>
              <w:rPr>
                <w:sz w:val="20"/>
                <w:szCs w:val="20"/>
                <w:color w:val="auto"/>
              </w:rPr>
            </w:pPr>
            <w:r>
              <w:rPr>
                <w:rFonts w:ascii="Arial" w:cs="Arial" w:eastAsia="Arial" w:hAnsi="Arial"/>
                <w:sz w:val="18"/>
                <w:szCs w:val="18"/>
                <w:color w:val="auto"/>
                <w:w w:val="90"/>
              </w:rPr>
              <w:t>Credit Agreement</w:t>
            </w:r>
          </w:p>
        </w:tc>
      </w:tr>
      <w:tr>
        <w:trPr>
          <w:trHeight w:val="620"/>
        </w:trPr>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540" w:type="dxa"/>
            <w:vAlign w:val="bottom"/>
            <w:gridSpan w:val="5"/>
          </w:tcPr>
          <w:p>
            <w:pPr>
              <w:jc w:val="center"/>
              <w:ind w:left="551"/>
              <w:spacing w:after="0"/>
              <w:rPr>
                <w:sz w:val="20"/>
                <w:szCs w:val="20"/>
                <w:color w:val="auto"/>
              </w:rPr>
            </w:pPr>
            <w:r>
              <w:rPr>
                <w:rFonts w:ascii="Arial" w:cs="Arial" w:eastAsia="Arial" w:hAnsi="Arial"/>
                <w:sz w:val="18"/>
                <w:szCs w:val="18"/>
                <w:color w:val="auto"/>
                <w:w w:val="98"/>
              </w:rPr>
              <w:t>INITIAL EXCLUDED SUBSIDIARIES</w:t>
            </w:r>
          </w:p>
        </w:tc>
        <w:tc>
          <w:tcPr>
            <w:tcW w:w="2140" w:type="dxa"/>
            <w:vAlign w:val="bottom"/>
          </w:tcPr>
          <w:p>
            <w:pPr>
              <w:spacing w:after="0"/>
              <w:rPr>
                <w:sz w:val="24"/>
                <w:szCs w:val="24"/>
                <w:color w:val="auto"/>
              </w:rPr>
            </w:pPr>
          </w:p>
        </w:tc>
      </w:tr>
      <w:tr>
        <w:trPr>
          <w:trHeight w:val="347"/>
        </w:trPr>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80" w:type="dxa"/>
            <w:vAlign w:val="bottom"/>
            <w:gridSpan w:val="4"/>
          </w:tcPr>
          <w:p>
            <w:pPr>
              <w:jc w:val="center"/>
              <w:ind w:right="2820"/>
              <w:spacing w:after="0"/>
              <w:rPr>
                <w:sz w:val="20"/>
                <w:szCs w:val="20"/>
                <w:color w:val="auto"/>
              </w:rPr>
            </w:pPr>
            <w:r>
              <w:rPr>
                <w:rFonts w:ascii="Arial" w:cs="Arial" w:eastAsia="Arial" w:hAnsi="Arial"/>
                <w:sz w:val="18"/>
                <w:szCs w:val="18"/>
                <w:color w:val="auto"/>
                <w:w w:val="90"/>
              </w:rPr>
              <w:t>Domestic Entities</w:t>
            </w:r>
          </w:p>
        </w:tc>
        <w:tc>
          <w:tcPr>
            <w:tcW w:w="2140" w:type="dxa"/>
            <w:vAlign w:val="bottom"/>
          </w:tcPr>
          <w:p>
            <w:pPr>
              <w:spacing w:after="0"/>
              <w:rPr>
                <w:sz w:val="24"/>
                <w:szCs w:val="24"/>
                <w:color w:val="auto"/>
              </w:rPr>
            </w:pPr>
          </w:p>
        </w:tc>
      </w:tr>
      <w:tr>
        <w:trPr>
          <w:trHeight w:val="489"/>
        </w:trPr>
        <w:tc>
          <w:tcPr>
            <w:tcW w:w="4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Name of Entity</w:t>
            </w:r>
          </w:p>
        </w:tc>
        <w:tc>
          <w:tcPr>
            <w:tcW w:w="3460" w:type="dxa"/>
            <w:vAlign w:val="bottom"/>
          </w:tcPr>
          <w:p>
            <w:pPr>
              <w:spacing w:after="0"/>
              <w:rPr>
                <w:sz w:val="24"/>
                <w:szCs w:val="24"/>
                <w:color w:val="auto"/>
              </w:rPr>
            </w:pPr>
          </w:p>
        </w:tc>
        <w:tc>
          <w:tcPr>
            <w:tcW w:w="1260" w:type="dxa"/>
            <w:vAlign w:val="bottom"/>
            <w:tcBorders>
              <w:top w:val="single" w:sz="8" w:color="auto"/>
            </w:tcBorders>
            <w:gridSpan w:val="3"/>
          </w:tcPr>
          <w:p>
            <w:pPr>
              <w:spacing w:after="0"/>
              <w:rPr>
                <w:sz w:val="24"/>
                <w:szCs w:val="24"/>
                <w:color w:val="auto"/>
              </w:rPr>
            </w:pPr>
          </w:p>
        </w:tc>
        <w:tc>
          <w:tcPr>
            <w:tcW w:w="282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Jurisdiction of Organization</w:t>
            </w:r>
          </w:p>
        </w:tc>
      </w:tr>
      <w:tr>
        <w:trPr>
          <w:trHeight w:val="265"/>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1.</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China, Inc.</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2.</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Foundation, Inc.</w:t>
            </w: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4.</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Ventures LLC</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5.</w:t>
            </w:r>
          </w:p>
        </w:tc>
        <w:tc>
          <w:tcPr>
            <w:tcW w:w="8700" w:type="dxa"/>
            <w:vAlign w:val="bottom"/>
            <w:gridSpan w:val="6"/>
          </w:tcPr>
          <w:p>
            <w:pPr>
              <w:spacing w:after="0"/>
              <w:rPr>
                <w:sz w:val="20"/>
                <w:szCs w:val="20"/>
                <w:color w:val="auto"/>
              </w:rPr>
            </w:pPr>
            <w:r>
              <w:rPr>
                <w:rFonts w:ascii="Arial" w:cs="Arial" w:eastAsia="Arial" w:hAnsi="Arial"/>
                <w:sz w:val="18"/>
                <w:szCs w:val="18"/>
                <w:color w:val="auto"/>
              </w:rPr>
              <w:t>Koneyren, Inc.</w:t>
            </w: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402"/>
        </w:trPr>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gridSpan w:val="3"/>
          </w:tcPr>
          <w:p>
            <w:pPr>
              <w:jc w:val="center"/>
              <w:ind w:right="2880"/>
              <w:spacing w:after="0"/>
              <w:rPr>
                <w:sz w:val="20"/>
                <w:szCs w:val="20"/>
                <w:color w:val="auto"/>
              </w:rPr>
            </w:pPr>
            <w:r>
              <w:rPr>
                <w:rFonts w:ascii="Arial" w:cs="Arial" w:eastAsia="Arial" w:hAnsi="Arial"/>
                <w:sz w:val="18"/>
                <w:szCs w:val="18"/>
                <w:color w:val="auto"/>
                <w:w w:val="91"/>
              </w:rPr>
              <w:t>Foreign Entities</w:t>
            </w:r>
          </w:p>
        </w:tc>
        <w:tc>
          <w:tcPr>
            <w:tcW w:w="2140" w:type="dxa"/>
            <w:vAlign w:val="bottom"/>
          </w:tcPr>
          <w:p>
            <w:pPr>
              <w:spacing w:after="0"/>
              <w:rPr>
                <w:sz w:val="24"/>
                <w:szCs w:val="24"/>
                <w:color w:val="auto"/>
              </w:rPr>
            </w:pPr>
          </w:p>
        </w:tc>
      </w:tr>
      <w:tr>
        <w:trPr>
          <w:trHeight w:val="489"/>
        </w:trPr>
        <w:tc>
          <w:tcPr>
            <w:tcW w:w="4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Name of Entity</w:t>
            </w:r>
          </w:p>
        </w:tc>
        <w:tc>
          <w:tcPr>
            <w:tcW w:w="3520" w:type="dxa"/>
            <w:vAlign w:val="bottom"/>
            <w:gridSpan w:val="2"/>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80" w:type="dxa"/>
            <w:vAlign w:val="bottom"/>
            <w:gridSpan w:val="2"/>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Jurisdiction of Organization</w:t>
            </w:r>
          </w:p>
        </w:tc>
      </w:tr>
      <w:tr>
        <w:trPr>
          <w:trHeight w:val="265"/>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1.</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Asia Pacific (Pte) Ltd.</w:t>
            </w:r>
          </w:p>
        </w:tc>
        <w:tc>
          <w:tcPr>
            <w:tcW w:w="214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2.</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Automobiles Philippines, Inc.</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3.</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Chile Industria Automotriz Limitada</w:t>
            </w: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Chile</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4.</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Coordination Center BVBA</w:t>
            </w:r>
          </w:p>
        </w:tc>
        <w:tc>
          <w:tcPr>
            <w:tcW w:w="214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5.</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International Services Company SAS</w:t>
            </w: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Colombia</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6.</w:t>
            </w:r>
          </w:p>
        </w:tc>
        <w:tc>
          <w:tcPr>
            <w:tcW w:w="8700" w:type="dxa"/>
            <w:vAlign w:val="bottom"/>
            <w:gridSpan w:val="6"/>
          </w:tcPr>
          <w:p>
            <w:pPr>
              <w:spacing w:after="0"/>
              <w:rPr>
                <w:sz w:val="20"/>
                <w:szCs w:val="20"/>
                <w:color w:val="auto"/>
              </w:rPr>
            </w:pPr>
            <w:r>
              <w:rPr>
                <w:rFonts w:ascii="Arial" w:cs="Arial" w:eastAsia="Arial" w:hAnsi="Arial"/>
                <w:sz w:val="18"/>
                <w:szCs w:val="18"/>
                <w:color w:val="auto"/>
              </w:rPr>
              <w:t>General Motors Peru S.A.</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Peru</w:t>
            </w:r>
          </w:p>
        </w:tc>
      </w:tr>
      <w:tr>
        <w:trPr>
          <w:trHeight w:val="244"/>
        </w:trPr>
        <w:tc>
          <w:tcPr>
            <w:tcW w:w="440" w:type="dxa"/>
            <w:vAlign w:val="bottom"/>
          </w:tcPr>
          <w:p>
            <w:pPr>
              <w:jc w:val="right"/>
              <w:ind w:right="237"/>
              <w:spacing w:after="0"/>
              <w:rPr>
                <w:sz w:val="20"/>
                <w:szCs w:val="20"/>
                <w:color w:val="auto"/>
              </w:rPr>
            </w:pPr>
            <w:r>
              <w:rPr>
                <w:rFonts w:ascii="Arial" w:cs="Arial" w:eastAsia="Arial" w:hAnsi="Arial"/>
                <w:sz w:val="17"/>
                <w:szCs w:val="17"/>
                <w:color w:val="auto"/>
                <w:w w:val="70"/>
              </w:rPr>
              <w:t>7.</w:t>
            </w:r>
          </w:p>
        </w:tc>
        <w:tc>
          <w:tcPr>
            <w:tcW w:w="8700" w:type="dxa"/>
            <w:vAlign w:val="bottom"/>
            <w:gridSpan w:val="6"/>
          </w:tcPr>
          <w:p>
            <w:pPr>
              <w:spacing w:after="0"/>
              <w:rPr>
                <w:sz w:val="20"/>
                <w:szCs w:val="20"/>
                <w:color w:val="auto"/>
              </w:rPr>
            </w:pPr>
            <w:r>
              <w:rPr>
                <w:rFonts w:ascii="Arial" w:cs="Arial" w:eastAsia="Arial" w:hAnsi="Arial"/>
                <w:sz w:val="18"/>
                <w:szCs w:val="18"/>
                <w:color w:val="auto"/>
              </w:rPr>
              <w:t>GM GEFS HOLDINGS (CHC4) ULC</w:t>
            </w:r>
          </w:p>
        </w:tc>
        <w:tc>
          <w:tcPr>
            <w:tcW w:w="2140" w:type="dxa"/>
            <w:vAlign w:val="bottom"/>
          </w:tcPr>
          <w:p>
            <w:pPr>
              <w:jc w:val="center"/>
              <w:spacing w:after="0"/>
              <w:rPr>
                <w:sz w:val="20"/>
                <w:szCs w:val="20"/>
                <w:color w:val="auto"/>
              </w:rPr>
            </w:pPr>
            <w:r>
              <w:rPr>
                <w:rFonts w:ascii="Arial" w:cs="Arial" w:eastAsia="Arial" w:hAnsi="Arial"/>
                <w:sz w:val="18"/>
                <w:szCs w:val="18"/>
                <w:color w:val="auto"/>
                <w:w w:val="85"/>
              </w:rPr>
              <w:t>Canada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1.1B</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WEIL:\95095329\6\64946.0030</w:t>
      </w:r>
    </w:p>
    <w:p>
      <w:pPr>
        <w:sectPr>
          <w:pgSz w:w="11900" w:h="16838" w:orient="portrait"/>
          <w:cols w:equalWidth="0" w:num="1">
            <w:col w:w="11320"/>
          </w:cols>
          <w:pgMar w:left="220" w:top="632" w:right="359" w:bottom="1440" w:gutter="0" w:footer="0" w:header="0"/>
        </w:sectPr>
      </w:pPr>
    </w:p>
    <w:bookmarkStart w:id="311" w:name="page312"/>
    <w:bookmarkEnd w:id="311"/>
    <w:tbl>
      <w:tblPr>
        <w:tblLayout w:type="fixed"/>
        <w:tblInd w:w="10" w:type="dxa"/>
        <w:tblCellMar>
          <w:top w:w="0" w:type="dxa"/>
          <w:left w:w="0" w:type="dxa"/>
          <w:bottom w:w="0" w:type="dxa"/>
          <w:right w:w="0" w:type="dxa"/>
        </w:tblCellMar>
      </w:tblPr>
      <w:tr>
        <w:trPr>
          <w:trHeight w:val="224"/>
        </w:trPr>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5"/>
          </w:tcPr>
          <w:p>
            <w:pPr>
              <w:ind w:left="20"/>
              <w:spacing w:after="0"/>
              <w:rPr>
                <w:sz w:val="20"/>
                <w:szCs w:val="20"/>
                <w:color w:val="auto"/>
              </w:rPr>
            </w:pPr>
            <w:r>
              <w:rPr>
                <w:rFonts w:ascii="Arial" w:cs="Arial" w:eastAsia="Arial" w:hAnsi="Arial"/>
                <w:sz w:val="18"/>
                <w:szCs w:val="18"/>
                <w:color w:val="auto"/>
              </w:rPr>
              <w:t>SCHEDULE 1.1C</w:t>
            </w: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3"/>
          </w:tcPr>
          <w:p>
            <w:pPr>
              <w:ind w:left="360"/>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5"/>
          </w:tcPr>
          <w:p>
            <w:pPr>
              <w:ind w:left="20"/>
              <w:spacing w:after="0"/>
              <w:rPr>
                <w:sz w:val="20"/>
                <w:szCs w:val="20"/>
                <w:color w:val="auto"/>
              </w:rPr>
            </w:pPr>
            <w:r>
              <w:rPr>
                <w:rFonts w:ascii="Arial" w:cs="Arial" w:eastAsia="Arial" w:hAnsi="Arial"/>
                <w:sz w:val="18"/>
                <w:szCs w:val="18"/>
                <w:color w:val="auto"/>
              </w:rPr>
              <w:t>Credit Agreement</w:t>
            </w:r>
          </w:p>
        </w:tc>
        <w:tc>
          <w:tcPr>
            <w:tcW w:w="0" w:type="dxa"/>
            <w:vAlign w:val="bottom"/>
          </w:tcPr>
          <w:p>
            <w:pPr>
              <w:spacing w:after="0"/>
              <w:rPr>
                <w:sz w:val="1"/>
                <w:szCs w:val="1"/>
                <w:color w:val="auto"/>
              </w:rPr>
            </w:pPr>
          </w:p>
        </w:tc>
      </w:tr>
      <w:tr>
        <w:trPr>
          <w:trHeight w:val="40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Arial" w:cs="Arial" w:eastAsia="Arial" w:hAnsi="Arial"/>
                <w:sz w:val="18"/>
                <w:szCs w:val="18"/>
                <w:b w:val="1"/>
                <w:bCs w:val="1"/>
                <w:color w:val="auto"/>
              </w:rPr>
              <w:t>Pricing Grid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20" w:type="dxa"/>
            <w:vAlign w:val="bottom"/>
            <w:tcBorders>
              <w:left w:val="single" w:sz="8" w:color="auto"/>
            </w:tcBorders>
            <w:shd w:val="clear" w:color="auto" w:fill="ACACAC"/>
          </w:tcPr>
          <w:p>
            <w:pPr>
              <w:spacing w:after="0"/>
              <w:rPr>
                <w:sz w:val="15"/>
                <w:szCs w:val="15"/>
                <w:color w:val="auto"/>
              </w:rPr>
            </w:pPr>
          </w:p>
        </w:tc>
        <w:tc>
          <w:tcPr>
            <w:tcW w:w="1680" w:type="dxa"/>
            <w:vAlign w:val="bottom"/>
            <w:gridSpan w:val="3"/>
            <w:shd w:val="clear" w:color="auto" w:fill="ACACAC"/>
          </w:tcPr>
          <w:p>
            <w:pPr>
              <w:jc w:val="center"/>
              <w:spacing w:after="0" w:line="179" w:lineRule="exact"/>
              <w:rPr>
                <w:sz w:val="20"/>
                <w:szCs w:val="20"/>
                <w:color w:val="auto"/>
              </w:rPr>
            </w:pPr>
            <w:r>
              <w:rPr>
                <w:rFonts w:ascii="Arial" w:cs="Arial" w:eastAsia="Arial" w:hAnsi="Arial"/>
                <w:sz w:val="18"/>
                <w:szCs w:val="18"/>
                <w:b w:val="1"/>
                <w:bCs w:val="1"/>
                <w:color w:val="auto"/>
                <w:highlight w:val="darkGray"/>
                <w:w w:val="91"/>
              </w:rPr>
              <w:t>S&amp;P / Moody’s / Fitch</w:t>
            </w:r>
          </w:p>
        </w:tc>
        <w:tc>
          <w:tcPr>
            <w:tcW w:w="1120" w:type="dxa"/>
            <w:vAlign w:val="bottom"/>
            <w:tcBorders>
              <w:right w:val="single" w:sz="8" w:color="auto"/>
            </w:tcBorders>
            <w:shd w:val="clear" w:color="auto" w:fill="ACACAC"/>
          </w:tcPr>
          <w:p>
            <w:pPr>
              <w:spacing w:after="0"/>
              <w:rPr>
                <w:sz w:val="15"/>
                <w:szCs w:val="15"/>
                <w:color w:val="auto"/>
              </w:rPr>
            </w:pPr>
          </w:p>
        </w:tc>
        <w:tc>
          <w:tcPr>
            <w:tcW w:w="1880" w:type="dxa"/>
            <w:vAlign w:val="bottom"/>
            <w:tcBorders>
              <w:right w:val="single" w:sz="8" w:color="auto"/>
            </w:tcBorders>
            <w:gridSpan w:val="4"/>
            <w:vMerge w:val="restart"/>
            <w:shd w:val="clear" w:color="auto" w:fill="ACACAC"/>
          </w:tcPr>
          <w:p>
            <w:pPr>
              <w:jc w:val="center"/>
              <w:spacing w:after="0"/>
              <w:rPr>
                <w:sz w:val="20"/>
                <w:szCs w:val="20"/>
                <w:color w:val="auto"/>
              </w:rPr>
            </w:pPr>
            <w:r>
              <w:rPr>
                <w:rFonts w:ascii="Arial" w:cs="Arial" w:eastAsia="Arial" w:hAnsi="Arial"/>
                <w:sz w:val="18"/>
                <w:szCs w:val="18"/>
                <w:b w:val="1"/>
                <w:bCs w:val="1"/>
                <w:color w:val="auto"/>
                <w:w w:val="90"/>
              </w:rPr>
              <w:t>Facility Fee Rate</w:t>
            </w:r>
          </w:p>
        </w:tc>
        <w:tc>
          <w:tcPr>
            <w:tcW w:w="16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440" w:type="dxa"/>
            <w:vAlign w:val="bottom"/>
            <w:gridSpan w:val="2"/>
            <w:shd w:val="clear" w:color="auto" w:fill="ACACAC"/>
          </w:tcPr>
          <w:p>
            <w:pPr>
              <w:jc w:val="center"/>
              <w:spacing w:after="0" w:line="179" w:lineRule="exact"/>
              <w:rPr>
                <w:sz w:val="20"/>
                <w:szCs w:val="20"/>
                <w:color w:val="auto"/>
              </w:rPr>
            </w:pPr>
            <w:r>
              <w:rPr>
                <w:rFonts w:ascii="Arial" w:cs="Arial" w:eastAsia="Arial" w:hAnsi="Arial"/>
                <w:sz w:val="18"/>
                <w:szCs w:val="18"/>
                <w:b w:val="1"/>
                <w:bCs w:val="1"/>
                <w:color w:val="auto"/>
                <w:highlight w:val="darkGray"/>
                <w:w w:val="92"/>
              </w:rPr>
              <w:t>Applicable Margin</w:t>
            </w:r>
          </w:p>
        </w:tc>
        <w:tc>
          <w:tcPr>
            <w:tcW w:w="200" w:type="dxa"/>
            <w:vAlign w:val="bottom"/>
            <w:shd w:val="clear" w:color="auto" w:fill="ACACAC"/>
          </w:tcPr>
          <w:p>
            <w:pPr>
              <w:spacing w:after="0"/>
              <w:rPr>
                <w:sz w:val="15"/>
                <w:szCs w:val="15"/>
                <w:color w:val="auto"/>
              </w:rPr>
            </w:pPr>
          </w:p>
        </w:tc>
        <w:tc>
          <w:tcPr>
            <w:tcW w:w="180" w:type="dxa"/>
            <w:vAlign w:val="bottom"/>
            <w:tcBorders>
              <w:right w:val="single" w:sz="8" w:color="auto"/>
            </w:tcBorders>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440" w:type="dxa"/>
            <w:vAlign w:val="bottom"/>
            <w:tcBorders>
              <w:right w:val="single" w:sz="8" w:color="ACACAC"/>
            </w:tcBorders>
            <w:gridSpan w:val="3"/>
            <w:shd w:val="clear" w:color="auto" w:fill="ACACAC"/>
          </w:tcPr>
          <w:p>
            <w:pPr>
              <w:jc w:val="center"/>
              <w:ind w:right="20"/>
              <w:spacing w:after="0" w:line="179" w:lineRule="exact"/>
              <w:rPr>
                <w:sz w:val="20"/>
                <w:szCs w:val="20"/>
                <w:color w:val="auto"/>
              </w:rPr>
            </w:pPr>
            <w:r>
              <w:rPr>
                <w:rFonts w:ascii="Arial" w:cs="Arial" w:eastAsia="Arial" w:hAnsi="Arial"/>
                <w:sz w:val="18"/>
                <w:szCs w:val="18"/>
                <w:b w:val="1"/>
                <w:bCs w:val="1"/>
                <w:color w:val="auto"/>
                <w:highlight w:val="darkGray"/>
                <w:w w:val="91"/>
              </w:rPr>
              <w:t>Applicable Margin</w:t>
            </w:r>
          </w:p>
        </w:tc>
        <w:tc>
          <w:tcPr>
            <w:tcW w:w="140" w:type="dxa"/>
            <w:vAlign w:val="bottom"/>
            <w:tcBorders>
              <w:right w:val="single" w:sz="8" w:color="auto"/>
            </w:tcBorders>
            <w:shd w:val="clear" w:color="auto" w:fill="ACACAC"/>
          </w:tcPr>
          <w:p>
            <w:pPr>
              <w:spacing w:after="0"/>
              <w:rPr>
                <w:sz w:val="15"/>
                <w:szCs w:val="15"/>
                <w:color w:val="auto"/>
              </w:rPr>
            </w:pPr>
          </w:p>
        </w:tc>
        <w:tc>
          <w:tcPr>
            <w:tcW w:w="100" w:type="dxa"/>
            <w:vAlign w:val="bottom"/>
            <w:shd w:val="clear" w:color="auto" w:fill="ACACAC"/>
          </w:tcPr>
          <w:p>
            <w:pPr>
              <w:spacing w:after="0"/>
              <w:rPr>
                <w:sz w:val="15"/>
                <w:szCs w:val="15"/>
                <w:color w:val="auto"/>
              </w:rPr>
            </w:pPr>
          </w:p>
        </w:tc>
        <w:tc>
          <w:tcPr>
            <w:tcW w:w="1700" w:type="dxa"/>
            <w:vAlign w:val="bottom"/>
            <w:tcBorders>
              <w:right w:val="single" w:sz="8" w:color="auto"/>
            </w:tcBorders>
            <w:gridSpan w:val="4"/>
            <w:shd w:val="clear" w:color="auto" w:fill="ACACAC"/>
          </w:tcPr>
          <w:p>
            <w:pPr>
              <w:ind w:left="140"/>
              <w:spacing w:after="0" w:line="179" w:lineRule="exact"/>
              <w:rPr>
                <w:sz w:val="20"/>
                <w:szCs w:val="20"/>
                <w:color w:val="auto"/>
              </w:rPr>
            </w:pPr>
            <w:r>
              <w:rPr>
                <w:rFonts w:ascii="Arial" w:cs="Arial" w:eastAsia="Arial" w:hAnsi="Arial"/>
                <w:sz w:val="18"/>
                <w:szCs w:val="18"/>
                <w:b w:val="1"/>
                <w:bCs w:val="1"/>
                <w:color w:val="auto"/>
              </w:rPr>
              <w:t>All-in Spread for</w:t>
            </w:r>
          </w:p>
        </w:tc>
        <w:tc>
          <w:tcPr>
            <w:tcW w:w="0" w:type="dxa"/>
            <w:vAlign w:val="bottom"/>
          </w:tcPr>
          <w:p>
            <w:pPr>
              <w:spacing w:after="0"/>
              <w:rPr>
                <w:sz w:val="1"/>
                <w:szCs w:val="1"/>
                <w:color w:val="auto"/>
              </w:rPr>
            </w:pPr>
          </w:p>
        </w:tc>
      </w:tr>
      <w:tr>
        <w:trPr>
          <w:trHeight w:val="20"/>
        </w:trPr>
        <w:tc>
          <w:tcPr>
            <w:tcW w:w="1120" w:type="dxa"/>
            <w:vAlign w:val="bottom"/>
            <w:tcBorders>
              <w:left w:val="single" w:sz="8" w:color="auto"/>
            </w:tcBorders>
            <w:shd w:val="clear" w:color="auto" w:fill="ACACA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ACACAC"/>
          </w:tcPr>
          <w:p>
            <w:pPr>
              <w:spacing w:after="0" w:line="20" w:lineRule="exact"/>
              <w:rPr>
                <w:sz w:val="1"/>
                <w:szCs w:val="1"/>
                <w:color w:val="auto"/>
              </w:rPr>
            </w:pPr>
          </w:p>
        </w:tc>
        <w:tc>
          <w:tcPr>
            <w:tcW w:w="1880" w:type="dxa"/>
            <w:vAlign w:val="bottom"/>
            <w:tcBorders>
              <w:right w:val="single" w:sz="8" w:color="auto"/>
            </w:tcBorders>
            <w:gridSpan w:val="4"/>
            <w:vMerge w:val="continue"/>
            <w:shd w:val="clear" w:color="auto" w:fill="ACACAC"/>
          </w:tcPr>
          <w:p>
            <w:pPr>
              <w:spacing w:after="0" w:line="20" w:lineRule="exact"/>
              <w:rPr>
                <w:sz w:val="1"/>
                <w:szCs w:val="1"/>
                <w:color w:val="auto"/>
              </w:rPr>
            </w:pPr>
          </w:p>
        </w:tc>
        <w:tc>
          <w:tcPr>
            <w:tcW w:w="160" w:type="dxa"/>
            <w:vAlign w:val="bottom"/>
            <w:vMerge w:val="restart"/>
            <w:shd w:val="clear" w:color="auto" w:fill="ACACAC"/>
          </w:tcPr>
          <w:p>
            <w:pPr>
              <w:spacing w:after="0" w:line="20" w:lineRule="exact"/>
              <w:rPr>
                <w:sz w:val="1"/>
                <w:szCs w:val="1"/>
                <w:color w:val="auto"/>
              </w:rPr>
            </w:pPr>
          </w:p>
        </w:tc>
        <w:tc>
          <w:tcPr>
            <w:tcW w:w="200" w:type="dxa"/>
            <w:vAlign w:val="bottom"/>
            <w:shd w:val="clear" w:color="auto" w:fill="ACACAC"/>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ACACAC"/>
          </w:tcPr>
          <w:p>
            <w:pPr>
              <w:spacing w:after="0" w:line="20" w:lineRule="exact"/>
              <w:rPr>
                <w:sz w:val="1"/>
                <w:szCs w:val="1"/>
                <w:color w:val="auto"/>
              </w:rPr>
            </w:pPr>
          </w:p>
        </w:tc>
        <w:tc>
          <w:tcPr>
            <w:tcW w:w="180" w:type="dxa"/>
            <w:vAlign w:val="bottom"/>
            <w:tcBorders>
              <w:right w:val="single" w:sz="8" w:color="auto"/>
            </w:tcBorders>
            <w:shd w:val="clear" w:color="auto" w:fill="ACACAC"/>
          </w:tcPr>
          <w:p>
            <w:pPr>
              <w:spacing w:after="0" w:line="20" w:lineRule="exact"/>
              <w:rPr>
                <w:sz w:val="1"/>
                <w:szCs w:val="1"/>
                <w:color w:val="auto"/>
              </w:rPr>
            </w:pPr>
          </w:p>
        </w:tc>
        <w:tc>
          <w:tcPr>
            <w:tcW w:w="120" w:type="dxa"/>
            <w:vAlign w:val="bottom"/>
            <w:vMerge w:val="restart"/>
            <w:shd w:val="clear" w:color="auto" w:fill="ACACA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Borders>
              <w:right w:val="single" w:sz="8" w:color="ACACAC"/>
            </w:tcBorders>
            <w:shd w:val="clear" w:color="auto" w:fill="000000"/>
          </w:tcPr>
          <w:p>
            <w:pPr>
              <w:spacing w:after="0" w:line="20" w:lineRule="exact"/>
              <w:rPr>
                <w:sz w:val="1"/>
                <w:szCs w:val="1"/>
                <w:color w:val="auto"/>
              </w:rPr>
            </w:pPr>
          </w:p>
        </w:tc>
        <w:tc>
          <w:tcPr>
            <w:tcW w:w="140" w:type="dxa"/>
            <w:vAlign w:val="bottom"/>
            <w:tcBorders>
              <w:right w:val="single" w:sz="8" w:color="auto"/>
            </w:tcBorders>
            <w:vMerge w:val="restart"/>
            <w:shd w:val="clear" w:color="auto" w:fill="ACACAC"/>
          </w:tcPr>
          <w:p>
            <w:pPr>
              <w:spacing w:after="0" w:line="20" w:lineRule="exact"/>
              <w:rPr>
                <w:sz w:val="1"/>
                <w:szCs w:val="1"/>
                <w:color w:val="auto"/>
              </w:rPr>
            </w:pPr>
          </w:p>
        </w:tc>
        <w:tc>
          <w:tcPr>
            <w:tcW w:w="100" w:type="dxa"/>
            <w:vAlign w:val="bottom"/>
            <w:vMerge w:val="restart"/>
            <w:shd w:val="clear" w:color="auto" w:fill="ACACAC"/>
          </w:tcPr>
          <w:p>
            <w:pPr>
              <w:spacing w:after="0" w:line="20" w:lineRule="exact"/>
              <w:rPr>
                <w:sz w:val="1"/>
                <w:szCs w:val="1"/>
                <w:color w:val="auto"/>
              </w:rPr>
            </w:pPr>
          </w:p>
        </w:tc>
        <w:tc>
          <w:tcPr>
            <w:tcW w:w="140" w:type="dxa"/>
            <w:vAlign w:val="bottom"/>
            <w:vMerge w:val="restart"/>
            <w:shd w:val="clear" w:color="auto" w:fill="ACACA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ACACAC"/>
          </w:tcPr>
          <w:p>
            <w:pPr>
              <w:spacing w:after="0" w:line="20" w:lineRule="exact"/>
              <w:rPr>
                <w:sz w:val="1"/>
                <w:szCs w:val="1"/>
                <w:color w:val="auto"/>
              </w:rPr>
            </w:pPr>
          </w:p>
        </w:tc>
        <w:tc>
          <w:tcPr>
            <w:tcW w:w="140" w:type="dxa"/>
            <w:vAlign w:val="bottom"/>
            <w:tcBorders>
              <w:right w:val="single" w:sz="8" w:color="auto"/>
            </w:tcBorders>
            <w:shd w:val="clear" w:color="auto" w:fill="ACACA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20" w:type="dxa"/>
            <w:vAlign w:val="bottom"/>
            <w:tcBorders>
              <w:left w:val="single" w:sz="8" w:color="auto"/>
              <w:bottom w:val="single" w:sz="8" w:color="auto"/>
            </w:tcBorders>
            <w:shd w:val="clear" w:color="auto" w:fill="ACACAC"/>
          </w:tcPr>
          <w:p>
            <w:pPr>
              <w:spacing w:after="0"/>
              <w:rPr>
                <w:sz w:val="20"/>
                <w:szCs w:val="20"/>
                <w:color w:val="auto"/>
              </w:rPr>
            </w:pPr>
          </w:p>
        </w:tc>
        <w:tc>
          <w:tcPr>
            <w:tcW w:w="280" w:type="dxa"/>
            <w:vAlign w:val="bottom"/>
            <w:tcBorders>
              <w:bottom w:val="single" w:sz="8" w:color="auto"/>
            </w:tcBorders>
            <w:shd w:val="clear" w:color="auto" w:fill="ACACAC"/>
          </w:tcPr>
          <w:p>
            <w:pPr>
              <w:spacing w:after="0"/>
              <w:rPr>
                <w:sz w:val="20"/>
                <w:szCs w:val="20"/>
                <w:color w:val="auto"/>
              </w:rPr>
            </w:pPr>
          </w:p>
        </w:tc>
        <w:tc>
          <w:tcPr>
            <w:tcW w:w="1120" w:type="dxa"/>
            <w:vAlign w:val="bottom"/>
            <w:tcBorders>
              <w:bottom w:val="single" w:sz="8" w:color="auto"/>
            </w:tcBorders>
            <w:shd w:val="clear" w:color="auto" w:fill="ACACAC"/>
          </w:tcPr>
          <w:p>
            <w:pPr>
              <w:jc w:val="center"/>
              <w:spacing w:after="0" w:line="179" w:lineRule="exact"/>
              <w:rPr>
                <w:sz w:val="20"/>
                <w:szCs w:val="20"/>
                <w:color w:val="auto"/>
              </w:rPr>
            </w:pPr>
            <w:r>
              <w:rPr>
                <w:rFonts w:ascii="Arial" w:cs="Arial" w:eastAsia="Arial" w:hAnsi="Arial"/>
                <w:sz w:val="18"/>
                <w:szCs w:val="18"/>
                <w:b w:val="1"/>
                <w:bCs w:val="1"/>
                <w:color w:val="auto"/>
                <w:highlight w:val="darkGray"/>
                <w:w w:val="90"/>
              </w:rPr>
              <w:t>Facility Rating</w:t>
            </w:r>
          </w:p>
        </w:tc>
        <w:tc>
          <w:tcPr>
            <w:tcW w:w="280" w:type="dxa"/>
            <w:vAlign w:val="bottom"/>
            <w:tcBorders>
              <w:bottom w:val="single" w:sz="8" w:color="auto"/>
            </w:tcBorders>
            <w:shd w:val="clear" w:color="auto" w:fill="ACACAC"/>
          </w:tcPr>
          <w:p>
            <w:pPr>
              <w:spacing w:after="0"/>
              <w:rPr>
                <w:sz w:val="20"/>
                <w:szCs w:val="20"/>
                <w:color w:val="auto"/>
              </w:rPr>
            </w:pPr>
          </w:p>
        </w:tc>
        <w:tc>
          <w:tcPr>
            <w:tcW w:w="1120" w:type="dxa"/>
            <w:vAlign w:val="bottom"/>
            <w:tcBorders>
              <w:bottom w:val="single" w:sz="8" w:color="auto"/>
              <w:right w:val="single" w:sz="8" w:color="auto"/>
            </w:tcBorders>
            <w:shd w:val="clear" w:color="auto" w:fill="ACACAC"/>
          </w:tcPr>
          <w:p>
            <w:pPr>
              <w:spacing w:after="0"/>
              <w:rPr>
                <w:sz w:val="20"/>
                <w:szCs w:val="20"/>
                <w:color w:val="auto"/>
              </w:rPr>
            </w:pPr>
          </w:p>
        </w:tc>
        <w:tc>
          <w:tcPr>
            <w:tcW w:w="1880" w:type="dxa"/>
            <w:vAlign w:val="bottom"/>
            <w:tcBorders>
              <w:bottom w:val="single" w:sz="8" w:color="auto"/>
              <w:right w:val="single" w:sz="8" w:color="auto"/>
            </w:tcBorders>
            <w:gridSpan w:val="4"/>
            <w:vMerge w:val="continue"/>
            <w:shd w:val="clear" w:color="auto" w:fill="ACACAC"/>
          </w:tcPr>
          <w:p>
            <w:pPr>
              <w:spacing w:after="0"/>
              <w:rPr>
                <w:sz w:val="20"/>
                <w:szCs w:val="20"/>
                <w:color w:val="auto"/>
              </w:rPr>
            </w:pPr>
          </w:p>
        </w:tc>
        <w:tc>
          <w:tcPr>
            <w:tcW w:w="160" w:type="dxa"/>
            <w:vAlign w:val="bottom"/>
            <w:tcBorders>
              <w:bottom w:val="single" w:sz="8" w:color="auto"/>
            </w:tcBorders>
            <w:vMerge w:val="continue"/>
            <w:shd w:val="clear" w:color="auto" w:fill="ACACAC"/>
          </w:tcPr>
          <w:p>
            <w:pPr>
              <w:spacing w:after="0"/>
              <w:rPr>
                <w:sz w:val="20"/>
                <w:szCs w:val="20"/>
                <w:color w:val="auto"/>
              </w:rPr>
            </w:pPr>
          </w:p>
        </w:tc>
        <w:tc>
          <w:tcPr>
            <w:tcW w:w="200" w:type="dxa"/>
            <w:vAlign w:val="bottom"/>
            <w:tcBorders>
              <w:bottom w:val="single" w:sz="8" w:color="auto"/>
            </w:tcBorders>
            <w:shd w:val="clear" w:color="auto" w:fill="ACACAC"/>
          </w:tcPr>
          <w:p>
            <w:pPr>
              <w:spacing w:after="0" w:line="179" w:lineRule="exact"/>
              <w:rPr>
                <w:sz w:val="20"/>
                <w:szCs w:val="20"/>
                <w:color w:val="auto"/>
              </w:rPr>
            </w:pPr>
            <w:r>
              <w:rPr>
                <w:rFonts w:ascii="Arial" w:cs="Arial" w:eastAsia="Arial" w:hAnsi="Arial"/>
                <w:sz w:val="18"/>
                <w:szCs w:val="18"/>
                <w:b w:val="1"/>
                <w:bCs w:val="1"/>
                <w:color w:val="auto"/>
                <w:highlight w:val="darkGray"/>
                <w:w w:val="74"/>
              </w:rPr>
              <w:t>for</w:t>
            </w:r>
          </w:p>
        </w:tc>
        <w:tc>
          <w:tcPr>
            <w:tcW w:w="1640" w:type="dxa"/>
            <w:vAlign w:val="bottom"/>
            <w:tcBorders>
              <w:bottom w:val="single" w:sz="8" w:color="auto"/>
            </w:tcBorders>
            <w:gridSpan w:val="3"/>
            <w:shd w:val="clear" w:color="auto" w:fill="ACACAC"/>
          </w:tcPr>
          <w:p>
            <w:pPr>
              <w:ind w:left="80"/>
              <w:spacing w:after="0" w:line="179" w:lineRule="exact"/>
              <w:rPr>
                <w:sz w:val="20"/>
                <w:szCs w:val="20"/>
                <w:color w:val="auto"/>
              </w:rPr>
            </w:pPr>
            <w:r>
              <w:rPr>
                <w:rFonts w:ascii="Arial" w:cs="Arial" w:eastAsia="Arial" w:hAnsi="Arial"/>
                <w:sz w:val="18"/>
                <w:szCs w:val="18"/>
                <w:b w:val="1"/>
                <w:bCs w:val="1"/>
                <w:color w:val="auto"/>
                <w:highlight w:val="darkGray"/>
                <w:w w:val="87"/>
              </w:rPr>
              <w:t>Eurocurrency Loans</w:t>
            </w:r>
          </w:p>
        </w:tc>
        <w:tc>
          <w:tcPr>
            <w:tcW w:w="180" w:type="dxa"/>
            <w:vAlign w:val="bottom"/>
            <w:tcBorders>
              <w:bottom w:val="single" w:sz="8" w:color="auto"/>
              <w:right w:val="single" w:sz="8" w:color="auto"/>
            </w:tcBorders>
            <w:shd w:val="clear" w:color="auto" w:fill="ACACAC"/>
          </w:tcPr>
          <w:p>
            <w:pPr>
              <w:spacing w:after="0"/>
              <w:rPr>
                <w:sz w:val="20"/>
                <w:szCs w:val="20"/>
                <w:color w:val="auto"/>
              </w:rPr>
            </w:pPr>
          </w:p>
        </w:tc>
        <w:tc>
          <w:tcPr>
            <w:tcW w:w="120" w:type="dxa"/>
            <w:vAlign w:val="bottom"/>
            <w:tcBorders>
              <w:bottom w:val="single" w:sz="8" w:color="auto"/>
            </w:tcBorders>
            <w:vMerge w:val="continue"/>
            <w:shd w:val="clear" w:color="auto" w:fill="ACACAC"/>
          </w:tcPr>
          <w:p>
            <w:pPr>
              <w:spacing w:after="0"/>
              <w:rPr>
                <w:sz w:val="20"/>
                <w:szCs w:val="20"/>
                <w:color w:val="auto"/>
              </w:rPr>
            </w:pPr>
          </w:p>
        </w:tc>
        <w:tc>
          <w:tcPr>
            <w:tcW w:w="140" w:type="dxa"/>
            <w:vAlign w:val="bottom"/>
            <w:tcBorders>
              <w:bottom w:val="single" w:sz="8" w:color="auto"/>
            </w:tcBorders>
            <w:shd w:val="clear" w:color="auto" w:fill="ACACAC"/>
          </w:tcPr>
          <w:p>
            <w:pPr>
              <w:spacing w:after="0"/>
              <w:rPr>
                <w:sz w:val="20"/>
                <w:szCs w:val="20"/>
                <w:color w:val="auto"/>
              </w:rPr>
            </w:pPr>
          </w:p>
        </w:tc>
        <w:tc>
          <w:tcPr>
            <w:tcW w:w="1140" w:type="dxa"/>
            <w:vAlign w:val="bottom"/>
            <w:tcBorders>
              <w:bottom w:val="single" w:sz="8" w:color="auto"/>
            </w:tcBorders>
            <w:shd w:val="clear" w:color="auto" w:fill="ACACAC"/>
          </w:tcPr>
          <w:p>
            <w:pPr>
              <w:jc w:val="center"/>
              <w:spacing w:after="0" w:line="179" w:lineRule="exact"/>
              <w:rPr>
                <w:sz w:val="20"/>
                <w:szCs w:val="20"/>
                <w:color w:val="auto"/>
              </w:rPr>
            </w:pPr>
            <w:r>
              <w:rPr>
                <w:rFonts w:ascii="Arial" w:cs="Arial" w:eastAsia="Arial" w:hAnsi="Arial"/>
                <w:sz w:val="18"/>
                <w:szCs w:val="18"/>
                <w:b w:val="1"/>
                <w:bCs w:val="1"/>
                <w:color w:val="auto"/>
                <w:highlight w:val="darkGray"/>
                <w:w w:val="90"/>
              </w:rPr>
              <w:t>for ABR Loans</w:t>
            </w:r>
          </w:p>
        </w:tc>
        <w:tc>
          <w:tcPr>
            <w:tcW w:w="160" w:type="dxa"/>
            <w:vAlign w:val="bottom"/>
            <w:tcBorders>
              <w:bottom w:val="single" w:sz="8" w:color="auto"/>
              <w:right w:val="single" w:sz="8" w:color="ACACAC"/>
            </w:tcBorders>
            <w:shd w:val="clear" w:color="auto" w:fill="ACACAC"/>
          </w:tcPr>
          <w:p>
            <w:pPr>
              <w:spacing w:after="0"/>
              <w:rPr>
                <w:sz w:val="20"/>
                <w:szCs w:val="20"/>
                <w:color w:val="auto"/>
              </w:rPr>
            </w:pPr>
          </w:p>
        </w:tc>
        <w:tc>
          <w:tcPr>
            <w:tcW w:w="140" w:type="dxa"/>
            <w:vAlign w:val="bottom"/>
            <w:tcBorders>
              <w:bottom w:val="single" w:sz="8" w:color="auto"/>
              <w:right w:val="single" w:sz="8" w:color="auto"/>
            </w:tcBorders>
            <w:vMerge w:val="continue"/>
            <w:shd w:val="clear" w:color="auto" w:fill="ACACAC"/>
          </w:tcPr>
          <w:p>
            <w:pPr>
              <w:spacing w:after="0"/>
              <w:rPr>
                <w:sz w:val="20"/>
                <w:szCs w:val="20"/>
                <w:color w:val="auto"/>
              </w:rPr>
            </w:pPr>
          </w:p>
        </w:tc>
        <w:tc>
          <w:tcPr>
            <w:tcW w:w="100" w:type="dxa"/>
            <w:vAlign w:val="bottom"/>
            <w:tcBorders>
              <w:bottom w:val="single" w:sz="8" w:color="auto"/>
            </w:tcBorders>
            <w:vMerge w:val="continue"/>
            <w:shd w:val="clear" w:color="auto" w:fill="ACACAC"/>
          </w:tcPr>
          <w:p>
            <w:pPr>
              <w:spacing w:after="0"/>
              <w:rPr>
                <w:sz w:val="20"/>
                <w:szCs w:val="20"/>
                <w:color w:val="auto"/>
              </w:rPr>
            </w:pPr>
          </w:p>
        </w:tc>
        <w:tc>
          <w:tcPr>
            <w:tcW w:w="140" w:type="dxa"/>
            <w:vAlign w:val="bottom"/>
            <w:tcBorders>
              <w:bottom w:val="single" w:sz="8" w:color="auto"/>
            </w:tcBorders>
            <w:vMerge w:val="continue"/>
            <w:shd w:val="clear" w:color="auto" w:fill="ACACAC"/>
          </w:tcPr>
          <w:p>
            <w:pPr>
              <w:spacing w:after="0"/>
              <w:rPr>
                <w:sz w:val="20"/>
                <w:szCs w:val="20"/>
                <w:color w:val="auto"/>
              </w:rPr>
            </w:pPr>
          </w:p>
        </w:tc>
        <w:tc>
          <w:tcPr>
            <w:tcW w:w="1560" w:type="dxa"/>
            <w:vAlign w:val="bottom"/>
            <w:tcBorders>
              <w:bottom w:val="single" w:sz="8" w:color="auto"/>
              <w:right w:val="single" w:sz="8" w:color="auto"/>
            </w:tcBorders>
            <w:gridSpan w:val="3"/>
            <w:shd w:val="clear" w:color="auto" w:fill="ACACAC"/>
          </w:tcPr>
          <w:p>
            <w:pPr>
              <w:spacing w:after="0" w:line="179" w:lineRule="exact"/>
              <w:rPr>
                <w:sz w:val="20"/>
                <w:szCs w:val="20"/>
                <w:color w:val="auto"/>
              </w:rPr>
            </w:pPr>
            <w:r>
              <w:rPr>
                <w:rFonts w:ascii="Arial" w:cs="Arial" w:eastAsia="Arial" w:hAnsi="Arial"/>
                <w:sz w:val="18"/>
                <w:szCs w:val="18"/>
                <w:b w:val="1"/>
                <w:bCs w:val="1"/>
                <w:color w:val="auto"/>
                <w:w w:val="86"/>
              </w:rPr>
              <w:t>Eurocurrency Loans</w:t>
            </w:r>
          </w:p>
        </w:tc>
        <w:tc>
          <w:tcPr>
            <w:tcW w:w="0" w:type="dxa"/>
            <w:vAlign w:val="bottom"/>
          </w:tcPr>
          <w:p>
            <w:pPr>
              <w:spacing w:after="0"/>
              <w:rPr>
                <w:sz w:val="1"/>
                <w:szCs w:val="1"/>
                <w:color w:val="auto"/>
              </w:rPr>
            </w:pPr>
          </w:p>
        </w:tc>
      </w:tr>
      <w:tr>
        <w:trPr>
          <w:trHeight w:val="227"/>
        </w:trPr>
        <w:tc>
          <w:tcPr>
            <w:tcW w:w="112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gridSpan w:val="3"/>
          </w:tcPr>
          <w:p>
            <w:pPr>
              <w:jc w:val="center"/>
              <w:ind w:right="1400"/>
              <w:spacing w:after="0"/>
              <w:rPr>
                <w:sz w:val="20"/>
                <w:szCs w:val="20"/>
                <w:color w:val="auto"/>
              </w:rPr>
            </w:pPr>
            <w:r>
              <w:rPr>
                <w:rFonts w:ascii="Arial" w:cs="Arial" w:eastAsia="Arial" w:hAnsi="Arial"/>
                <w:sz w:val="18"/>
                <w:szCs w:val="18"/>
                <w:color w:val="auto"/>
              </w:rPr>
              <w:t>≥ A/A2/A</w:t>
            </w:r>
          </w:p>
        </w:tc>
        <w:tc>
          <w:tcPr>
            <w:tcW w:w="1340" w:type="dxa"/>
            <w:vAlign w:val="bottom"/>
            <w:tcBorders>
              <w:bottom w:val="single" w:sz="8" w:color="auto"/>
            </w:tcBorders>
            <w:gridSpan w:val="2"/>
          </w:tcPr>
          <w:p>
            <w:pPr>
              <w:jc w:val="center"/>
              <w:ind w:left="451"/>
              <w:spacing w:after="0"/>
              <w:rPr>
                <w:sz w:val="20"/>
                <w:szCs w:val="20"/>
                <w:color w:val="auto"/>
              </w:rPr>
            </w:pPr>
            <w:r>
              <w:rPr>
                <w:rFonts w:ascii="Arial" w:cs="Arial" w:eastAsia="Arial" w:hAnsi="Arial"/>
                <w:sz w:val="18"/>
                <w:szCs w:val="18"/>
                <w:color w:val="auto"/>
              </w:rPr>
              <w:t>[ * * * ]</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4"/>
          </w:tcPr>
          <w:p>
            <w:pPr>
              <w:jc w:val="center"/>
              <w:ind w:left="271"/>
              <w:spacing w:after="0"/>
              <w:rPr>
                <w:sz w:val="20"/>
                <w:szCs w:val="20"/>
                <w:color w:val="auto"/>
              </w:rPr>
            </w:pPr>
            <w:r>
              <w:rPr>
                <w:rFonts w:ascii="Arial" w:cs="Arial" w:eastAsia="Arial" w:hAnsi="Arial"/>
                <w:sz w:val="18"/>
                <w:szCs w:val="18"/>
                <w:color w:val="auto"/>
              </w:rPr>
              <w:t>[ * * * ]</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191"/>
              <w:spacing w:after="0"/>
              <w:rPr>
                <w:sz w:val="20"/>
                <w:szCs w:val="20"/>
                <w:color w:val="auto"/>
              </w:rPr>
            </w:pPr>
            <w:r>
              <w:rPr>
                <w:rFonts w:ascii="Arial" w:cs="Arial" w:eastAsia="Arial" w:hAnsi="Arial"/>
                <w:sz w:val="18"/>
                <w:szCs w:val="18"/>
                <w:color w:val="auto"/>
              </w:rPr>
              <w:t>[ * * * ]</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12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gridSpan w:val="3"/>
          </w:tcPr>
          <w:p>
            <w:pPr>
              <w:jc w:val="center"/>
              <w:ind w:right="1400"/>
              <w:spacing w:after="0"/>
              <w:rPr>
                <w:sz w:val="20"/>
                <w:szCs w:val="20"/>
                <w:color w:val="auto"/>
              </w:rPr>
            </w:pPr>
            <w:r>
              <w:rPr>
                <w:rFonts w:ascii="Arial" w:cs="Arial" w:eastAsia="Arial" w:hAnsi="Arial"/>
                <w:sz w:val="18"/>
                <w:szCs w:val="18"/>
                <w:color w:val="auto"/>
                <w:w w:val="99"/>
              </w:rPr>
              <w:t>A-/A3/A-</w:t>
            </w:r>
          </w:p>
        </w:tc>
        <w:tc>
          <w:tcPr>
            <w:tcW w:w="1340" w:type="dxa"/>
            <w:vAlign w:val="bottom"/>
            <w:tcBorders>
              <w:bottom w:val="single" w:sz="8" w:color="auto"/>
            </w:tcBorders>
            <w:gridSpan w:val="2"/>
          </w:tcPr>
          <w:p>
            <w:pPr>
              <w:jc w:val="center"/>
              <w:ind w:left="451"/>
              <w:spacing w:after="0"/>
              <w:rPr>
                <w:sz w:val="20"/>
                <w:szCs w:val="20"/>
                <w:color w:val="auto"/>
              </w:rPr>
            </w:pPr>
            <w:r>
              <w:rPr>
                <w:rFonts w:ascii="Arial" w:cs="Arial" w:eastAsia="Arial" w:hAnsi="Arial"/>
                <w:sz w:val="18"/>
                <w:szCs w:val="18"/>
                <w:color w:val="auto"/>
              </w:rPr>
              <w:t>[ * * * ]</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271"/>
              <w:spacing w:after="0"/>
              <w:rPr>
                <w:sz w:val="20"/>
                <w:szCs w:val="20"/>
                <w:color w:val="auto"/>
              </w:rPr>
            </w:pPr>
            <w:r>
              <w:rPr>
                <w:rFonts w:ascii="Arial" w:cs="Arial" w:eastAsia="Arial" w:hAnsi="Arial"/>
                <w:sz w:val="18"/>
                <w:szCs w:val="18"/>
                <w:color w:val="auto"/>
              </w:rPr>
              <w:t>[ * * * ]</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91"/>
              <w:spacing w:after="0"/>
              <w:rPr>
                <w:sz w:val="20"/>
                <w:szCs w:val="20"/>
                <w:color w:val="auto"/>
              </w:rPr>
            </w:pPr>
            <w:r>
              <w:rPr>
                <w:rFonts w:ascii="Arial" w:cs="Arial" w:eastAsia="Arial" w:hAnsi="Arial"/>
                <w:sz w:val="18"/>
                <w:szCs w:val="18"/>
                <w:color w:val="auto"/>
              </w:rPr>
              <w:t>[ * * * ]</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20" w:type="dxa"/>
            <w:vAlign w:val="bottom"/>
            <w:tcBorders>
              <w:left w:val="single" w:sz="8" w:color="auto"/>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4"/>
          </w:tcPr>
          <w:p>
            <w:pPr>
              <w:jc w:val="center"/>
              <w:ind w:right="1060"/>
              <w:spacing w:after="0"/>
              <w:rPr>
                <w:sz w:val="20"/>
                <w:szCs w:val="20"/>
                <w:color w:val="auto"/>
              </w:rPr>
            </w:pPr>
            <w:r>
              <w:rPr>
                <w:rFonts w:ascii="Arial" w:cs="Arial" w:eastAsia="Arial" w:hAnsi="Arial"/>
                <w:sz w:val="18"/>
                <w:szCs w:val="18"/>
                <w:color w:val="auto"/>
                <w:w w:val="93"/>
              </w:rPr>
              <w:t>BBB+ / Baa1 / BBB+</w:t>
            </w:r>
          </w:p>
        </w:tc>
        <w:tc>
          <w:tcPr>
            <w:tcW w:w="1340" w:type="dxa"/>
            <w:vAlign w:val="bottom"/>
            <w:tcBorders>
              <w:bottom w:val="single" w:sz="8" w:color="auto"/>
            </w:tcBorders>
            <w:gridSpan w:val="2"/>
          </w:tcPr>
          <w:p>
            <w:pPr>
              <w:jc w:val="center"/>
              <w:ind w:left="451"/>
              <w:spacing w:after="0"/>
              <w:rPr>
                <w:sz w:val="20"/>
                <w:szCs w:val="20"/>
                <w:color w:val="auto"/>
              </w:rPr>
            </w:pPr>
            <w:r>
              <w:rPr>
                <w:rFonts w:ascii="Arial" w:cs="Arial" w:eastAsia="Arial" w:hAnsi="Arial"/>
                <w:sz w:val="18"/>
                <w:szCs w:val="18"/>
                <w:color w:val="auto"/>
              </w:rPr>
              <w:t>[ * * * ]</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271"/>
              <w:spacing w:after="0"/>
              <w:rPr>
                <w:sz w:val="20"/>
                <w:szCs w:val="20"/>
                <w:color w:val="auto"/>
              </w:rPr>
            </w:pPr>
            <w:r>
              <w:rPr>
                <w:rFonts w:ascii="Arial" w:cs="Arial" w:eastAsia="Arial" w:hAnsi="Arial"/>
                <w:sz w:val="18"/>
                <w:szCs w:val="18"/>
                <w:color w:val="auto"/>
              </w:rPr>
              <w:t>[ * * * ]</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91"/>
              <w:spacing w:after="0"/>
              <w:rPr>
                <w:sz w:val="20"/>
                <w:szCs w:val="20"/>
                <w:color w:val="auto"/>
              </w:rPr>
            </w:pPr>
            <w:r>
              <w:rPr>
                <w:rFonts w:ascii="Arial" w:cs="Arial" w:eastAsia="Arial" w:hAnsi="Arial"/>
                <w:sz w:val="18"/>
                <w:szCs w:val="18"/>
                <w:color w:val="auto"/>
              </w:rPr>
              <w:t>[ * * * ]</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20" w:type="dxa"/>
            <w:vAlign w:val="bottom"/>
            <w:tcBorders>
              <w:left w:val="single" w:sz="8" w:color="auto"/>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94"/>
              </w:rPr>
              <w:t>BBB / Baa2 / BBB</w:t>
            </w:r>
          </w:p>
        </w:tc>
        <w:tc>
          <w:tcPr>
            <w:tcW w:w="1340" w:type="dxa"/>
            <w:vAlign w:val="bottom"/>
            <w:tcBorders>
              <w:bottom w:val="single" w:sz="8" w:color="auto"/>
            </w:tcBorders>
            <w:gridSpan w:val="2"/>
          </w:tcPr>
          <w:p>
            <w:pPr>
              <w:jc w:val="center"/>
              <w:ind w:left="451"/>
              <w:spacing w:after="0"/>
              <w:rPr>
                <w:sz w:val="20"/>
                <w:szCs w:val="20"/>
                <w:color w:val="auto"/>
              </w:rPr>
            </w:pPr>
            <w:r>
              <w:rPr>
                <w:rFonts w:ascii="Arial" w:cs="Arial" w:eastAsia="Arial" w:hAnsi="Arial"/>
                <w:sz w:val="18"/>
                <w:szCs w:val="18"/>
                <w:color w:val="auto"/>
              </w:rPr>
              <w:t>[ * * * ]</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271"/>
              <w:spacing w:after="0"/>
              <w:rPr>
                <w:sz w:val="20"/>
                <w:szCs w:val="20"/>
                <w:color w:val="auto"/>
              </w:rPr>
            </w:pPr>
            <w:r>
              <w:rPr>
                <w:rFonts w:ascii="Arial" w:cs="Arial" w:eastAsia="Arial" w:hAnsi="Arial"/>
                <w:sz w:val="18"/>
                <w:szCs w:val="18"/>
                <w:color w:val="auto"/>
              </w:rPr>
              <w:t>[ * * * ]</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91"/>
              <w:spacing w:after="0"/>
              <w:rPr>
                <w:sz w:val="20"/>
                <w:szCs w:val="20"/>
                <w:color w:val="auto"/>
              </w:rPr>
            </w:pPr>
            <w:r>
              <w:rPr>
                <w:rFonts w:ascii="Arial" w:cs="Arial" w:eastAsia="Arial" w:hAnsi="Arial"/>
                <w:sz w:val="18"/>
                <w:szCs w:val="18"/>
                <w:color w:val="auto"/>
              </w:rPr>
              <w:t>[ * * * ]</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20" w:type="dxa"/>
            <w:vAlign w:val="bottom"/>
            <w:tcBorders>
              <w:left w:val="single" w:sz="8" w:color="auto"/>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4"/>
          </w:tcPr>
          <w:p>
            <w:pPr>
              <w:jc w:val="center"/>
              <w:ind w:right="1060"/>
              <w:spacing w:after="0"/>
              <w:rPr>
                <w:sz w:val="20"/>
                <w:szCs w:val="20"/>
                <w:color w:val="auto"/>
              </w:rPr>
            </w:pPr>
            <w:r>
              <w:rPr>
                <w:rFonts w:ascii="Arial" w:cs="Arial" w:eastAsia="Arial" w:hAnsi="Arial"/>
                <w:sz w:val="18"/>
                <w:szCs w:val="18"/>
                <w:color w:val="auto"/>
                <w:w w:val="93"/>
              </w:rPr>
              <w:t>BBB- / Baa3 / BBB-</w:t>
            </w:r>
          </w:p>
        </w:tc>
        <w:tc>
          <w:tcPr>
            <w:tcW w:w="1340" w:type="dxa"/>
            <w:vAlign w:val="bottom"/>
            <w:tcBorders>
              <w:bottom w:val="single" w:sz="8" w:color="auto"/>
            </w:tcBorders>
            <w:gridSpan w:val="2"/>
          </w:tcPr>
          <w:p>
            <w:pPr>
              <w:jc w:val="center"/>
              <w:ind w:left="451"/>
              <w:spacing w:after="0"/>
              <w:rPr>
                <w:sz w:val="20"/>
                <w:szCs w:val="20"/>
                <w:color w:val="auto"/>
              </w:rPr>
            </w:pPr>
            <w:r>
              <w:rPr>
                <w:rFonts w:ascii="Arial" w:cs="Arial" w:eastAsia="Arial" w:hAnsi="Arial"/>
                <w:sz w:val="18"/>
                <w:szCs w:val="18"/>
                <w:color w:val="auto"/>
              </w:rPr>
              <w:t>[ * * * ]</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271"/>
              <w:spacing w:after="0"/>
              <w:rPr>
                <w:sz w:val="20"/>
                <w:szCs w:val="20"/>
                <w:color w:val="auto"/>
              </w:rPr>
            </w:pPr>
            <w:r>
              <w:rPr>
                <w:rFonts w:ascii="Arial" w:cs="Arial" w:eastAsia="Arial" w:hAnsi="Arial"/>
                <w:sz w:val="18"/>
                <w:szCs w:val="18"/>
                <w:color w:val="auto"/>
              </w:rPr>
              <w:t>[ * * * ]</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91"/>
              <w:spacing w:after="0"/>
              <w:rPr>
                <w:sz w:val="20"/>
                <w:szCs w:val="20"/>
                <w:color w:val="auto"/>
              </w:rPr>
            </w:pPr>
            <w:r>
              <w:rPr>
                <w:rFonts w:ascii="Arial" w:cs="Arial" w:eastAsia="Arial" w:hAnsi="Arial"/>
                <w:sz w:val="18"/>
                <w:szCs w:val="18"/>
                <w:color w:val="auto"/>
              </w:rPr>
              <w:t>[ * * * ]</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120" w:type="dxa"/>
            <w:vAlign w:val="bottom"/>
            <w:tcBorders>
              <w:left w:val="single" w:sz="8" w:color="auto"/>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94"/>
              </w:rPr>
              <w:t xml:space="preserve">BB+ / Ba1 </w:t>
            </w:r>
            <w:r>
              <w:rPr>
                <w:rFonts w:ascii="Arial" w:cs="Arial" w:eastAsia="Arial" w:hAnsi="Arial"/>
                <w:sz w:val="18"/>
                <w:szCs w:val="18"/>
                <w:b w:val="1"/>
                <w:bCs w:val="1"/>
                <w:color w:val="auto"/>
                <w:w w:val="94"/>
              </w:rPr>
              <w:t>/</w:t>
            </w:r>
            <w:r>
              <w:rPr>
                <w:rFonts w:ascii="Arial" w:cs="Arial" w:eastAsia="Arial" w:hAnsi="Arial"/>
                <w:sz w:val="18"/>
                <w:szCs w:val="18"/>
                <w:color w:val="auto"/>
                <w:w w:val="94"/>
              </w:rPr>
              <w:t xml:space="preserve"> BB+</w:t>
            </w:r>
          </w:p>
        </w:tc>
        <w:tc>
          <w:tcPr>
            <w:tcW w:w="1340" w:type="dxa"/>
            <w:vAlign w:val="bottom"/>
            <w:tcBorders>
              <w:bottom w:val="single" w:sz="8" w:color="auto"/>
            </w:tcBorders>
            <w:gridSpan w:val="2"/>
          </w:tcPr>
          <w:p>
            <w:pPr>
              <w:jc w:val="center"/>
              <w:ind w:left="451"/>
              <w:spacing w:after="0"/>
              <w:rPr>
                <w:sz w:val="20"/>
                <w:szCs w:val="20"/>
                <w:color w:val="auto"/>
              </w:rPr>
            </w:pPr>
            <w:r>
              <w:rPr>
                <w:rFonts w:ascii="Arial" w:cs="Arial" w:eastAsia="Arial" w:hAnsi="Arial"/>
                <w:sz w:val="18"/>
                <w:szCs w:val="18"/>
                <w:color w:val="auto"/>
              </w:rPr>
              <w:t>[ * * * ]</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271"/>
              <w:spacing w:after="0"/>
              <w:rPr>
                <w:sz w:val="20"/>
                <w:szCs w:val="20"/>
                <w:color w:val="auto"/>
              </w:rPr>
            </w:pPr>
            <w:r>
              <w:rPr>
                <w:rFonts w:ascii="Arial" w:cs="Arial" w:eastAsia="Arial" w:hAnsi="Arial"/>
                <w:sz w:val="18"/>
                <w:szCs w:val="18"/>
                <w:color w:val="auto"/>
              </w:rPr>
              <w:t>[ * * * ]</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191"/>
              <w:spacing w:after="0"/>
              <w:rPr>
                <w:sz w:val="20"/>
                <w:szCs w:val="20"/>
                <w:color w:val="auto"/>
              </w:rPr>
            </w:pPr>
            <w:r>
              <w:rPr>
                <w:rFonts w:ascii="Arial" w:cs="Arial" w:eastAsia="Arial" w:hAnsi="Arial"/>
                <w:sz w:val="18"/>
                <w:szCs w:val="18"/>
                <w:color w:val="auto"/>
              </w:rPr>
              <w:t>[ * * * ]</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20" w:type="dxa"/>
            <w:vAlign w:val="bottom"/>
            <w:tcBorders>
              <w:left w:val="single" w:sz="8" w:color="auto"/>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4"/>
          </w:tcPr>
          <w:p>
            <w:pPr>
              <w:jc w:val="center"/>
              <w:ind w:right="1100"/>
              <w:spacing w:after="0"/>
              <w:rPr>
                <w:sz w:val="20"/>
                <w:szCs w:val="20"/>
                <w:color w:val="auto"/>
              </w:rPr>
            </w:pPr>
            <w:r>
              <w:rPr>
                <w:rFonts w:ascii="Arial" w:cs="Arial" w:eastAsia="Arial" w:hAnsi="Arial"/>
                <w:sz w:val="18"/>
                <w:szCs w:val="18"/>
                <w:color w:val="auto"/>
                <w:w w:val="94"/>
              </w:rPr>
              <w:t>≤ BB / Ba2 / BB</w:t>
            </w:r>
          </w:p>
        </w:tc>
        <w:tc>
          <w:tcPr>
            <w:tcW w:w="1340" w:type="dxa"/>
            <w:vAlign w:val="bottom"/>
            <w:tcBorders>
              <w:bottom w:val="single" w:sz="8" w:color="auto"/>
            </w:tcBorders>
            <w:gridSpan w:val="2"/>
          </w:tcPr>
          <w:p>
            <w:pPr>
              <w:jc w:val="center"/>
              <w:ind w:left="451"/>
              <w:spacing w:after="0"/>
              <w:rPr>
                <w:sz w:val="20"/>
                <w:szCs w:val="20"/>
                <w:color w:val="auto"/>
              </w:rPr>
            </w:pPr>
            <w:r>
              <w:rPr>
                <w:rFonts w:ascii="Arial" w:cs="Arial" w:eastAsia="Arial" w:hAnsi="Arial"/>
                <w:sz w:val="18"/>
                <w:szCs w:val="18"/>
                <w:color w:val="auto"/>
              </w:rPr>
              <w:t>[ * * * ]</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271"/>
              <w:spacing w:after="0"/>
              <w:rPr>
                <w:sz w:val="20"/>
                <w:szCs w:val="20"/>
                <w:color w:val="auto"/>
              </w:rPr>
            </w:pPr>
            <w:r>
              <w:rPr>
                <w:rFonts w:ascii="Arial" w:cs="Arial" w:eastAsia="Arial" w:hAnsi="Arial"/>
                <w:sz w:val="18"/>
                <w:szCs w:val="18"/>
                <w:color w:val="auto"/>
              </w:rPr>
              <w:t>[ * * * ]</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91"/>
              <w:spacing w:after="0"/>
              <w:rPr>
                <w:sz w:val="20"/>
                <w:szCs w:val="20"/>
                <w:color w:val="auto"/>
              </w:rPr>
            </w:pPr>
            <w:r>
              <w:rPr>
                <w:rFonts w:ascii="Arial" w:cs="Arial" w:eastAsia="Arial" w:hAnsi="Arial"/>
                <w:sz w:val="18"/>
                <w:szCs w:val="18"/>
                <w:color w:val="auto"/>
              </w:rPr>
              <w:t>[ * * * ]</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color w:val="auto"/>
              </w:rPr>
              <w:t>[ * * * ]</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Changes in the Applicable Margin and Facility Fee Rate shall become effective on the date on which S&amp;P, Moody’s and/or Fitch changes the Facility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 * * * ] For the purposes of determining the Applicable Margin and Facility Fee Rate prior to the earlier of (a) the date that the Company receives Facility Ratings from each of S&amp;P, Moody’s and Fitch and (b) the date that is 90 days after the Closing Date, the Company’s Facility Rating shall be deemed to be “BBB- / Baa3 / BBB-”.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WEIL:\95095329\6\64946.0030</w:t>
      </w:r>
    </w:p>
    <w:p>
      <w:pPr>
        <w:sectPr>
          <w:pgSz w:w="11900" w:h="16838" w:orient="portrait"/>
          <w:cols w:equalWidth="0" w:num="1">
            <w:col w:w="11480"/>
          </w:cols>
          <w:pgMar w:left="220" w:top="632" w:right="199" w:bottom="1440" w:gutter="0" w:footer="0" w:header="0"/>
        </w:sectPr>
      </w:pPr>
    </w:p>
    <w:bookmarkStart w:id="312" w:name="page313"/>
    <w:bookmarkEnd w:id="312"/>
    <w:p>
      <w:pPr>
        <w:jc w:val="center"/>
        <w:ind w:left="9220"/>
        <w:spacing w:after="0"/>
        <w:rPr>
          <w:sz w:val="20"/>
          <w:szCs w:val="20"/>
          <w:color w:val="auto"/>
        </w:rPr>
      </w:pPr>
      <w:r>
        <w:rPr>
          <w:rFonts w:ascii="Arial" w:cs="Arial" w:eastAsia="Arial" w:hAnsi="Arial"/>
          <w:sz w:val="16"/>
          <w:szCs w:val="16"/>
          <w:color w:val="auto"/>
        </w:rPr>
        <w:t>SCHEDULE 1.1 D</w:t>
      </w:r>
    </w:p>
    <w:p>
      <w:pPr>
        <w:spacing w:after="0" w:line="60" w:lineRule="exact"/>
        <w:rPr>
          <w:sz w:val="20"/>
          <w:szCs w:val="20"/>
          <w:color w:val="auto"/>
        </w:rPr>
      </w:pPr>
    </w:p>
    <w:p>
      <w:pPr>
        <w:jc w:val="center"/>
        <w:ind w:left="922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7"/>
          <w:szCs w:val="17"/>
          <w:color w:val="auto"/>
        </w:rPr>
        <w:t>Credit Agreement</w:t>
      </w:r>
    </w:p>
    <w:p>
      <w:pPr>
        <w:spacing w:after="0" w:line="200" w:lineRule="exact"/>
        <w:rPr>
          <w:sz w:val="20"/>
          <w:szCs w:val="20"/>
          <w:color w:val="auto"/>
        </w:rPr>
      </w:pP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EXISTING LIENS</w:t>
      </w:r>
    </w:p>
    <w:p>
      <w:pPr>
        <w:spacing w:after="0" w:line="181" w:lineRule="exact"/>
        <w:rPr>
          <w:sz w:val="20"/>
          <w:szCs w:val="20"/>
          <w:color w:val="auto"/>
        </w:rPr>
      </w:pPr>
    </w:p>
    <w:p>
      <w:pPr>
        <w:ind w:right="300"/>
        <w:spacing w:after="0" w:line="293" w:lineRule="auto"/>
        <w:rPr>
          <w:sz w:val="20"/>
          <w:szCs w:val="20"/>
          <w:color w:val="auto"/>
        </w:rPr>
      </w:pPr>
      <w:r>
        <w:rPr>
          <w:rFonts w:ascii="Arial" w:cs="Arial" w:eastAsia="Arial" w:hAnsi="Arial"/>
          <w:sz w:val="17"/>
          <w:szCs w:val="17"/>
          <w:color w:val="auto"/>
        </w:rPr>
        <w:t>Liens reflected in the lien search results dated September 25, 2014 delivered to the Administrative Agent prior to the Closing Date, excluding any liens previously granted in favor of Wilmington Trust Company, as Collateral Trustee under the Collateral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1.1D</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WEIL:\95095329\6\64946.0030</w:t>
      </w:r>
    </w:p>
    <w:p>
      <w:pPr>
        <w:sectPr>
          <w:pgSz w:w="11900" w:h="16838" w:orient="portrait"/>
          <w:cols w:equalWidth="0" w:num="1">
            <w:col w:w="11020"/>
          </w:cols>
          <w:pgMar w:left="220" w:top="632" w:right="659" w:bottom="1440" w:gutter="0" w:footer="0" w:header="0"/>
        </w:sectPr>
      </w:pPr>
    </w:p>
    <w:bookmarkStart w:id="313" w:name="page314"/>
    <w:bookmarkEnd w:id="313"/>
    <w:p>
      <w:pPr>
        <w:jc w:val="center"/>
        <w:ind w:left="9240"/>
        <w:spacing w:after="0"/>
        <w:rPr>
          <w:sz w:val="20"/>
          <w:szCs w:val="20"/>
          <w:color w:val="auto"/>
        </w:rPr>
      </w:pPr>
      <w:r>
        <w:rPr>
          <w:rFonts w:ascii="Arial" w:cs="Arial" w:eastAsia="Arial" w:hAnsi="Arial"/>
          <w:sz w:val="18"/>
          <w:szCs w:val="18"/>
          <w:color w:val="auto"/>
        </w:rPr>
        <w:t>SCHEDULE 4.6</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LITIGATION</w:t>
      </w:r>
    </w:p>
    <w:p>
      <w:pPr>
        <w:spacing w:after="0" w:line="181" w:lineRule="exact"/>
        <w:rPr>
          <w:sz w:val="20"/>
          <w:szCs w:val="20"/>
          <w:color w:val="auto"/>
        </w:rPr>
      </w:pPr>
    </w:p>
    <w:p>
      <w:pPr>
        <w:jc w:val="both"/>
        <w:ind w:firstLine="9"/>
        <w:spacing w:after="0" w:line="262" w:lineRule="auto"/>
        <w:tabs>
          <w:tab w:leader="none" w:pos="19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In July 2014, General Motors Financial Company, Inc. (“GMF”) was served with a subpoena by the U.S. Department of Justice directing GMF to produce certain documents relating to GMF and its subsidiaries’ and affiliates’ origination and securitization of subprime automobile loans since 2007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loans and the representations and warranties relating to those underwriting criteria that were made in connection with the securitization of the automobile loans. In September 2014, GMF was served with additional investigative subpoenas to produce documents from state attorneys general and other governmental offices relating to its subprime auto finance business and securitization of subprime auto loans. GMF is investigating these matters internally and believes it is cooperating with all requests. Such investigations could in the future result in the imposition of damages, fines or civil or criminal claims and/or penalties. No assurance can be given that the ultimate outcome of the investigations or any resulting proceedings would not materially and adversely affect GMF or any of its subsidiaries and affiliates.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Credit Agreement Schedule 4.6</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0"/>
          <w:szCs w:val="10"/>
          <w:color w:val="auto"/>
        </w:rPr>
        <w:t>WEIL:\95095329\6\64946.0030</w:t>
      </w:r>
    </w:p>
    <w:p>
      <w:pPr>
        <w:sectPr>
          <w:pgSz w:w="11900" w:h="16838" w:orient="portrait"/>
          <w:cols w:equalWidth="0" w:num="1">
            <w:col w:w="11460"/>
          </w:cols>
          <w:pgMar w:left="220" w:top="632" w:right="219" w:bottom="1440" w:gutter="0" w:footer="0" w:header="0"/>
        </w:sectPr>
      </w:pPr>
    </w:p>
    <w:bookmarkStart w:id="314" w:name="page315"/>
    <w:bookmarkEnd w:id="314"/>
    <w:p>
      <w:pPr>
        <w:jc w:val="center"/>
        <w:ind w:left="9240"/>
        <w:spacing w:after="0"/>
        <w:rPr>
          <w:sz w:val="20"/>
          <w:szCs w:val="20"/>
          <w:color w:val="auto"/>
        </w:rPr>
      </w:pPr>
      <w:r>
        <w:rPr>
          <w:rFonts w:ascii="Arial" w:cs="Arial" w:eastAsia="Arial" w:hAnsi="Arial"/>
          <w:sz w:val="16"/>
          <w:szCs w:val="16"/>
          <w:b w:val="1"/>
          <w:bCs w:val="1"/>
          <w:color w:val="auto"/>
        </w:rPr>
        <w:t>EXHIBIT A</w:t>
      </w:r>
    </w:p>
    <w:p>
      <w:pPr>
        <w:spacing w:after="0" w:line="49" w:lineRule="exact"/>
        <w:rPr>
          <w:sz w:val="20"/>
          <w:szCs w:val="20"/>
          <w:color w:val="auto"/>
        </w:rPr>
      </w:pPr>
    </w:p>
    <w:p>
      <w:pPr>
        <w:jc w:val="center"/>
        <w:ind w:left="9240"/>
        <w:spacing w:after="0"/>
        <w:rPr>
          <w:sz w:val="20"/>
          <w:szCs w:val="20"/>
          <w:color w:val="auto"/>
        </w:rPr>
      </w:pPr>
      <w:r>
        <w:rPr>
          <w:rFonts w:ascii="Arial" w:cs="Arial" w:eastAsia="Arial" w:hAnsi="Arial"/>
          <w:sz w:val="16"/>
          <w:szCs w:val="16"/>
          <w:b w:val="1"/>
          <w:bCs w:val="1"/>
          <w:color w:val="auto"/>
        </w:rPr>
        <w:t>to</w:t>
      </w:r>
    </w:p>
    <w:p>
      <w:pPr>
        <w:spacing w:after="0" w:line="49" w:lineRule="exact"/>
        <w:rPr>
          <w:sz w:val="20"/>
          <w:szCs w:val="20"/>
          <w:color w:val="auto"/>
        </w:rPr>
      </w:pPr>
    </w:p>
    <w:p>
      <w:pPr>
        <w:jc w:val="center"/>
        <w:ind w:left="9240"/>
        <w:spacing w:after="0"/>
        <w:rPr>
          <w:sz w:val="20"/>
          <w:szCs w:val="20"/>
          <w:color w:val="auto"/>
        </w:rPr>
      </w:pPr>
      <w:r>
        <w:rPr>
          <w:rFonts w:ascii="Arial" w:cs="Arial" w:eastAsia="Arial" w:hAnsi="Arial"/>
          <w:sz w:val="15"/>
          <w:szCs w:val="15"/>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FORM OF</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AMENDED AND RESTATED GUARANTEE AGREEMENT</w:t>
      </w:r>
    </w:p>
    <w:p>
      <w:pPr>
        <w:spacing w:after="0" w:line="200" w:lineRule="exact"/>
        <w:rPr>
          <w:sz w:val="20"/>
          <w:szCs w:val="20"/>
          <w:color w:val="auto"/>
        </w:rPr>
      </w:pPr>
    </w:p>
    <w:p>
      <w:pPr>
        <w:spacing w:after="0" w:line="247"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made by</w:t>
      </w:r>
    </w:p>
    <w:p>
      <w:pPr>
        <w:spacing w:after="0" w:line="200" w:lineRule="exact"/>
        <w:rPr>
          <w:sz w:val="20"/>
          <w:szCs w:val="20"/>
          <w:color w:val="auto"/>
        </w:rPr>
      </w:pPr>
    </w:p>
    <w:p>
      <w:pPr>
        <w:spacing w:after="0" w:line="247"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GENERAL MOTORS COMPANY</w:t>
      </w:r>
    </w:p>
    <w:p>
      <w:pPr>
        <w:spacing w:after="0" w:line="18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 xml:space="preserve">AND CERTAIN OTHER PERSONS FROM TIME TO TIME PARTIES HERETO, </w:t>
      </w:r>
      <w:r>
        <w:rPr>
          <w:rFonts w:ascii="Arial" w:cs="Arial" w:eastAsia="Arial" w:hAnsi="Arial"/>
          <w:sz w:val="16"/>
          <w:szCs w:val="16"/>
          <w:i w:val="1"/>
          <w:iCs w:val="1"/>
          <w:color w:val="auto"/>
        </w:rPr>
        <w:t>as the Guarantors</w:t>
      </w:r>
    </w:p>
    <w:p>
      <w:pPr>
        <w:spacing w:after="0" w:line="200" w:lineRule="exact"/>
        <w:rPr>
          <w:sz w:val="20"/>
          <w:szCs w:val="20"/>
          <w:color w:val="auto"/>
        </w:rPr>
      </w:pPr>
    </w:p>
    <w:p>
      <w:pPr>
        <w:spacing w:after="0" w:line="258"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in favor of</w:t>
      </w:r>
    </w:p>
    <w:p>
      <w:pPr>
        <w:spacing w:after="0" w:line="200" w:lineRule="exact"/>
        <w:rPr>
          <w:sz w:val="20"/>
          <w:szCs w:val="20"/>
          <w:color w:val="auto"/>
        </w:rPr>
      </w:pPr>
    </w:p>
    <w:p>
      <w:pPr>
        <w:spacing w:after="0" w:line="247"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 xml:space="preserve">JPMORGAN CHASE BANK, N.A., </w:t>
      </w:r>
      <w:r>
        <w:rPr>
          <w:rFonts w:ascii="Arial" w:cs="Arial" w:eastAsia="Arial" w:hAnsi="Arial"/>
          <w:sz w:val="16"/>
          <w:szCs w:val="16"/>
          <w:i w:val="1"/>
          <w:iCs w:val="1"/>
          <w:color w:val="auto"/>
        </w:rPr>
        <w:t>as the Administrative Agent</w:t>
      </w:r>
    </w:p>
    <w:p>
      <w:pPr>
        <w:spacing w:after="0" w:line="200" w:lineRule="exact"/>
        <w:rPr>
          <w:sz w:val="20"/>
          <w:szCs w:val="20"/>
          <w:color w:val="auto"/>
        </w:rPr>
      </w:pPr>
    </w:p>
    <w:p>
      <w:pPr>
        <w:spacing w:after="0" w:line="247"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Dated as of October 17, 2014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ectPr>
          <w:pgSz w:w="11900" w:h="16838" w:orient="portrait"/>
          <w:cols w:equalWidth="0" w:num="1">
            <w:col w:w="10980"/>
          </w:cols>
          <w:pgMar w:left="220" w:top="630" w:right="69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07"/>
        </w:trPr>
        <w:tc>
          <w:tcPr>
            <w:tcW w:w="820" w:type="dxa"/>
            <w:vAlign w:val="bottom"/>
            <w:gridSpan w:val="2"/>
          </w:tcPr>
          <w:p>
            <w:pPr>
              <w:ind w:left="140"/>
              <w:spacing w:after="0"/>
              <w:rPr>
                <w:sz w:val="20"/>
                <w:szCs w:val="20"/>
                <w:color w:val="auto"/>
              </w:rPr>
            </w:pPr>
            <w:r>
              <w:rPr>
                <w:rFonts w:ascii="Arial" w:cs="Arial" w:eastAsia="Arial" w:hAnsi="Arial"/>
                <w:sz w:val="16"/>
                <w:szCs w:val="16"/>
                <w:color w:val="auto"/>
                <w:w w:val="92"/>
              </w:rPr>
              <w:t>Section 1.</w:t>
            </w:r>
          </w:p>
        </w:tc>
        <w:tc>
          <w:tcPr>
            <w:tcW w:w="1180" w:type="dxa"/>
            <w:vAlign w:val="bottom"/>
          </w:tcPr>
          <w:p>
            <w:pPr>
              <w:spacing w:after="0"/>
              <w:rPr>
                <w:sz w:val="17"/>
                <w:szCs w:val="17"/>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DEFINED TERMS</w:t>
            </w:r>
          </w:p>
        </w:tc>
        <w:tc>
          <w:tcPr>
            <w:tcW w:w="2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1.1</w:t>
            </w:r>
          </w:p>
        </w:tc>
        <w:tc>
          <w:tcPr>
            <w:tcW w:w="6700" w:type="dxa"/>
            <w:vAlign w:val="bottom"/>
          </w:tcPr>
          <w:p>
            <w:pPr>
              <w:ind w:left="240"/>
              <w:spacing w:after="0"/>
              <w:rPr>
                <w:sz w:val="20"/>
                <w:szCs w:val="20"/>
                <w:color w:val="auto"/>
              </w:rPr>
            </w:pPr>
            <w:r>
              <w:rPr>
                <w:rFonts w:ascii="Arial" w:cs="Arial" w:eastAsia="Arial" w:hAnsi="Arial"/>
                <w:sz w:val="16"/>
                <w:szCs w:val="16"/>
                <w:color w:val="auto"/>
              </w:rPr>
              <w:t>Definitions</w:t>
            </w:r>
          </w:p>
        </w:tc>
        <w:tc>
          <w:tcPr>
            <w:tcW w:w="2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1.2</w:t>
            </w:r>
          </w:p>
        </w:tc>
        <w:tc>
          <w:tcPr>
            <w:tcW w:w="6700" w:type="dxa"/>
            <w:vAlign w:val="bottom"/>
          </w:tcPr>
          <w:p>
            <w:pPr>
              <w:ind w:left="240"/>
              <w:spacing w:after="0"/>
              <w:rPr>
                <w:sz w:val="20"/>
                <w:szCs w:val="20"/>
                <w:color w:val="auto"/>
              </w:rPr>
            </w:pPr>
            <w:r>
              <w:rPr>
                <w:rFonts w:ascii="Arial" w:cs="Arial" w:eastAsia="Arial" w:hAnsi="Arial"/>
                <w:sz w:val="16"/>
                <w:szCs w:val="16"/>
                <w:color w:val="auto"/>
              </w:rPr>
              <w:t>Other Definitional Provisions</w:t>
            </w:r>
          </w:p>
        </w:tc>
        <w:tc>
          <w:tcPr>
            <w:tcW w:w="25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820" w:type="dxa"/>
            <w:vAlign w:val="bottom"/>
            <w:gridSpan w:val="2"/>
          </w:tcPr>
          <w:p>
            <w:pPr>
              <w:ind w:left="140"/>
              <w:spacing w:after="0"/>
              <w:rPr>
                <w:sz w:val="20"/>
                <w:szCs w:val="20"/>
                <w:color w:val="auto"/>
              </w:rPr>
            </w:pPr>
            <w:r>
              <w:rPr>
                <w:rFonts w:ascii="Arial" w:cs="Arial" w:eastAsia="Arial" w:hAnsi="Arial"/>
                <w:sz w:val="16"/>
                <w:szCs w:val="16"/>
                <w:color w:val="auto"/>
                <w:w w:val="92"/>
              </w:rPr>
              <w:t>Section 2.</w:t>
            </w:r>
          </w:p>
        </w:tc>
        <w:tc>
          <w:tcPr>
            <w:tcW w:w="1180" w:type="dxa"/>
            <w:vAlign w:val="bottom"/>
          </w:tcPr>
          <w:p>
            <w:pPr>
              <w:spacing w:after="0"/>
              <w:rPr>
                <w:sz w:val="20"/>
                <w:szCs w:val="20"/>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GUARANTEE</w:t>
            </w:r>
          </w:p>
        </w:tc>
        <w:tc>
          <w:tcPr>
            <w:tcW w:w="2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2.1</w:t>
            </w:r>
          </w:p>
        </w:tc>
        <w:tc>
          <w:tcPr>
            <w:tcW w:w="6700" w:type="dxa"/>
            <w:vAlign w:val="bottom"/>
          </w:tcPr>
          <w:p>
            <w:pPr>
              <w:ind w:left="240"/>
              <w:spacing w:after="0"/>
              <w:rPr>
                <w:sz w:val="20"/>
                <w:szCs w:val="20"/>
                <w:color w:val="auto"/>
              </w:rPr>
            </w:pPr>
            <w:r>
              <w:rPr>
                <w:rFonts w:ascii="Arial" w:cs="Arial" w:eastAsia="Arial" w:hAnsi="Arial"/>
                <w:sz w:val="16"/>
                <w:szCs w:val="16"/>
                <w:color w:val="auto"/>
              </w:rPr>
              <w:t>Guarantee</w:t>
            </w:r>
          </w:p>
        </w:tc>
        <w:tc>
          <w:tcPr>
            <w:tcW w:w="2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2.2</w:t>
            </w:r>
          </w:p>
        </w:tc>
        <w:tc>
          <w:tcPr>
            <w:tcW w:w="6700" w:type="dxa"/>
            <w:vAlign w:val="bottom"/>
          </w:tcPr>
          <w:p>
            <w:pPr>
              <w:ind w:left="240"/>
              <w:spacing w:after="0"/>
              <w:rPr>
                <w:sz w:val="20"/>
                <w:szCs w:val="20"/>
                <w:color w:val="auto"/>
              </w:rPr>
            </w:pPr>
            <w:r>
              <w:rPr>
                <w:rFonts w:ascii="Arial" w:cs="Arial" w:eastAsia="Arial" w:hAnsi="Arial"/>
                <w:sz w:val="16"/>
                <w:szCs w:val="16"/>
                <w:color w:val="auto"/>
              </w:rPr>
              <w:t>Right of Contribution</w:t>
            </w:r>
          </w:p>
        </w:tc>
        <w:tc>
          <w:tcPr>
            <w:tcW w:w="2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2.3</w:t>
            </w:r>
          </w:p>
        </w:tc>
        <w:tc>
          <w:tcPr>
            <w:tcW w:w="6700" w:type="dxa"/>
            <w:vAlign w:val="bottom"/>
          </w:tcPr>
          <w:p>
            <w:pPr>
              <w:ind w:left="240"/>
              <w:spacing w:after="0"/>
              <w:rPr>
                <w:sz w:val="20"/>
                <w:szCs w:val="20"/>
                <w:color w:val="auto"/>
              </w:rPr>
            </w:pPr>
            <w:r>
              <w:rPr>
                <w:rFonts w:ascii="Arial" w:cs="Arial" w:eastAsia="Arial" w:hAnsi="Arial"/>
                <w:sz w:val="16"/>
                <w:szCs w:val="16"/>
                <w:color w:val="auto"/>
              </w:rPr>
              <w:t>No Subrogation</w:t>
            </w:r>
          </w:p>
        </w:tc>
        <w:tc>
          <w:tcPr>
            <w:tcW w:w="2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2.4</w:t>
            </w:r>
          </w:p>
        </w:tc>
        <w:tc>
          <w:tcPr>
            <w:tcW w:w="6700" w:type="dxa"/>
            <w:vAlign w:val="bottom"/>
          </w:tcPr>
          <w:p>
            <w:pPr>
              <w:ind w:left="240"/>
              <w:spacing w:after="0"/>
              <w:rPr>
                <w:sz w:val="20"/>
                <w:szCs w:val="20"/>
                <w:color w:val="auto"/>
              </w:rPr>
            </w:pPr>
            <w:r>
              <w:rPr>
                <w:rFonts w:ascii="Arial" w:cs="Arial" w:eastAsia="Arial" w:hAnsi="Arial"/>
                <w:sz w:val="16"/>
                <w:szCs w:val="16"/>
                <w:color w:val="auto"/>
              </w:rPr>
              <w:t>Amendments, etc. with respect to the Guaranteed Obligations</w:t>
            </w:r>
          </w:p>
        </w:tc>
        <w:tc>
          <w:tcPr>
            <w:tcW w:w="25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2.5</w:t>
            </w:r>
          </w:p>
        </w:tc>
        <w:tc>
          <w:tcPr>
            <w:tcW w:w="6700" w:type="dxa"/>
            <w:vAlign w:val="bottom"/>
          </w:tcPr>
          <w:p>
            <w:pPr>
              <w:ind w:left="240"/>
              <w:spacing w:after="0"/>
              <w:rPr>
                <w:sz w:val="20"/>
                <w:szCs w:val="20"/>
                <w:color w:val="auto"/>
              </w:rPr>
            </w:pPr>
            <w:r>
              <w:rPr>
                <w:rFonts w:ascii="Arial" w:cs="Arial" w:eastAsia="Arial" w:hAnsi="Arial"/>
                <w:sz w:val="16"/>
                <w:szCs w:val="16"/>
                <w:color w:val="auto"/>
              </w:rPr>
              <w:t>Guarantee Absolute and Unconditional</w:t>
            </w:r>
          </w:p>
        </w:tc>
        <w:tc>
          <w:tcPr>
            <w:tcW w:w="25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2.6</w:t>
            </w:r>
          </w:p>
        </w:tc>
        <w:tc>
          <w:tcPr>
            <w:tcW w:w="6700" w:type="dxa"/>
            <w:vAlign w:val="bottom"/>
          </w:tcPr>
          <w:p>
            <w:pPr>
              <w:ind w:left="240"/>
              <w:spacing w:after="0"/>
              <w:rPr>
                <w:sz w:val="20"/>
                <w:szCs w:val="20"/>
                <w:color w:val="auto"/>
              </w:rPr>
            </w:pPr>
            <w:r>
              <w:rPr>
                <w:rFonts w:ascii="Arial" w:cs="Arial" w:eastAsia="Arial" w:hAnsi="Arial"/>
                <w:sz w:val="16"/>
                <w:szCs w:val="16"/>
                <w:color w:val="auto"/>
              </w:rPr>
              <w:t>Reinstatement</w:t>
            </w:r>
          </w:p>
        </w:tc>
        <w:tc>
          <w:tcPr>
            <w:tcW w:w="2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2.7</w:t>
            </w:r>
          </w:p>
        </w:tc>
        <w:tc>
          <w:tcPr>
            <w:tcW w:w="6700" w:type="dxa"/>
            <w:vAlign w:val="bottom"/>
          </w:tcPr>
          <w:p>
            <w:pPr>
              <w:ind w:left="240"/>
              <w:spacing w:after="0"/>
              <w:rPr>
                <w:sz w:val="20"/>
                <w:szCs w:val="20"/>
                <w:color w:val="auto"/>
              </w:rPr>
            </w:pPr>
            <w:r>
              <w:rPr>
                <w:rFonts w:ascii="Arial" w:cs="Arial" w:eastAsia="Arial" w:hAnsi="Arial"/>
                <w:sz w:val="16"/>
                <w:szCs w:val="16"/>
                <w:color w:val="auto"/>
              </w:rPr>
              <w:t>Payments</w:t>
            </w:r>
          </w:p>
        </w:tc>
        <w:tc>
          <w:tcPr>
            <w:tcW w:w="2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820" w:type="dxa"/>
            <w:vAlign w:val="bottom"/>
            <w:gridSpan w:val="2"/>
          </w:tcPr>
          <w:p>
            <w:pPr>
              <w:ind w:left="140"/>
              <w:spacing w:after="0"/>
              <w:rPr>
                <w:sz w:val="20"/>
                <w:szCs w:val="20"/>
                <w:color w:val="auto"/>
              </w:rPr>
            </w:pPr>
            <w:r>
              <w:rPr>
                <w:rFonts w:ascii="Arial" w:cs="Arial" w:eastAsia="Arial" w:hAnsi="Arial"/>
                <w:sz w:val="16"/>
                <w:szCs w:val="16"/>
                <w:color w:val="auto"/>
                <w:w w:val="92"/>
              </w:rPr>
              <w:t>Section 3.</w:t>
            </w:r>
          </w:p>
        </w:tc>
        <w:tc>
          <w:tcPr>
            <w:tcW w:w="1180" w:type="dxa"/>
            <w:vAlign w:val="bottom"/>
          </w:tcPr>
          <w:p>
            <w:pPr>
              <w:spacing w:after="0"/>
              <w:rPr>
                <w:sz w:val="20"/>
                <w:szCs w:val="20"/>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MISCELLANEOUS</w:t>
            </w:r>
          </w:p>
        </w:tc>
        <w:tc>
          <w:tcPr>
            <w:tcW w:w="2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3.1</w:t>
            </w:r>
          </w:p>
        </w:tc>
        <w:tc>
          <w:tcPr>
            <w:tcW w:w="6700" w:type="dxa"/>
            <w:vAlign w:val="bottom"/>
          </w:tcPr>
          <w:p>
            <w:pPr>
              <w:ind w:left="240"/>
              <w:spacing w:after="0"/>
              <w:rPr>
                <w:sz w:val="20"/>
                <w:szCs w:val="20"/>
                <w:color w:val="auto"/>
              </w:rPr>
            </w:pPr>
            <w:r>
              <w:rPr>
                <w:rFonts w:ascii="Arial" w:cs="Arial" w:eastAsia="Arial" w:hAnsi="Arial"/>
                <w:sz w:val="16"/>
                <w:szCs w:val="16"/>
                <w:color w:val="auto"/>
              </w:rPr>
              <w:t>Authority of Administrative Agent</w:t>
            </w:r>
          </w:p>
        </w:tc>
        <w:tc>
          <w:tcPr>
            <w:tcW w:w="2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3.2</w:t>
            </w:r>
          </w:p>
        </w:tc>
        <w:tc>
          <w:tcPr>
            <w:tcW w:w="6700" w:type="dxa"/>
            <w:vAlign w:val="bottom"/>
          </w:tcPr>
          <w:p>
            <w:pPr>
              <w:ind w:left="240"/>
              <w:spacing w:after="0"/>
              <w:rPr>
                <w:sz w:val="20"/>
                <w:szCs w:val="20"/>
                <w:color w:val="auto"/>
              </w:rPr>
            </w:pPr>
            <w:r>
              <w:rPr>
                <w:rFonts w:ascii="Arial" w:cs="Arial" w:eastAsia="Arial" w:hAnsi="Arial"/>
                <w:sz w:val="16"/>
                <w:szCs w:val="16"/>
                <w:color w:val="auto"/>
              </w:rPr>
              <w:t>Amendments in Writing</w:t>
            </w:r>
          </w:p>
        </w:tc>
        <w:tc>
          <w:tcPr>
            <w:tcW w:w="2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3.3</w:t>
            </w:r>
          </w:p>
        </w:tc>
        <w:tc>
          <w:tcPr>
            <w:tcW w:w="6700" w:type="dxa"/>
            <w:vAlign w:val="bottom"/>
          </w:tcPr>
          <w:p>
            <w:pPr>
              <w:ind w:left="240"/>
              <w:spacing w:after="0"/>
              <w:rPr>
                <w:sz w:val="20"/>
                <w:szCs w:val="20"/>
                <w:color w:val="auto"/>
              </w:rPr>
            </w:pPr>
            <w:r>
              <w:rPr>
                <w:rFonts w:ascii="Arial" w:cs="Arial" w:eastAsia="Arial" w:hAnsi="Arial"/>
                <w:sz w:val="16"/>
                <w:szCs w:val="16"/>
                <w:color w:val="auto"/>
              </w:rPr>
              <w:t>Notices</w:t>
            </w:r>
          </w:p>
        </w:tc>
        <w:tc>
          <w:tcPr>
            <w:tcW w:w="2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3.4</w:t>
            </w:r>
          </w:p>
        </w:tc>
        <w:tc>
          <w:tcPr>
            <w:tcW w:w="6700" w:type="dxa"/>
            <w:vAlign w:val="bottom"/>
          </w:tcPr>
          <w:p>
            <w:pPr>
              <w:ind w:left="240"/>
              <w:spacing w:after="0"/>
              <w:rPr>
                <w:sz w:val="20"/>
                <w:szCs w:val="20"/>
                <w:color w:val="auto"/>
              </w:rPr>
            </w:pPr>
            <w:r>
              <w:rPr>
                <w:rFonts w:ascii="Arial" w:cs="Arial" w:eastAsia="Arial" w:hAnsi="Arial"/>
                <w:sz w:val="16"/>
                <w:szCs w:val="16"/>
                <w:color w:val="auto"/>
              </w:rPr>
              <w:t>No Waiver by Course of Conduct; Cumulative Remedies</w:t>
            </w:r>
          </w:p>
        </w:tc>
        <w:tc>
          <w:tcPr>
            <w:tcW w:w="2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3.5</w:t>
            </w:r>
          </w:p>
        </w:tc>
        <w:tc>
          <w:tcPr>
            <w:tcW w:w="6700" w:type="dxa"/>
            <w:vAlign w:val="bottom"/>
          </w:tcPr>
          <w:p>
            <w:pPr>
              <w:ind w:left="240"/>
              <w:spacing w:after="0"/>
              <w:rPr>
                <w:sz w:val="20"/>
                <w:szCs w:val="20"/>
                <w:color w:val="auto"/>
              </w:rPr>
            </w:pPr>
            <w:r>
              <w:rPr>
                <w:rFonts w:ascii="Arial" w:cs="Arial" w:eastAsia="Arial" w:hAnsi="Arial"/>
                <w:sz w:val="16"/>
                <w:szCs w:val="16"/>
                <w:color w:val="auto"/>
              </w:rPr>
              <w:t>Enforcement Expenses; Indemnification</w:t>
            </w:r>
          </w:p>
        </w:tc>
        <w:tc>
          <w:tcPr>
            <w:tcW w:w="2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3.6</w:t>
            </w:r>
          </w:p>
        </w:tc>
        <w:tc>
          <w:tcPr>
            <w:tcW w:w="6700" w:type="dxa"/>
            <w:vAlign w:val="bottom"/>
          </w:tcPr>
          <w:p>
            <w:pPr>
              <w:ind w:left="240"/>
              <w:spacing w:after="0"/>
              <w:rPr>
                <w:sz w:val="20"/>
                <w:szCs w:val="20"/>
                <w:color w:val="auto"/>
              </w:rPr>
            </w:pPr>
            <w:r>
              <w:rPr>
                <w:rFonts w:ascii="Arial" w:cs="Arial" w:eastAsia="Arial" w:hAnsi="Arial"/>
                <w:sz w:val="16"/>
                <w:szCs w:val="16"/>
                <w:color w:val="auto"/>
              </w:rPr>
              <w:t>Successors and Assigns</w:t>
            </w:r>
          </w:p>
        </w:tc>
        <w:tc>
          <w:tcPr>
            <w:tcW w:w="2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3.7</w:t>
            </w:r>
          </w:p>
        </w:tc>
        <w:tc>
          <w:tcPr>
            <w:tcW w:w="6700" w:type="dxa"/>
            <w:vAlign w:val="bottom"/>
          </w:tcPr>
          <w:p>
            <w:pPr>
              <w:ind w:left="240"/>
              <w:spacing w:after="0"/>
              <w:rPr>
                <w:sz w:val="20"/>
                <w:szCs w:val="20"/>
                <w:color w:val="auto"/>
              </w:rPr>
            </w:pPr>
            <w:r>
              <w:rPr>
                <w:rFonts w:ascii="Arial" w:cs="Arial" w:eastAsia="Arial" w:hAnsi="Arial"/>
                <w:sz w:val="16"/>
                <w:szCs w:val="16"/>
                <w:color w:val="auto"/>
              </w:rPr>
              <w:t>Counterparts</w:t>
            </w:r>
          </w:p>
        </w:tc>
        <w:tc>
          <w:tcPr>
            <w:tcW w:w="2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3.8</w:t>
            </w:r>
          </w:p>
        </w:tc>
        <w:tc>
          <w:tcPr>
            <w:tcW w:w="6700" w:type="dxa"/>
            <w:vAlign w:val="bottom"/>
          </w:tcPr>
          <w:p>
            <w:pPr>
              <w:ind w:left="240"/>
              <w:spacing w:after="0"/>
              <w:rPr>
                <w:sz w:val="20"/>
                <w:szCs w:val="20"/>
                <w:color w:val="auto"/>
              </w:rPr>
            </w:pPr>
            <w:r>
              <w:rPr>
                <w:rFonts w:ascii="Arial" w:cs="Arial" w:eastAsia="Arial" w:hAnsi="Arial"/>
                <w:sz w:val="16"/>
                <w:szCs w:val="16"/>
                <w:color w:val="auto"/>
              </w:rPr>
              <w:t>Severability</w:t>
            </w:r>
          </w:p>
        </w:tc>
        <w:tc>
          <w:tcPr>
            <w:tcW w:w="2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3.9</w:t>
            </w:r>
          </w:p>
        </w:tc>
        <w:tc>
          <w:tcPr>
            <w:tcW w:w="6700" w:type="dxa"/>
            <w:vAlign w:val="bottom"/>
          </w:tcPr>
          <w:p>
            <w:pPr>
              <w:ind w:left="240"/>
              <w:spacing w:after="0"/>
              <w:rPr>
                <w:sz w:val="20"/>
                <w:szCs w:val="20"/>
                <w:color w:val="auto"/>
              </w:rPr>
            </w:pPr>
            <w:r>
              <w:rPr>
                <w:rFonts w:ascii="Arial" w:cs="Arial" w:eastAsia="Arial" w:hAnsi="Arial"/>
                <w:sz w:val="16"/>
                <w:szCs w:val="16"/>
                <w:color w:val="auto"/>
              </w:rPr>
              <w:t>Section Headings</w:t>
            </w:r>
          </w:p>
        </w:tc>
        <w:tc>
          <w:tcPr>
            <w:tcW w:w="2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3.10.</w:t>
            </w:r>
          </w:p>
        </w:tc>
        <w:tc>
          <w:tcPr>
            <w:tcW w:w="6700" w:type="dxa"/>
            <w:vAlign w:val="bottom"/>
          </w:tcPr>
          <w:p>
            <w:pPr>
              <w:ind w:left="240"/>
              <w:spacing w:after="0"/>
              <w:rPr>
                <w:sz w:val="20"/>
                <w:szCs w:val="20"/>
                <w:color w:val="auto"/>
              </w:rPr>
            </w:pPr>
            <w:r>
              <w:rPr>
                <w:rFonts w:ascii="Arial" w:cs="Arial" w:eastAsia="Arial" w:hAnsi="Arial"/>
                <w:sz w:val="16"/>
                <w:szCs w:val="16"/>
                <w:color w:val="auto"/>
              </w:rPr>
              <w:t>Integration</w:t>
            </w:r>
          </w:p>
        </w:tc>
        <w:tc>
          <w:tcPr>
            <w:tcW w:w="2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3.11</w:t>
            </w:r>
          </w:p>
        </w:tc>
        <w:tc>
          <w:tcPr>
            <w:tcW w:w="6700" w:type="dxa"/>
            <w:vAlign w:val="bottom"/>
          </w:tcPr>
          <w:p>
            <w:pPr>
              <w:ind w:left="240"/>
              <w:spacing w:after="0"/>
              <w:rPr>
                <w:sz w:val="20"/>
                <w:szCs w:val="20"/>
                <w:color w:val="auto"/>
              </w:rPr>
            </w:pPr>
            <w:r>
              <w:rPr>
                <w:rFonts w:ascii="Arial" w:cs="Arial" w:eastAsia="Arial" w:hAnsi="Arial"/>
                <w:sz w:val="16"/>
                <w:szCs w:val="16"/>
                <w:b w:val="1"/>
                <w:bCs w:val="1"/>
                <w:color w:val="auto"/>
              </w:rPr>
              <w:t>GOVERNING LAW</w:t>
            </w:r>
          </w:p>
        </w:tc>
        <w:tc>
          <w:tcPr>
            <w:tcW w:w="2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3.12</w:t>
            </w:r>
          </w:p>
        </w:tc>
        <w:tc>
          <w:tcPr>
            <w:tcW w:w="6700" w:type="dxa"/>
            <w:vAlign w:val="bottom"/>
          </w:tcPr>
          <w:p>
            <w:pPr>
              <w:ind w:left="240"/>
              <w:spacing w:after="0"/>
              <w:rPr>
                <w:sz w:val="20"/>
                <w:szCs w:val="20"/>
                <w:color w:val="auto"/>
              </w:rPr>
            </w:pPr>
            <w:r>
              <w:rPr>
                <w:rFonts w:ascii="Arial" w:cs="Arial" w:eastAsia="Arial" w:hAnsi="Arial"/>
                <w:sz w:val="16"/>
                <w:szCs w:val="16"/>
                <w:color w:val="auto"/>
              </w:rPr>
              <w:t>Submission To Jurisdiction; Waivers</w:t>
            </w:r>
          </w:p>
        </w:tc>
        <w:tc>
          <w:tcPr>
            <w:tcW w:w="2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3.13</w:t>
            </w:r>
          </w:p>
        </w:tc>
        <w:tc>
          <w:tcPr>
            <w:tcW w:w="6700" w:type="dxa"/>
            <w:vAlign w:val="bottom"/>
          </w:tcPr>
          <w:p>
            <w:pPr>
              <w:ind w:left="240"/>
              <w:spacing w:after="0"/>
              <w:rPr>
                <w:sz w:val="20"/>
                <w:szCs w:val="20"/>
                <w:color w:val="auto"/>
              </w:rPr>
            </w:pPr>
            <w:r>
              <w:rPr>
                <w:rFonts w:ascii="Arial" w:cs="Arial" w:eastAsia="Arial" w:hAnsi="Arial"/>
                <w:sz w:val="16"/>
                <w:szCs w:val="16"/>
                <w:color w:val="auto"/>
              </w:rPr>
              <w:t>Additional Guarantors</w:t>
            </w:r>
          </w:p>
        </w:tc>
        <w:tc>
          <w:tcPr>
            <w:tcW w:w="25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3.14</w:t>
            </w:r>
          </w:p>
        </w:tc>
        <w:tc>
          <w:tcPr>
            <w:tcW w:w="6700" w:type="dxa"/>
            <w:vAlign w:val="bottom"/>
          </w:tcPr>
          <w:p>
            <w:pPr>
              <w:ind w:left="240"/>
              <w:spacing w:after="0"/>
              <w:rPr>
                <w:sz w:val="20"/>
                <w:szCs w:val="20"/>
                <w:color w:val="auto"/>
              </w:rPr>
            </w:pPr>
            <w:r>
              <w:rPr>
                <w:rFonts w:ascii="Arial" w:cs="Arial" w:eastAsia="Arial" w:hAnsi="Arial"/>
                <w:sz w:val="16"/>
                <w:szCs w:val="16"/>
                <w:color w:val="auto"/>
              </w:rPr>
              <w:t>Releases</w:t>
            </w:r>
          </w:p>
        </w:tc>
        <w:tc>
          <w:tcPr>
            <w:tcW w:w="25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3"/>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Arial" w:cs="Arial" w:eastAsia="Arial" w:hAnsi="Arial"/>
                <w:sz w:val="16"/>
                <w:szCs w:val="16"/>
                <w:color w:val="auto"/>
              </w:rPr>
              <w:t>3.15</w:t>
            </w:r>
          </w:p>
        </w:tc>
        <w:tc>
          <w:tcPr>
            <w:tcW w:w="6700" w:type="dxa"/>
            <w:vAlign w:val="bottom"/>
          </w:tcPr>
          <w:p>
            <w:pPr>
              <w:ind w:left="240"/>
              <w:spacing w:after="0"/>
              <w:rPr>
                <w:sz w:val="20"/>
                <w:szCs w:val="20"/>
                <w:color w:val="auto"/>
              </w:rPr>
            </w:pPr>
            <w:r>
              <w:rPr>
                <w:rFonts w:ascii="Arial" w:cs="Arial" w:eastAsia="Arial" w:hAnsi="Arial"/>
                <w:sz w:val="16"/>
                <w:szCs w:val="16"/>
                <w:b w:val="1"/>
                <w:bCs w:val="1"/>
                <w:color w:val="auto"/>
              </w:rPr>
              <w:t>WAIVER OF JURY TRIAL</w:t>
            </w:r>
          </w:p>
        </w:tc>
        <w:tc>
          <w:tcPr>
            <w:tcW w:w="25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51"/>
        </w:trPr>
        <w:tc>
          <w:tcPr>
            <w:tcW w:w="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ANNEX</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82"/>
        </w:trPr>
        <w:tc>
          <w:tcPr>
            <w:tcW w:w="820" w:type="dxa"/>
            <w:vAlign w:val="bottom"/>
            <w:gridSpan w:val="2"/>
          </w:tcPr>
          <w:p>
            <w:pPr>
              <w:spacing w:after="0"/>
              <w:rPr>
                <w:sz w:val="20"/>
                <w:szCs w:val="20"/>
                <w:color w:val="auto"/>
              </w:rPr>
            </w:pPr>
            <w:r>
              <w:rPr>
                <w:rFonts w:ascii="Arial" w:cs="Arial" w:eastAsia="Arial" w:hAnsi="Arial"/>
                <w:sz w:val="16"/>
                <w:szCs w:val="16"/>
                <w:color w:val="auto"/>
              </w:rPr>
              <w:t>Annex I</w:t>
            </w:r>
          </w:p>
        </w:tc>
        <w:tc>
          <w:tcPr>
            <w:tcW w:w="7880" w:type="dxa"/>
            <w:vAlign w:val="bottom"/>
            <w:gridSpan w:val="2"/>
          </w:tcPr>
          <w:p>
            <w:pPr>
              <w:ind w:left="40"/>
              <w:spacing w:after="0"/>
              <w:rPr>
                <w:sz w:val="20"/>
                <w:szCs w:val="20"/>
                <w:color w:val="auto"/>
              </w:rPr>
            </w:pPr>
            <w:r>
              <w:rPr>
                <w:rFonts w:ascii="Arial" w:cs="Arial" w:eastAsia="Arial" w:hAnsi="Arial"/>
                <w:sz w:val="16"/>
                <w:szCs w:val="16"/>
                <w:color w:val="auto"/>
              </w:rPr>
              <w:t>Form of Joinder Agreement</w:t>
            </w:r>
          </w:p>
        </w:tc>
        <w:tc>
          <w:tcPr>
            <w:tcW w:w="25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ectPr>
          <w:pgSz w:w="11900" w:h="16838" w:orient="portrait"/>
          <w:cols w:equalWidth="0" w:num="1">
            <w:col w:w="11240"/>
          </w:cols>
          <w:pgMar w:left="220" w:top="634" w:right="439" w:bottom="1440" w:gutter="0" w:footer="0" w:header="0"/>
        </w:sectPr>
      </w:pPr>
    </w:p>
    <w:bookmarkStart w:id="316" w:name="page317"/>
    <w:bookmarkEnd w:id="316"/>
    <w:p>
      <w:pPr>
        <w:jc w:val="both"/>
        <w:ind w:firstLine="1063"/>
        <w:spacing w:after="0" w:line="268" w:lineRule="auto"/>
        <w:rPr>
          <w:sz w:val="20"/>
          <w:szCs w:val="20"/>
          <w:color w:val="auto"/>
        </w:rPr>
      </w:pPr>
      <w:r>
        <w:rPr>
          <w:rFonts w:ascii="Arial" w:cs="Arial" w:eastAsia="Arial" w:hAnsi="Arial"/>
          <w:sz w:val="15"/>
          <w:szCs w:val="15"/>
          <w:color w:val="auto"/>
        </w:rPr>
        <w:t>AMENDED AND RESTATED GUARANTEE AGREEMENT, dated as of October 17, 2014 (this “</w:t>
      </w:r>
      <w:r>
        <w:rPr>
          <w:rFonts w:ascii="Arial" w:cs="Arial" w:eastAsia="Arial" w:hAnsi="Arial"/>
          <w:sz w:val="15"/>
          <w:szCs w:val="15"/>
          <w:u w:val="single" w:color="auto"/>
          <w:color w:val="auto"/>
        </w:rPr>
        <w:t>Agreement</w:t>
      </w:r>
      <w:r>
        <w:rPr>
          <w:rFonts w:ascii="Arial" w:cs="Arial" w:eastAsia="Arial" w:hAnsi="Arial"/>
          <w:sz w:val="15"/>
          <w:szCs w:val="15"/>
          <w:color w:val="auto"/>
        </w:rPr>
        <w:t>”), made by GENERAL MOTORS COMPANY,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and each of the Subsidiary Guarantors (such term and certain other capitalized terms used herein being defined in </w:t>
      </w:r>
      <w:r>
        <w:rPr>
          <w:rFonts w:ascii="Arial" w:cs="Arial" w:eastAsia="Arial" w:hAnsi="Arial"/>
          <w:sz w:val="15"/>
          <w:szCs w:val="15"/>
          <w:u w:val="single" w:color="auto"/>
          <w:color w:val="auto"/>
        </w:rPr>
        <w:t>Section 1.1</w:t>
      </w:r>
      <w:r>
        <w:rPr>
          <w:rFonts w:ascii="Arial" w:cs="Arial" w:eastAsia="Arial" w:hAnsi="Arial"/>
          <w:sz w:val="15"/>
          <w:szCs w:val="15"/>
          <w:color w:val="auto"/>
        </w:rPr>
        <w:t>) from time to time party hereto, and each of the Other Guarantors from time to time party hereto (together with the Company and the Subsidiary Guarantors, collectively, the “</w:t>
      </w:r>
      <w:r>
        <w:rPr>
          <w:rFonts w:ascii="Arial" w:cs="Arial" w:eastAsia="Arial" w:hAnsi="Arial"/>
          <w:sz w:val="15"/>
          <w:szCs w:val="15"/>
          <w:u w:val="single" w:color="auto"/>
          <w:color w:val="auto"/>
        </w:rPr>
        <w:t>Guarantors</w:t>
      </w:r>
      <w:r>
        <w:rPr>
          <w:rFonts w:ascii="Arial" w:cs="Arial" w:eastAsia="Arial" w:hAnsi="Arial"/>
          <w:sz w:val="15"/>
          <w:szCs w:val="15"/>
          <w:color w:val="auto"/>
        </w:rPr>
        <w:t>”), in favor of JPMORGAN CHASE BANK, N.A., as administrative agent (in such capacity,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for the lenders (collectively, the “</w:t>
      </w:r>
      <w:r>
        <w:rPr>
          <w:rFonts w:ascii="Arial" w:cs="Arial" w:eastAsia="Arial" w:hAnsi="Arial"/>
          <w:sz w:val="15"/>
          <w:szCs w:val="15"/>
          <w:u w:val="single" w:color="auto"/>
          <w:color w:val="auto"/>
        </w:rPr>
        <w:t>Lenders</w:t>
      </w:r>
      <w:r>
        <w:rPr>
          <w:rFonts w:ascii="Arial" w:cs="Arial" w:eastAsia="Arial" w:hAnsi="Arial"/>
          <w:sz w:val="15"/>
          <w:szCs w:val="15"/>
          <w:color w:val="auto"/>
        </w:rPr>
        <w:t>”) from time to time party to the Amended and Restated Five Year Revolving Credit Agreement, dated as of the date hereof (as amended, restated, amended and restated, renewed,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the Company, General Motors Financial Company, Inc., a Texas Corporation, General Motors do Brasil Ltda., a Brazilian limited liability company, the other Subsidiary Borrowers from time to time parties thereto, the Lenders, the Administrative Agent, Banco do Brasil, as Brazilian Administrative Agent (the “</w:t>
      </w:r>
      <w:r>
        <w:rPr>
          <w:rFonts w:ascii="Arial" w:cs="Arial" w:eastAsia="Arial" w:hAnsi="Arial"/>
          <w:sz w:val="15"/>
          <w:szCs w:val="15"/>
          <w:u w:val="single" w:color="auto"/>
          <w:color w:val="auto"/>
        </w:rPr>
        <w:t>Brazilian Administrative Agent</w:t>
      </w:r>
      <w:r>
        <w:rPr>
          <w:rFonts w:ascii="Arial" w:cs="Arial" w:eastAsia="Arial" w:hAnsi="Arial"/>
          <w:sz w:val="15"/>
          <w:szCs w:val="15"/>
          <w:color w:val="auto"/>
        </w:rPr>
        <w:t>”) and the other agents named therein.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W I T N E S S E T H</w:t>
      </w:r>
      <w:r>
        <w:rPr>
          <w:rFonts w:ascii="Arial" w:cs="Arial" w:eastAsia="Arial" w:hAnsi="Arial"/>
          <w:sz w:val="16"/>
          <w:szCs w:val="16"/>
          <w:color w:val="auto"/>
        </w:rPr>
        <w:t>:</w:t>
      </w:r>
    </w:p>
    <w:p>
      <w:pPr>
        <w:spacing w:after="0" w:line="181" w:lineRule="exact"/>
        <w:rPr>
          <w:sz w:val="20"/>
          <w:szCs w:val="20"/>
          <w:color w:val="auto"/>
        </w:rPr>
      </w:pPr>
    </w:p>
    <w:p>
      <w:pPr>
        <w:jc w:val="both"/>
        <w:ind w:firstLine="1063"/>
        <w:spacing w:after="0" w:line="275" w:lineRule="auto"/>
        <w:rPr>
          <w:sz w:val="20"/>
          <w:szCs w:val="20"/>
          <w:color w:val="auto"/>
        </w:rPr>
      </w:pPr>
      <w:r>
        <w:rPr>
          <w:rFonts w:ascii="Arial" w:cs="Arial" w:eastAsia="Arial" w:hAnsi="Arial"/>
          <w:sz w:val="16"/>
          <w:szCs w:val="16"/>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WHEREAS, each of the Company and the Subsidiary Borrowers is a member of an affiliated group of companies that includes each other Guarantor;</w:t>
      </w:r>
    </w:p>
    <w:p>
      <w:pPr>
        <w:spacing w:after="0" w:line="193" w:lineRule="exact"/>
        <w:rPr>
          <w:sz w:val="20"/>
          <w:szCs w:val="20"/>
          <w:color w:val="auto"/>
        </w:rPr>
      </w:pPr>
    </w:p>
    <w:p>
      <w:pPr>
        <w:jc w:val="both"/>
        <w:ind w:firstLine="1063"/>
        <w:spacing w:after="0" w:line="275" w:lineRule="auto"/>
        <w:rPr>
          <w:sz w:val="20"/>
          <w:szCs w:val="20"/>
          <w:color w:val="auto"/>
        </w:rPr>
      </w:pPr>
      <w:r>
        <w:rPr>
          <w:rFonts w:ascii="Arial" w:cs="Arial" w:eastAsia="Arial" w:hAnsi="Arial"/>
          <w:sz w:val="16"/>
          <w:szCs w:val="16"/>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32" w:lineRule="exact"/>
        <w:rPr>
          <w:sz w:val="20"/>
          <w:szCs w:val="20"/>
          <w:color w:val="auto"/>
        </w:rPr>
      </w:pPr>
    </w:p>
    <w:p>
      <w:pPr>
        <w:jc w:val="both"/>
        <w:ind w:firstLine="1063"/>
        <w:spacing w:after="0" w:line="309" w:lineRule="auto"/>
        <w:rPr>
          <w:sz w:val="20"/>
          <w:szCs w:val="20"/>
          <w:color w:val="auto"/>
        </w:rPr>
      </w:pPr>
      <w:r>
        <w:rPr>
          <w:rFonts w:ascii="Arial" w:cs="Arial" w:eastAsia="Arial" w:hAnsi="Arial"/>
          <w:sz w:val="15"/>
          <w:szCs w:val="15"/>
          <w:color w:val="auto"/>
        </w:rPr>
        <w:t>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w:t>
      </w:r>
    </w:p>
    <w:p>
      <w:pPr>
        <w:spacing w:after="0" w:line="110" w:lineRule="exact"/>
        <w:rPr>
          <w:sz w:val="20"/>
          <w:szCs w:val="20"/>
          <w:color w:val="auto"/>
        </w:rPr>
      </w:pPr>
    </w:p>
    <w:p>
      <w:pPr>
        <w:jc w:val="both"/>
        <w:ind w:firstLine="1063"/>
        <w:spacing w:after="0" w:line="285" w:lineRule="auto"/>
        <w:rPr>
          <w:sz w:val="20"/>
          <w:szCs w:val="20"/>
          <w:color w:val="auto"/>
        </w:rPr>
      </w:pPr>
      <w:r>
        <w:rPr>
          <w:rFonts w:ascii="Arial" w:cs="Arial" w:eastAsia="Arial" w:hAnsi="Arial"/>
          <w:sz w:val="15"/>
          <w:szCs w:val="15"/>
          <w:color w:val="auto"/>
        </w:rPr>
        <w:t>NOW, THEREFORE, in consideration of the premises and to induce the Administrative Agent, the Brazilian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1. DEFINED TERMS</w:t>
      </w:r>
    </w:p>
    <w:p>
      <w:pPr>
        <w:spacing w:after="0" w:line="193" w:lineRule="exact"/>
        <w:rPr>
          <w:sz w:val="20"/>
          <w:szCs w:val="20"/>
          <w:color w:val="auto"/>
        </w:rPr>
      </w:pPr>
    </w:p>
    <w:p>
      <w:pPr>
        <w:ind w:left="540" w:right="240"/>
        <w:spacing w:after="0" w:line="275"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 (a) Unless otherwise defined herein, terms defined in the Credit Agreement and used herein shall have the meanings assigned to such terms in the Credit Agreement.</w:t>
      </w:r>
    </w:p>
    <w:p>
      <w:pPr>
        <w:spacing w:after="0" w:line="154" w:lineRule="exact"/>
        <w:rPr>
          <w:sz w:val="20"/>
          <w:szCs w:val="20"/>
          <w:color w:val="auto"/>
        </w:rPr>
      </w:pPr>
    </w:p>
    <w:p>
      <w:pPr>
        <w:ind w:left="1260" w:hanging="720"/>
        <w:spacing w:after="0"/>
        <w:tabs>
          <w:tab w:leader="none" w:pos="12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following terms shall have the following meanings:</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Brazilian Administrative Agent</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384"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60"/>
          </w:cols>
          <w:pgMar w:left="220" w:top="501" w:right="219" w:bottom="1440" w:gutter="0" w:footer="0" w:header="0"/>
        </w:sectPr>
      </w:pPr>
    </w:p>
    <w:bookmarkStart w:id="317" w:name="page318"/>
    <w:bookmarkEnd w:id="317"/>
    <w:p>
      <w:pPr>
        <w:jc w:val="both"/>
        <w:ind w:firstLine="1063"/>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Guaranteed Obligations</w:t>
      </w:r>
      <w:r>
        <w:rPr>
          <w:rFonts w:ascii="Arial" w:cs="Arial" w:eastAsia="Arial" w:hAnsi="Arial"/>
          <w:sz w:val="15"/>
          <w:szCs w:val="15"/>
          <w:color w:val="auto"/>
        </w:rPr>
        <w:t>” means, collectively, the unpaid principal of and interest on the Loans, Reimbursement Obligations and all other obligations and liabilities of the Company and the Subsidiary Borrowers (including interest on such other obligations or liabilities accruing at the then applicable rate provided in the Credit Agreement after the maturity of the Loans and Reimbursement Obligations, and interest accruing on the Loans, Reimbursement Obligations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the Brazilian Administrative Agent, any Lender or any Issuing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the Brazilian Administrative Agent, the Lenders or the Issuing Lenders that are required to be paid by the Company or any Subsidiary Borrower pursuant to the terms of any of the Loan Documents).</w:t>
      </w:r>
    </w:p>
    <w:p>
      <w:pPr>
        <w:spacing w:after="0" w:line="141" w:lineRule="exact"/>
        <w:rPr>
          <w:sz w:val="20"/>
          <w:szCs w:val="20"/>
          <w:color w:val="auto"/>
        </w:rPr>
      </w:pPr>
    </w:p>
    <w:p>
      <w:pPr>
        <w:jc w:val="both"/>
        <w:ind w:firstLine="106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Parties</w:t>
      </w:r>
      <w:r>
        <w:rPr>
          <w:rFonts w:ascii="Arial" w:cs="Arial" w:eastAsia="Arial" w:hAnsi="Arial"/>
          <w:sz w:val="16"/>
          <w:szCs w:val="16"/>
          <w:color w:val="auto"/>
        </w:rPr>
        <w:t>” means, collectively, the Administrative Agent, the Brazilian Administrative Agent, the Lenders and each other Person that holds a Guaranteed Obligation.</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3.14</w:t>
      </w:r>
      <w:r>
        <w:rPr>
          <w:rFonts w:ascii="Arial" w:cs="Arial" w:eastAsia="Arial" w:hAnsi="Arial"/>
          <w:sz w:val="16"/>
          <w:szCs w:val="16"/>
          <w:color w:val="auto"/>
        </w:rPr>
        <w: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has the meaning assigned to such term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81" w:lineRule="exact"/>
        <w:rPr>
          <w:sz w:val="20"/>
          <w:szCs w:val="20"/>
          <w:color w:val="auto"/>
        </w:rPr>
      </w:pPr>
    </w:p>
    <w:p>
      <w:pPr>
        <w:jc w:val="both"/>
        <w:ind w:firstLine="106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Guarantors</w:t>
      </w:r>
      <w:r>
        <w:rPr>
          <w:rFonts w:ascii="Arial" w:cs="Arial" w:eastAsia="Arial" w:hAnsi="Arial"/>
          <w:sz w:val="16"/>
          <w:szCs w:val="16"/>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6"/>
          <w:szCs w:val="16"/>
          <w:u w:val="single" w:color="auto"/>
          <w:color w:val="auto"/>
        </w:rPr>
        <w:t>Section 3.14</w:t>
      </w:r>
      <w:r>
        <w:rPr>
          <w:rFonts w:ascii="Arial" w:cs="Arial" w:eastAsia="Arial" w:hAnsi="Arial"/>
          <w:sz w:val="16"/>
          <w:szCs w:val="16"/>
          <w:color w:val="auto"/>
        </w:rPr>
        <w:t>.</w:t>
      </w:r>
    </w:p>
    <w:p>
      <w:pPr>
        <w:spacing w:after="0" w:line="132" w:lineRule="exact"/>
        <w:rPr>
          <w:sz w:val="20"/>
          <w:szCs w:val="20"/>
          <w:color w:val="auto"/>
        </w:rPr>
      </w:pPr>
    </w:p>
    <w:p>
      <w:pPr>
        <w:jc w:val="both"/>
        <w:ind w:firstLine="1063"/>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paid in full</w:t>
      </w:r>
      <w:r>
        <w:rPr>
          <w:rFonts w:ascii="Arial" w:cs="Arial" w:eastAsia="Arial" w:hAnsi="Arial"/>
          <w:sz w:val="15"/>
          <w:szCs w:val="15"/>
          <w:color w:val="auto"/>
        </w:rPr>
        <w:t>” or “</w:t>
      </w:r>
      <w:r>
        <w:rPr>
          <w:rFonts w:ascii="Arial" w:cs="Arial" w:eastAsia="Arial" w:hAnsi="Arial"/>
          <w:sz w:val="15"/>
          <w:szCs w:val="15"/>
          <w:u w:val="single" w:color="auto"/>
          <w:color w:val="auto"/>
        </w:rPr>
        <w:t>payment in full</w:t>
      </w:r>
      <w:r>
        <w:rPr>
          <w:rFonts w:ascii="Arial" w:cs="Arial" w:eastAsia="Arial" w:hAnsi="Arial"/>
          <w:sz w:val="15"/>
          <w:szCs w:val="15"/>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in each case, after or concurrently with termination of all commitments thereunder and payment in full in cash of all fees payable with respect to a Guaranteed Obligation at or prior to the time such principal and interest are paid.</w:t>
      </w:r>
    </w:p>
    <w:p>
      <w:pPr>
        <w:spacing w:after="0" w:line="134" w:lineRule="exact"/>
        <w:rPr>
          <w:sz w:val="20"/>
          <w:szCs w:val="20"/>
          <w:color w:val="auto"/>
        </w:rPr>
      </w:pPr>
    </w:p>
    <w:p>
      <w:pPr>
        <w:jc w:val="both"/>
        <w:ind w:firstLine="1063"/>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 Guarantor</w:t>
      </w:r>
      <w:r>
        <w:rPr>
          <w:rFonts w:ascii="Arial" w:cs="Arial" w:eastAsia="Arial" w:hAnsi="Arial"/>
          <w:sz w:val="14"/>
          <w:szCs w:val="14"/>
          <w:color w:val="auto"/>
        </w:rPr>
        <w:t>” means during any Reinstated Guarantee Period, each Domestic Subsidiary that was a Principal Domestic Subsidiary on the applicable Guarantee Reinstatement Date or that became a party to this Agreement after such Guarantee Reinstatement Date pursuant to Section 6.7(b) or 10.1(b) of the Credit Agreement; provided, however, that the term “Subsidiary Guarantor” shall not include (i) GM Holdings, (ii) any Excluded Subsidiary, (iii) 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 that, as of the date hereof, no “Subsidiary Guarantors” are party to this Agreement.</w:t>
      </w:r>
    </w:p>
    <w:p>
      <w:pPr>
        <w:spacing w:after="0" w:line="122"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Other Definitional Provisions.</w:t>
      </w:r>
      <w:r>
        <w:rPr>
          <w:rFonts w:ascii="Arial" w:cs="Arial" w:eastAsia="Arial" w:hAnsi="Arial"/>
          <w:sz w:val="15"/>
          <w:szCs w:val="15"/>
          <w:color w:val="auto"/>
        </w:rPr>
        <w:t xml:space="preserve"> (b) 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21" w:lineRule="exact"/>
        <w:rPr>
          <w:sz w:val="20"/>
          <w:szCs w:val="20"/>
          <w:color w:val="auto"/>
        </w:rPr>
      </w:pPr>
    </w:p>
    <w:p>
      <w:pPr>
        <w:ind w:left="920" w:hanging="380"/>
        <w:spacing w:after="0"/>
        <w:tabs>
          <w:tab w:leader="none" w:pos="9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meanings given to terms defined herein shall be equally applicable to both the singular and plural forms of such terms.</w:t>
      </w:r>
    </w:p>
    <w:p>
      <w:pPr>
        <w:spacing w:after="0" w:line="203" w:lineRule="exact"/>
        <w:rPr>
          <w:rFonts w:ascii="Arial" w:cs="Arial" w:eastAsia="Arial" w:hAnsi="Arial"/>
          <w:sz w:val="16"/>
          <w:szCs w:val="16"/>
          <w:color w:val="auto"/>
        </w:rPr>
      </w:pPr>
    </w:p>
    <w:p>
      <w:pPr>
        <w:ind w:right="20" w:firstLine="540"/>
        <w:spacing w:after="0" w:line="304" w:lineRule="auto"/>
        <w:tabs>
          <w:tab w:leader="none" w:pos="1252"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References to agreements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shall, unless otherwise specified, be deemed to refer to such agreements as amended, supplemented, restated or otherwise modified from time to time, references to</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501" w:right="219" w:bottom="1440" w:gutter="0" w:footer="0" w:header="0"/>
        </w:sectPr>
      </w:pPr>
    </w:p>
    <w:bookmarkStart w:id="318" w:name="page319"/>
    <w:bookmarkEnd w:id="318"/>
    <w:p>
      <w:pPr>
        <w:jc w:val="both"/>
        <w:spacing w:after="0" w:line="289" w:lineRule="auto"/>
        <w:rPr>
          <w:sz w:val="20"/>
          <w:szCs w:val="20"/>
          <w:color w:val="auto"/>
        </w:rPr>
      </w:pPr>
      <w:r>
        <w:rPr>
          <w:rFonts w:ascii="Arial" w:cs="Arial" w:eastAsia="Arial" w:hAnsi="Arial"/>
          <w:sz w:val="16"/>
          <w:szCs w:val="16"/>
          <w:color w:val="auto"/>
        </w:rPr>
        <w:t>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2. GUARANTEE</w:t>
      </w:r>
    </w:p>
    <w:p>
      <w:pPr>
        <w:spacing w:after="0" w:line="204" w:lineRule="exact"/>
        <w:rPr>
          <w:sz w:val="20"/>
          <w:szCs w:val="20"/>
          <w:color w:val="auto"/>
        </w:rPr>
      </w:pPr>
    </w:p>
    <w:p>
      <w:pPr>
        <w:jc w:val="both"/>
        <w:ind w:left="540"/>
        <w:spacing w:after="0" w:line="28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Guarantee.</w:t>
      </w:r>
      <w:r>
        <w:rPr>
          <w:rFonts w:ascii="Arial" w:cs="Arial" w:eastAsia="Arial" w:hAnsi="Arial"/>
          <w:sz w:val="16"/>
          <w:szCs w:val="16"/>
          <w:color w:val="auto"/>
        </w:rPr>
        <w:t xml:space="preserve"> (c) 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w:t>
      </w:r>
    </w:p>
    <w:p>
      <w:pPr>
        <w:spacing w:after="0" w:line="159" w:lineRule="exact"/>
        <w:rPr>
          <w:sz w:val="20"/>
          <w:szCs w:val="20"/>
          <w:color w:val="auto"/>
        </w:rPr>
      </w:pPr>
    </w:p>
    <w:p>
      <w:pPr>
        <w:jc w:val="both"/>
        <w:ind w:firstLine="540"/>
        <w:spacing w:after="0" w:line="289" w:lineRule="auto"/>
        <w:tabs>
          <w:tab w:leader="none" w:pos="130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firstLine="540"/>
        <w:spacing w:after="0" w:line="304" w:lineRule="auto"/>
        <w:tabs>
          <w:tab w:leader="none" w:pos="125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affecting the rights and remedies of the Guaranteed Parties hereunder.</w:t>
      </w:r>
    </w:p>
    <w:p>
      <w:pPr>
        <w:spacing w:after="0" w:line="142" w:lineRule="exact"/>
        <w:rPr>
          <w:rFonts w:ascii="Arial" w:cs="Arial" w:eastAsia="Arial" w:hAnsi="Arial"/>
          <w:sz w:val="16"/>
          <w:szCs w:val="16"/>
          <w:color w:val="auto"/>
        </w:rPr>
      </w:pPr>
    </w:p>
    <w:p>
      <w:pPr>
        <w:jc w:val="both"/>
        <w:ind w:firstLine="540"/>
        <w:spacing w:after="0" w:line="289" w:lineRule="auto"/>
        <w:tabs>
          <w:tab w:leader="none" w:pos="124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154" w:lineRule="exact"/>
        <w:rPr>
          <w:rFonts w:ascii="Arial" w:cs="Arial" w:eastAsia="Arial" w:hAnsi="Arial"/>
          <w:sz w:val="16"/>
          <w:szCs w:val="16"/>
          <w:color w:val="auto"/>
        </w:rPr>
      </w:pPr>
    </w:p>
    <w:p>
      <w:pPr>
        <w:jc w:val="both"/>
        <w:ind w:firstLine="540"/>
        <w:spacing w:after="0" w:line="302" w:lineRule="auto"/>
        <w:tabs>
          <w:tab w:leader="none" w:pos="1252" w:val="left"/>
        </w:tabs>
        <w:numPr>
          <w:ilvl w:val="0"/>
          <w:numId w:val="280"/>
        </w:numPr>
        <w:rPr>
          <w:rFonts w:ascii="Arial" w:cs="Arial" w:eastAsia="Arial" w:hAnsi="Arial"/>
          <w:sz w:val="15"/>
          <w:szCs w:val="15"/>
          <w:color w:val="auto"/>
        </w:rPr>
      </w:pPr>
      <w:r>
        <w:rPr>
          <w:rFonts w:ascii="Arial" w:cs="Arial" w:eastAsia="Arial" w:hAnsi="Arial"/>
          <w:sz w:val="15"/>
          <w:szCs w:val="15"/>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48" w:lineRule="exact"/>
        <w:rPr>
          <w:sz w:val="20"/>
          <w:szCs w:val="20"/>
          <w:color w:val="auto"/>
        </w:rPr>
      </w:pPr>
    </w:p>
    <w:p>
      <w:pPr>
        <w:jc w:val="both"/>
        <w:ind w:left="540"/>
        <w:spacing w:after="0" w:line="28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Right of Contribution</w:t>
      </w:r>
      <w:r>
        <w:rPr>
          <w:rFonts w:ascii="Arial" w:cs="Arial" w:eastAsia="Arial" w:hAnsi="Arial"/>
          <w:sz w:val="16"/>
          <w:szCs w:val="16"/>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63" w:lineRule="exact"/>
        <w:rPr>
          <w:sz w:val="20"/>
          <w:szCs w:val="20"/>
          <w:color w:val="auto"/>
        </w:rPr>
      </w:pPr>
    </w:p>
    <w:p>
      <w:pPr>
        <w:jc w:val="both"/>
        <w:ind w:left="540"/>
        <w:spacing w:after="0" w:line="302"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No Subrogation</w:t>
      </w:r>
      <w:r>
        <w:rPr>
          <w:rFonts w:ascii="Arial" w:cs="Arial" w:eastAsia="Arial" w:hAnsi="Arial"/>
          <w:sz w:val="15"/>
          <w:szCs w:val="15"/>
          <w:color w:val="auto"/>
        </w:rPr>
        <w:t xml:space="preserve"> 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w:t>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512" w:right="219" w:bottom="1440" w:gutter="0" w:footer="0" w:header="0"/>
        </w:sectPr>
      </w:pPr>
    </w:p>
    <w:bookmarkStart w:id="319" w:name="page320"/>
    <w:bookmarkEnd w:id="319"/>
    <w:p>
      <w:pPr>
        <w:jc w:val="both"/>
        <w:ind w:left="540"/>
        <w:spacing w:after="0" w:line="284" w:lineRule="auto"/>
        <w:rPr>
          <w:sz w:val="20"/>
          <w:szCs w:val="20"/>
          <w:color w:val="auto"/>
        </w:rPr>
      </w:pPr>
      <w:r>
        <w:rPr>
          <w:rFonts w:ascii="Arial" w:cs="Arial" w:eastAsia="Arial" w:hAnsi="Arial"/>
          <w:sz w:val="16"/>
          <w:szCs w:val="16"/>
          <w:color w:val="auto"/>
        </w:rPr>
        <w:t>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59" w:lineRule="exact"/>
        <w:rPr>
          <w:sz w:val="20"/>
          <w:szCs w:val="20"/>
          <w:color w:val="auto"/>
        </w:rPr>
      </w:pPr>
    </w:p>
    <w:p>
      <w:pPr>
        <w:jc w:val="both"/>
        <w:ind w:left="540"/>
        <w:spacing w:after="0" w:line="297"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Amendments, etc. with respect to the Guaranteed Obligations.</w:t>
      </w:r>
      <w:r>
        <w:rPr>
          <w:rFonts w:ascii="Arial" w:cs="Arial" w:eastAsia="Arial" w:hAnsi="Arial"/>
          <w:sz w:val="15"/>
          <w:szCs w:val="15"/>
          <w:color w:val="auto"/>
        </w:rPr>
        <w:t xml:space="preserve"> Other than as expressly contemplated by </w:t>
      </w:r>
      <w:r>
        <w:rPr>
          <w:rFonts w:ascii="Arial" w:cs="Arial" w:eastAsia="Arial" w:hAnsi="Arial"/>
          <w:sz w:val="15"/>
          <w:szCs w:val="15"/>
          <w:u w:val="single" w:color="auto"/>
          <w:color w:val="auto"/>
        </w:rPr>
        <w:t>Section 3.15</w:t>
      </w:r>
      <w:r>
        <w:rPr>
          <w:rFonts w:ascii="Arial" w:cs="Arial" w:eastAsia="Arial" w:hAnsi="Arial"/>
          <w:sz w:val="15"/>
          <w:szCs w:val="15"/>
          <w:color w:val="auto"/>
        </w:rPr>
        <w:t xml:space="preserve">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and the other Loan Documents and any other documents executed and delivered in connection therewith may be amended, modified, supplemented or terminated, in whole or in part, as the Administrative Agent (or the Required Lenders, the Majority Facility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or any property subject thereto.</w:t>
      </w:r>
    </w:p>
    <w:p>
      <w:pPr>
        <w:spacing w:after="0" w:line="155" w:lineRule="exact"/>
        <w:rPr>
          <w:sz w:val="20"/>
          <w:szCs w:val="20"/>
          <w:color w:val="auto"/>
        </w:rPr>
      </w:pPr>
    </w:p>
    <w:p>
      <w:pPr>
        <w:jc w:val="both"/>
        <w:ind w:left="540"/>
        <w:spacing w:after="0" w:line="295"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Guarantee Absolute and Unconditional.</w:t>
      </w:r>
      <w:r>
        <w:rPr>
          <w:rFonts w:ascii="Arial" w:cs="Arial" w:eastAsia="Arial" w:hAnsi="Arial"/>
          <w:sz w:val="15"/>
          <w:szCs w:val="15"/>
          <w:color w:val="auto"/>
        </w:rPr>
        <w:t xml:space="preserve"> 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or any other Person against any Guaranteed Party, (c) 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 Release Date, but subject to any release of such obligations hereunder to the extent provided in, and pursuant to the terms of, </w:t>
      </w:r>
      <w:r>
        <w:rPr>
          <w:rFonts w:ascii="Arial" w:cs="Arial" w:eastAsia="Arial" w:hAnsi="Arial"/>
          <w:sz w:val="15"/>
          <w:szCs w:val="15"/>
          <w:u w:val="single" w:color="auto"/>
          <w:color w:val="auto"/>
        </w:rPr>
        <w:t>Section 3.15</w:t>
      </w:r>
      <w:r>
        <w:rPr>
          <w:rFonts w:ascii="Arial" w:cs="Arial" w:eastAsia="Arial" w:hAnsi="Arial"/>
          <w:sz w:val="15"/>
          <w:szCs w:val="15"/>
          <w:color w:val="auto"/>
        </w:rPr>
        <w:t xml:space="preserve"> and (y) each of the other Guarantors shall be released from its obligations hereunder to the extent provided in, and pursuant to the terms of, </w:t>
      </w:r>
      <w:r>
        <w:rPr>
          <w:rFonts w:ascii="Arial" w:cs="Arial" w:eastAsia="Arial" w:hAnsi="Arial"/>
          <w:sz w:val="15"/>
          <w:szCs w:val="15"/>
          <w:u w:val="single" w:color="auto"/>
          <w:color w:val="auto"/>
        </w:rPr>
        <w:t>Section 3.15</w:t>
      </w:r>
      <w:r>
        <w:rPr>
          <w:rFonts w:ascii="Arial" w:cs="Arial" w:eastAsia="Arial" w:hAnsi="Arial"/>
          <w:sz w:val="15"/>
          <w:szCs w:val="15"/>
          <w:color w:val="auto"/>
        </w:rPr>
        <w:t>. When making any demand hereunder or otherwise pursuing its rights and remedies hereunder against any Guarantor, any Guaranteed Party may, but shall be under no obligation to, make a similar</w:t>
      </w:r>
    </w:p>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512" w:right="219" w:bottom="1440" w:gutter="0" w:footer="0" w:header="0"/>
        </w:sectPr>
      </w:pPr>
    </w:p>
    <w:bookmarkStart w:id="320" w:name="page321"/>
    <w:bookmarkEnd w:id="320"/>
    <w:p>
      <w:pPr>
        <w:jc w:val="both"/>
        <w:ind w:left="540"/>
        <w:spacing w:after="0" w:line="300" w:lineRule="auto"/>
        <w:rPr>
          <w:sz w:val="20"/>
          <w:szCs w:val="20"/>
          <w:color w:val="auto"/>
        </w:rPr>
      </w:pPr>
      <w:r>
        <w:rPr>
          <w:rFonts w:ascii="Arial" w:cs="Arial" w:eastAsia="Arial" w:hAnsi="Arial"/>
          <w:sz w:val="15"/>
          <w:szCs w:val="15"/>
          <w:color w:val="auto"/>
        </w:rPr>
        <w:t>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52" w:lineRule="exact"/>
        <w:rPr>
          <w:sz w:val="20"/>
          <w:szCs w:val="20"/>
          <w:color w:val="auto"/>
        </w:rPr>
      </w:pPr>
    </w:p>
    <w:p>
      <w:pPr>
        <w:jc w:val="both"/>
        <w:ind w:left="540"/>
        <w:spacing w:after="0" w:line="28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Reinstatement.</w:t>
      </w:r>
      <w:r>
        <w:rPr>
          <w:rFonts w:ascii="Arial" w:cs="Arial" w:eastAsia="Arial" w:hAnsi="Arial"/>
          <w:sz w:val="16"/>
          <w:szCs w:val="16"/>
          <w:color w:val="auto"/>
        </w:rPr>
        <w:t xml:space="preserve"> 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163" w:lineRule="exact"/>
        <w:rPr>
          <w:sz w:val="20"/>
          <w:szCs w:val="20"/>
          <w:color w:val="auto"/>
        </w:rPr>
      </w:pPr>
    </w:p>
    <w:p>
      <w:pPr>
        <w:jc w:val="both"/>
        <w:ind w:left="540" w:right="20"/>
        <w:spacing w:after="0" w:line="289"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2.22 of the Credit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 MISCELLANEOUS</w:t>
      </w:r>
    </w:p>
    <w:p>
      <w:pPr>
        <w:spacing w:after="0" w:line="204" w:lineRule="exact"/>
        <w:rPr>
          <w:sz w:val="20"/>
          <w:szCs w:val="20"/>
          <w:color w:val="auto"/>
        </w:rPr>
      </w:pPr>
    </w:p>
    <w:p>
      <w:pPr>
        <w:jc w:val="both"/>
        <w:ind w:left="540"/>
        <w:spacing w:after="0" w:line="27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Authority of Administrative Agent.</w:t>
      </w:r>
      <w:r>
        <w:rPr>
          <w:rFonts w:ascii="Arial" w:cs="Arial" w:eastAsia="Arial" w:hAnsi="Arial"/>
          <w:sz w:val="16"/>
          <w:szCs w:val="16"/>
          <w:color w:val="auto"/>
        </w:rPr>
        <w:t xml:space="preserve"> 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67" w:lineRule="exact"/>
        <w:rPr>
          <w:sz w:val="20"/>
          <w:szCs w:val="20"/>
          <w:color w:val="auto"/>
        </w:rPr>
      </w:pPr>
    </w:p>
    <w:p>
      <w:pPr>
        <w:jc w:val="both"/>
        <w:ind w:left="540" w:right="20"/>
        <w:spacing w:after="0" w:line="30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Amendments in Writing.</w:t>
      </w:r>
      <w:r>
        <w:rPr>
          <w:rFonts w:ascii="Arial" w:cs="Arial" w:eastAsia="Arial" w:hAnsi="Arial"/>
          <w:sz w:val="16"/>
          <w:szCs w:val="16"/>
          <w:color w:val="auto"/>
        </w:rPr>
        <w:t xml:space="preserve"> None of the terms or provisions of this Agreement may be waived, amended, supplemented or otherwise modified except in accordance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w:t>
      </w:r>
    </w:p>
    <w:p>
      <w:pPr>
        <w:spacing w:after="0" w:line="143" w:lineRule="exact"/>
        <w:rPr>
          <w:sz w:val="20"/>
          <w:szCs w:val="20"/>
          <w:color w:val="auto"/>
        </w:rPr>
      </w:pPr>
    </w:p>
    <w:p>
      <w:pPr>
        <w:jc w:val="both"/>
        <w:ind w:left="540"/>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and demands to or upon the Administrative Agent or any Guarantor hereunder shall be effected in the manner provided for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of the Credit Agreement (or such other address as the Company may at any time or from time to time provide for purposes of the Credit Agreement and this Agreement).</w:t>
      </w:r>
    </w:p>
    <w:p>
      <w:pPr>
        <w:spacing w:after="0" w:line="159" w:lineRule="exact"/>
        <w:rPr>
          <w:sz w:val="20"/>
          <w:szCs w:val="20"/>
          <w:color w:val="auto"/>
        </w:rPr>
      </w:pPr>
    </w:p>
    <w:p>
      <w:pPr>
        <w:jc w:val="both"/>
        <w:ind w:left="540"/>
        <w:spacing w:after="0" w:line="28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 Waiver by Course of Conduct; Cumulative Remedies.</w:t>
      </w:r>
      <w:r>
        <w:rPr>
          <w:rFonts w:ascii="Arial" w:cs="Arial" w:eastAsia="Arial" w:hAnsi="Arial"/>
          <w:sz w:val="16"/>
          <w:szCs w:val="16"/>
          <w:color w:val="auto"/>
        </w:rPr>
        <w:t xml:space="preserve"> No Guaranteed Party shall by any act (except by a written instrument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512" w:right="219" w:bottom="1440" w:gutter="0" w:footer="0" w:header="0"/>
        </w:sectPr>
      </w:pPr>
    </w:p>
    <w:bookmarkStart w:id="321" w:name="page322"/>
    <w:bookmarkEnd w:id="321"/>
    <w:p>
      <w:pPr>
        <w:jc w:val="both"/>
        <w:ind w:left="540"/>
        <w:spacing w:after="0" w:line="284" w:lineRule="auto"/>
        <w:rPr>
          <w:sz w:val="20"/>
          <w:szCs w:val="20"/>
          <w:color w:val="auto"/>
        </w:rPr>
      </w:pPr>
      <w:r>
        <w:rPr>
          <w:rFonts w:ascii="Arial" w:cs="Arial" w:eastAsia="Arial" w:hAnsi="Arial"/>
          <w:sz w:val="16"/>
          <w:szCs w:val="16"/>
          <w:color w:val="auto"/>
        </w:rPr>
        <w:t>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59" w:lineRule="exact"/>
        <w:rPr>
          <w:sz w:val="20"/>
          <w:szCs w:val="20"/>
          <w:color w:val="auto"/>
        </w:rPr>
      </w:pPr>
    </w:p>
    <w:p>
      <w:pPr>
        <w:jc w:val="both"/>
        <w:ind w:left="540"/>
        <w:spacing w:after="0" w:line="28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Enforcement Expenses; Indemnification.</w:t>
      </w:r>
      <w:r>
        <w:rPr>
          <w:rFonts w:ascii="Arial" w:cs="Arial" w:eastAsia="Arial" w:hAnsi="Arial"/>
          <w:sz w:val="16"/>
          <w:szCs w:val="16"/>
          <w:color w:val="auto"/>
        </w:rPr>
        <w:t xml:space="preserve"> (d) Without intending to duplicate the obligations of the Guarantors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and to the extent that the Company is required to pay or reimburse the Guaranteed Parties (or any of them), for various costs and expenses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each Guarantor, jointly and severally, hereby agrees to make such payments or reimbursements and to provide such indemnification.</w:t>
      </w:r>
    </w:p>
    <w:p>
      <w:pPr>
        <w:spacing w:after="0" w:line="152" w:lineRule="exact"/>
        <w:rPr>
          <w:sz w:val="20"/>
          <w:szCs w:val="20"/>
          <w:color w:val="auto"/>
        </w:rPr>
      </w:pPr>
    </w:p>
    <w:p>
      <w:pPr>
        <w:ind w:left="940" w:hanging="400"/>
        <w:spacing w:after="0"/>
        <w:tabs>
          <w:tab w:leader="none" w:pos="9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 xml:space="preserve">The agreements of each Guarantor in this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shall survive repayment of the Guaranteed Obligations and all other amounts payable under the Credit</w:t>
      </w:r>
    </w:p>
    <w:p>
      <w:pPr>
        <w:spacing w:after="0" w:line="2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w:t>
      </w:r>
    </w:p>
    <w:p>
      <w:pPr>
        <w:spacing w:after="0" w:line="190" w:lineRule="exact"/>
        <w:rPr>
          <w:sz w:val="20"/>
          <w:szCs w:val="20"/>
          <w:color w:val="auto"/>
        </w:rPr>
      </w:pPr>
    </w:p>
    <w:p>
      <w:pPr>
        <w:jc w:val="both"/>
        <w:ind w:left="540"/>
        <w:spacing w:after="0" w:line="316"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xml:space="preserve"> 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38" w:lineRule="exact"/>
        <w:rPr>
          <w:sz w:val="20"/>
          <w:szCs w:val="20"/>
          <w:color w:val="auto"/>
        </w:rPr>
      </w:pPr>
    </w:p>
    <w:p>
      <w:pPr>
        <w:jc w:val="both"/>
        <w:ind w:left="540"/>
        <w:spacing w:after="0" w:line="289"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155" w:lineRule="exact"/>
        <w:rPr>
          <w:sz w:val="20"/>
          <w:szCs w:val="20"/>
          <w:color w:val="auto"/>
        </w:rPr>
      </w:pPr>
    </w:p>
    <w:p>
      <w:pPr>
        <w:jc w:val="both"/>
        <w:ind w:left="540"/>
        <w:spacing w:after="0" w:line="28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5" w:lineRule="exact"/>
        <w:rPr>
          <w:sz w:val="20"/>
          <w:szCs w:val="20"/>
          <w:color w:val="auto"/>
        </w:rPr>
      </w:pPr>
    </w:p>
    <w:p>
      <w:pPr>
        <w:jc w:val="both"/>
        <w:ind w:left="540"/>
        <w:spacing w:after="0" w:line="304"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Section Headings.</w:t>
      </w:r>
      <w:r>
        <w:rPr>
          <w:rFonts w:ascii="Arial" w:cs="Arial" w:eastAsia="Arial" w:hAnsi="Arial"/>
          <w:sz w:val="16"/>
          <w:szCs w:val="16"/>
          <w:color w:val="auto"/>
        </w:rPr>
        <w:t xml:space="preserve"> The Section headings used in this Agreement are for convenience of reference only and are not to affect the construction hereof or be taken into consideration in the interpretation hereof.</w:t>
      </w:r>
    </w:p>
    <w:p>
      <w:pPr>
        <w:spacing w:after="0" w:line="143" w:lineRule="exact"/>
        <w:rPr>
          <w:sz w:val="20"/>
          <w:szCs w:val="20"/>
          <w:color w:val="auto"/>
        </w:rPr>
      </w:pPr>
    </w:p>
    <w:p>
      <w:pPr>
        <w:jc w:val="both"/>
        <w:ind w:left="540"/>
        <w:spacing w:after="0" w:line="289"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Integration.</w:t>
      </w:r>
      <w:r>
        <w:rPr>
          <w:rFonts w:ascii="Arial" w:cs="Arial" w:eastAsia="Arial" w:hAnsi="Arial"/>
          <w:sz w:val="16"/>
          <w:szCs w:val="16"/>
          <w:color w:val="auto"/>
        </w:rPr>
        <w:t xml:space="preserve"> 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41"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color w:val="auto"/>
              </w:rPr>
              <w:t>3.11</w:t>
            </w:r>
          </w:p>
        </w:tc>
        <w:tc>
          <w:tcPr>
            <w:tcW w:w="280" w:type="dxa"/>
            <w:vAlign w:val="bottom"/>
          </w:tcPr>
          <w:p>
            <w:pPr>
              <w:spacing w:after="0"/>
              <w:rPr>
                <w:sz w:val="16"/>
                <w:szCs w:val="16"/>
                <w:color w:val="auto"/>
              </w:rPr>
            </w:pPr>
          </w:p>
        </w:tc>
        <w:tc>
          <w:tcPr>
            <w:tcW w:w="10100" w:type="dxa"/>
            <w:vAlign w:val="bottom"/>
            <w:gridSpan w:val="3"/>
          </w:tcPr>
          <w:p>
            <w:pPr>
              <w:spacing w:after="0"/>
              <w:rPr>
                <w:sz w:val="20"/>
                <w:szCs w:val="20"/>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w:t>
            </w:r>
            <w:r>
              <w:rPr>
                <w:rFonts w:ascii="Arial" w:cs="Arial" w:eastAsia="Arial" w:hAnsi="Arial"/>
                <w:sz w:val="16"/>
                <w:szCs w:val="16"/>
                <w:b w:val="1"/>
                <w:bCs w:val="1"/>
                <w:color w:val="auto"/>
              </w:rPr>
              <w:t xml:space="preserve"> THIS AGREEMENT AND THE RIGHTS AND OBLIGATIONS OF THE PARTIES UNDER THIS AGREEMENT</w:t>
            </w:r>
          </w:p>
        </w:tc>
      </w:tr>
      <w:tr>
        <w:trPr>
          <w:trHeight w:val="20"/>
        </w:trPr>
        <w:tc>
          <w:tcPr>
            <w:tcW w:w="820" w:type="dxa"/>
            <w:vAlign w:val="bottom"/>
            <w:tcBorders>
              <w:right w:val="single" w:sz="8" w:color="auto"/>
            </w:tcBorders>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27"/>
        </w:trPr>
        <w:tc>
          <w:tcPr>
            <w:tcW w:w="10920" w:type="dxa"/>
            <w:vAlign w:val="bottom"/>
            <w:gridSpan w:val="5"/>
          </w:tcPr>
          <w:p>
            <w:pPr>
              <w:spacing w:after="0"/>
              <w:rPr>
                <w:sz w:val="20"/>
                <w:szCs w:val="20"/>
                <w:color w:val="auto"/>
              </w:rPr>
            </w:pPr>
            <w:r>
              <w:rPr>
                <w:rFonts w:ascii="Arial" w:cs="Arial" w:eastAsia="Arial" w:hAnsi="Arial"/>
                <w:sz w:val="16"/>
                <w:szCs w:val="16"/>
                <w:b w:val="1"/>
                <w:bCs w:val="1"/>
                <w:color w:val="auto"/>
              </w:rPr>
              <w:t>SHALL BE GOVERNED BY, AND CONSTRUED AND INTERPRETED IN ACCORDANCE WITH, THE LAW OF THE STATE OF NEW YORK.</w:t>
            </w:r>
          </w:p>
        </w:tc>
      </w:tr>
      <w:tr>
        <w:trPr>
          <w:trHeight w:val="362"/>
        </w:trPr>
        <w:tc>
          <w:tcPr>
            <w:tcW w:w="540" w:type="dxa"/>
            <w:vAlign w:val="bottom"/>
          </w:tcPr>
          <w:p>
            <w:pPr>
              <w:spacing w:after="0"/>
              <w:rPr>
                <w:sz w:val="20"/>
                <w:szCs w:val="20"/>
                <w:color w:val="auto"/>
              </w:rPr>
            </w:pPr>
            <w:r>
              <w:rPr>
                <w:rFonts w:ascii="Arial" w:cs="Arial" w:eastAsia="Arial" w:hAnsi="Arial"/>
                <w:sz w:val="16"/>
                <w:szCs w:val="16"/>
                <w:color w:val="auto"/>
              </w:rPr>
              <w:t>3.12</w:t>
            </w:r>
          </w:p>
        </w:tc>
        <w:tc>
          <w:tcPr>
            <w:tcW w:w="28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6"/>
                <w:szCs w:val="16"/>
                <w:color w:val="auto"/>
              </w:rPr>
              <w:t>Submission To Jurisdiction; Waivers. Each Guarantor hereby irrevocably and unconditionally:</w:t>
            </w:r>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540"/>
        <w:spacing w:after="0" w:line="260" w:lineRule="auto"/>
        <w:tabs>
          <w:tab w:leader="none" w:pos="95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0"/>
          </w:cols>
          <w:pgMar w:left="220" w:top="513" w:right="219" w:bottom="1440" w:gutter="0" w:footer="0" w:header="0"/>
        </w:sectPr>
      </w:pPr>
    </w:p>
    <w:bookmarkStart w:id="322" w:name="page323"/>
    <w:bookmarkEnd w:id="322"/>
    <w:p>
      <w:pPr>
        <w:ind w:firstLine="540"/>
        <w:spacing w:after="0" w:line="309" w:lineRule="auto"/>
        <w:tabs>
          <w:tab w:leader="none" w:pos="911" w:val="left"/>
        </w:tabs>
        <w:numPr>
          <w:ilvl w:val="0"/>
          <w:numId w:val="283"/>
        </w:numPr>
        <w:rPr>
          <w:rFonts w:ascii="Arial" w:cs="Arial" w:eastAsia="Arial" w:hAnsi="Arial"/>
          <w:sz w:val="15"/>
          <w:szCs w:val="15"/>
          <w:color w:val="auto"/>
        </w:rPr>
      </w:pPr>
      <w:r>
        <w:rPr>
          <w:rFonts w:ascii="Arial" w:cs="Arial" w:eastAsia="Arial" w:hAnsi="Arial"/>
          <w:sz w:val="15"/>
          <w:szCs w:val="15"/>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20" w:lineRule="exact"/>
        <w:rPr>
          <w:rFonts w:ascii="Arial" w:cs="Arial" w:eastAsia="Arial" w:hAnsi="Arial"/>
          <w:sz w:val="15"/>
          <w:szCs w:val="15"/>
          <w:color w:val="auto"/>
        </w:rPr>
      </w:pPr>
    </w:p>
    <w:p>
      <w:pPr>
        <w:jc w:val="both"/>
        <w:ind w:firstLine="540"/>
        <w:spacing w:after="0" w:line="260" w:lineRule="auto"/>
        <w:tabs>
          <w:tab w:leader="none" w:pos="927"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at such other address of which the Administrative Agent shall have been notified pursuant thereto;</w:t>
      </w:r>
    </w:p>
    <w:p>
      <w:pPr>
        <w:spacing w:after="0" w:line="155" w:lineRule="exact"/>
        <w:rPr>
          <w:rFonts w:ascii="Arial" w:cs="Arial" w:eastAsia="Arial" w:hAnsi="Arial"/>
          <w:sz w:val="16"/>
          <w:szCs w:val="16"/>
          <w:color w:val="auto"/>
        </w:rPr>
      </w:pPr>
    </w:p>
    <w:p>
      <w:pPr>
        <w:ind w:firstLine="540"/>
        <w:spacing w:after="0" w:line="275" w:lineRule="auto"/>
        <w:tabs>
          <w:tab w:leader="none" w:pos="1009" w:val="left"/>
        </w:tabs>
        <w:numPr>
          <w:ilvl w:val="0"/>
          <w:numId w:val="283"/>
        </w:numPr>
        <w:rPr>
          <w:rFonts w:ascii="Arial" w:cs="Arial" w:eastAsia="Arial" w:hAnsi="Arial"/>
          <w:sz w:val="16"/>
          <w:szCs w:val="16"/>
          <w:color w:val="auto"/>
        </w:rPr>
      </w:pPr>
      <w:r>
        <w:rPr>
          <w:rFonts w:ascii="Arial" w:cs="Arial" w:eastAsia="Arial" w:hAnsi="Arial"/>
          <w:sz w:val="16"/>
          <w:szCs w:val="16"/>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43" w:lineRule="exact"/>
        <w:rPr>
          <w:rFonts w:ascii="Arial" w:cs="Arial" w:eastAsia="Arial" w:hAnsi="Arial"/>
          <w:sz w:val="16"/>
          <w:szCs w:val="16"/>
          <w:color w:val="auto"/>
        </w:rPr>
      </w:pPr>
    </w:p>
    <w:p>
      <w:pPr>
        <w:ind w:firstLine="540"/>
        <w:spacing w:after="0" w:line="275" w:lineRule="auto"/>
        <w:tabs>
          <w:tab w:leader="none" w:pos="946"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agrees that nothing herein shall affect the right to effect service of process in any other manner permitted by law or shall limit the right to sue in any other jurisdiction; and</w:t>
      </w:r>
    </w:p>
    <w:p>
      <w:pPr>
        <w:spacing w:after="0" w:line="143" w:lineRule="exact"/>
        <w:rPr>
          <w:rFonts w:ascii="Arial" w:cs="Arial" w:eastAsia="Arial" w:hAnsi="Arial"/>
          <w:sz w:val="16"/>
          <w:szCs w:val="16"/>
          <w:color w:val="auto"/>
        </w:rPr>
      </w:pPr>
    </w:p>
    <w:p>
      <w:pPr>
        <w:ind w:firstLine="540"/>
        <w:spacing w:after="0" w:line="275" w:lineRule="auto"/>
        <w:tabs>
          <w:tab w:leader="none" w:pos="88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waives, to the maximum extent not prohibited by law, any right it may have to claim or recover in any legal action or proceeding referred to in this Section any special, exemplary, punitive or consequential damages.</w:t>
      </w:r>
    </w:p>
    <w:p>
      <w:pPr>
        <w:spacing w:after="0" w:line="154" w:lineRule="exact"/>
        <w:rPr>
          <w:sz w:val="20"/>
          <w:szCs w:val="20"/>
          <w:color w:val="auto"/>
        </w:rPr>
      </w:pPr>
    </w:p>
    <w:p>
      <w:pPr>
        <w:ind w:left="540"/>
        <w:spacing w:after="0"/>
        <w:tabs>
          <w:tab w:leader="none" w:pos="134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5"/>
          <w:szCs w:val="15"/>
          <w:u w:val="single" w:color="auto"/>
          <w:color w:val="auto"/>
        </w:rPr>
        <w:t xml:space="preserve">Judgment. </w:t>
      </w:r>
      <w:r>
        <w:rPr>
          <w:rFonts w:ascii="Arial" w:cs="Arial" w:eastAsia="Arial" w:hAnsi="Arial"/>
          <w:sz w:val="15"/>
          <w:szCs w:val="15"/>
          <w:color w:val="auto"/>
        </w:rPr>
        <w:t>The parties hereto agree that Section 10.13 of the Credit Agreement shall apply to the obligations of the Guarantors hereunder,</w:t>
      </w:r>
      <w:r>
        <w:rPr>
          <w:rFonts w:ascii="Arial" w:cs="Arial" w:eastAsia="Arial" w:hAnsi="Arial"/>
          <w:sz w:val="15"/>
          <w:szCs w:val="15"/>
          <w:u w:val="single" w:color="auto"/>
          <w:color w:val="auto"/>
        </w:rPr>
        <w:t xml:space="preserve"> </w:t>
      </w:r>
      <w:r>
        <w:rPr>
          <w:rFonts w:ascii="Arial" w:cs="Arial" w:eastAsia="Arial" w:hAnsi="Arial"/>
          <w:sz w:val="15"/>
          <w:szCs w:val="15"/>
          <w:i w:val="1"/>
          <w:iCs w:val="1"/>
          <w:color w:val="auto"/>
        </w:rPr>
        <w:t>mutatis</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mutandis</w:t>
      </w:r>
      <w:r>
        <w:rPr>
          <w:rFonts w:ascii="Arial" w:cs="Arial" w:eastAsia="Arial" w:hAnsi="Arial"/>
          <w:sz w:val="16"/>
          <w:szCs w:val="16"/>
          <w:color w:val="auto"/>
        </w:rPr>
        <w:t>.</w:t>
      </w:r>
    </w:p>
    <w:p>
      <w:pPr>
        <w:spacing w:after="0" w:line="215" w:lineRule="exact"/>
        <w:rPr>
          <w:sz w:val="20"/>
          <w:szCs w:val="20"/>
          <w:color w:val="auto"/>
        </w:rPr>
      </w:pPr>
    </w:p>
    <w:p>
      <w:pPr>
        <w:jc w:val="both"/>
        <w:ind w:left="540"/>
        <w:spacing w:after="0" w:line="284"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Additional Guarantors.</w:t>
      </w:r>
      <w:r>
        <w:rPr>
          <w:rFonts w:ascii="Arial" w:cs="Arial" w:eastAsia="Arial" w:hAnsi="Arial"/>
          <w:sz w:val="16"/>
          <w:szCs w:val="16"/>
          <w:color w:val="auto"/>
        </w:rPr>
        <w:t xml:space="preserve"> Each Subsidiary of the Company that is required to become a party to this Agreement pursuant to Section 6.7 of the Credit Agreement, and each other Person (whether or not a Subsidiary of the Company) that the Company desires to become a party to this Agreement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10.1(b)</w:t>
      </w:r>
      <w:r>
        <w:rPr>
          <w:rFonts w:ascii="Arial" w:cs="Arial" w:eastAsia="Arial" w:hAnsi="Arial"/>
          <w:sz w:val="16"/>
          <w:szCs w:val="16"/>
          <w:color w:val="auto"/>
        </w:rPr>
        <w:t xml:space="preserve"> of the Credit Agreement or otherwise, shall become a Guarantor for all purposes of this Agreement upon execution and delivery by such Subsidiary or other Person of a Joinder Agreement in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(a “</w:t>
      </w:r>
      <w:r>
        <w:rPr>
          <w:rFonts w:ascii="Arial" w:cs="Arial" w:eastAsia="Arial" w:hAnsi="Arial"/>
          <w:sz w:val="16"/>
          <w:szCs w:val="16"/>
          <w:u w:val="single" w:color="auto"/>
          <w:color w:val="auto"/>
        </w:rPr>
        <w:t>Joinder Agreement</w:t>
      </w:r>
      <w:r>
        <w:rPr>
          <w:rFonts w:ascii="Arial" w:cs="Arial" w:eastAsia="Arial" w:hAnsi="Arial"/>
          <w:sz w:val="16"/>
          <w:szCs w:val="16"/>
          <w:color w:val="auto"/>
        </w:rPr>
        <w:t>”).</w:t>
      </w:r>
    </w:p>
    <w:p>
      <w:pPr>
        <w:spacing w:after="0" w:line="159" w:lineRule="exact"/>
        <w:rPr>
          <w:sz w:val="20"/>
          <w:szCs w:val="20"/>
          <w:color w:val="auto"/>
        </w:rPr>
      </w:pPr>
    </w:p>
    <w:p>
      <w:pPr>
        <w:jc w:val="both"/>
        <w:ind w:left="540"/>
        <w:spacing w:after="0" w:line="289"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Releases.</w:t>
      </w:r>
      <w:r>
        <w:rPr>
          <w:rFonts w:ascii="Arial" w:cs="Arial" w:eastAsia="Arial" w:hAnsi="Arial"/>
          <w:sz w:val="16"/>
          <w:szCs w:val="16"/>
          <w:color w:val="auto"/>
        </w:rPr>
        <w:t xml:space="preserve"> (e) Upon the satisfaction of the conditions set forth in </w:t>
      </w:r>
      <w:r>
        <w:rPr>
          <w:rFonts w:ascii="Arial" w:cs="Arial" w:eastAsia="Arial" w:hAnsi="Arial"/>
          <w:sz w:val="16"/>
          <w:szCs w:val="16"/>
          <w:u w:val="single" w:color="auto"/>
          <w:color w:val="auto"/>
        </w:rPr>
        <w:t>Section 10.15(b)</w:t>
      </w:r>
      <w:r>
        <w:rPr>
          <w:rFonts w:ascii="Arial" w:cs="Arial" w:eastAsia="Arial" w:hAnsi="Arial"/>
          <w:sz w:val="16"/>
          <w:szCs w:val="16"/>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44" w:lineRule="exact"/>
        <w:rPr>
          <w:sz w:val="20"/>
          <w:szCs w:val="20"/>
          <w:color w:val="auto"/>
        </w:rPr>
      </w:pPr>
    </w:p>
    <w:p>
      <w:pPr>
        <w:jc w:val="both"/>
        <w:ind w:firstLine="540"/>
        <w:spacing w:after="0" w:line="260" w:lineRule="auto"/>
        <w:tabs>
          <w:tab w:leader="none" w:pos="91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Upon the satisfaction of the conditions set forth in </w:t>
      </w:r>
      <w:r>
        <w:rPr>
          <w:rFonts w:ascii="Arial" w:cs="Arial" w:eastAsia="Arial" w:hAnsi="Arial"/>
          <w:sz w:val="16"/>
          <w:szCs w:val="16"/>
          <w:u w:val="single" w:color="auto"/>
          <w:color w:val="auto"/>
        </w:rPr>
        <w:t>Section 10.15(d)</w:t>
      </w:r>
      <w:r>
        <w:rPr>
          <w:rFonts w:ascii="Arial" w:cs="Arial" w:eastAsia="Arial" w:hAnsi="Arial"/>
          <w:sz w:val="16"/>
          <w:szCs w:val="16"/>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55" w:lineRule="exact"/>
        <w:rPr>
          <w:rFonts w:ascii="Arial" w:cs="Arial" w:eastAsia="Arial" w:hAnsi="Arial"/>
          <w:sz w:val="16"/>
          <w:szCs w:val="16"/>
          <w:color w:val="auto"/>
        </w:rPr>
      </w:pPr>
    </w:p>
    <w:p>
      <w:pPr>
        <w:jc w:val="both"/>
        <w:ind w:firstLine="540"/>
        <w:spacing w:after="0" w:line="260" w:lineRule="auto"/>
        <w:tabs>
          <w:tab w:leader="none" w:pos="92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Upon the satisfaction of the conditions set forth in </w:t>
      </w:r>
      <w:r>
        <w:rPr>
          <w:rFonts w:ascii="Arial" w:cs="Arial" w:eastAsia="Arial" w:hAnsi="Arial"/>
          <w:sz w:val="16"/>
          <w:szCs w:val="16"/>
          <w:u w:val="single" w:color="auto"/>
          <w:color w:val="auto"/>
        </w:rPr>
        <w:t>Section 10.15(e)</w:t>
      </w:r>
      <w:r>
        <w:rPr>
          <w:rFonts w:ascii="Arial" w:cs="Arial" w:eastAsia="Arial" w:hAnsi="Arial"/>
          <w:sz w:val="16"/>
          <w:szCs w:val="16"/>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55" w:lineRule="exact"/>
        <w:rPr>
          <w:rFonts w:ascii="Arial" w:cs="Arial" w:eastAsia="Arial" w:hAnsi="Arial"/>
          <w:sz w:val="16"/>
          <w:szCs w:val="16"/>
          <w:color w:val="auto"/>
        </w:rPr>
      </w:pPr>
    </w:p>
    <w:p>
      <w:pPr>
        <w:jc w:val="both"/>
        <w:ind w:firstLine="540"/>
        <w:spacing w:after="0" w:line="260" w:lineRule="auto"/>
        <w:tabs>
          <w:tab w:leader="none" w:pos="87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6"/>
          <w:szCs w:val="16"/>
          <w:u w:val="single" w:color="auto"/>
          <w:color w:val="auto"/>
        </w:rPr>
        <w:t>Section 3.15</w:t>
      </w:r>
      <w:r>
        <w:rPr>
          <w:rFonts w:ascii="Arial" w:cs="Arial" w:eastAsia="Arial" w:hAnsi="Arial"/>
          <w:sz w:val="16"/>
          <w:szCs w:val="16"/>
          <w:color w:val="auto"/>
        </w:rPr>
        <w:t>.</w:t>
      </w:r>
    </w:p>
    <w:p>
      <w:pPr>
        <w:spacing w:after="0" w:line="162" w:lineRule="exact"/>
        <w:rPr>
          <w:sz w:val="20"/>
          <w:szCs w:val="20"/>
          <w:color w:val="auto"/>
        </w:rPr>
      </w:pPr>
    </w:p>
    <w:p>
      <w:pPr>
        <w:ind w:left="540"/>
        <w:spacing w:after="0"/>
        <w:tabs>
          <w:tab w:leader="none" w:pos="1340" w:val="left"/>
          <w:tab w:leader="none" w:pos="2140" w:val="left"/>
          <w:tab w:leader="none" w:pos="2520" w:val="left"/>
          <w:tab w:leader="none" w:pos="3080" w:val="left"/>
          <w:tab w:leader="none" w:pos="3780" w:val="left"/>
          <w:tab w:leader="none" w:pos="4400" w:val="left"/>
          <w:tab w:leader="none" w:pos="5600" w:val="left"/>
          <w:tab w:leader="none" w:pos="6100" w:val="left"/>
          <w:tab w:leader="none" w:pos="6580" w:val="left"/>
          <w:tab w:leader="none" w:pos="8180" w:val="left"/>
          <w:tab w:leader="none" w:pos="8900" w:val="left"/>
          <w:tab w:leader="none" w:pos="9740" w:val="left"/>
          <w:tab w:leader="none" w:pos="11080" w:val="left"/>
        </w:tabs>
        <w:rPr>
          <w:sz w:val="20"/>
          <w:szCs w:val="20"/>
          <w:color w:val="auto"/>
        </w:rPr>
      </w:pPr>
      <w:r>
        <w:rPr>
          <w:rFonts w:ascii="Arial" w:cs="Arial" w:eastAsia="Arial" w:hAnsi="Arial"/>
          <w:sz w:val="16"/>
          <w:szCs w:val="16"/>
          <w:color w:val="auto"/>
        </w:rPr>
        <w:t>3.16</w:t>
      </w:r>
      <w:r>
        <w:rPr>
          <w:sz w:val="20"/>
          <w:szCs w:val="20"/>
          <w:color w:val="auto"/>
        </w:rPr>
        <w:tab/>
      </w:r>
      <w:r>
        <w:rPr>
          <w:rFonts w:ascii="Arial" w:cs="Arial" w:eastAsia="Arial" w:hAnsi="Arial"/>
          <w:sz w:val="16"/>
          <w:szCs w:val="16"/>
          <w:b w:val="1"/>
          <w:bCs w:val="1"/>
          <w:u w:val="single" w:color="auto"/>
          <w:color w:val="auto"/>
        </w:rPr>
        <w:t>WAIVER</w:t>
        <w:tab/>
        <w:t>OF</w:t>
        <w:tab/>
        <w:t>JURY</w:t>
        <w:tab/>
        <w:t>TRIAL</w:t>
      </w:r>
      <w:r>
        <w:rPr>
          <w:rFonts w:ascii="Arial" w:cs="Arial" w:eastAsia="Arial" w:hAnsi="Arial"/>
          <w:sz w:val="16"/>
          <w:szCs w:val="16"/>
          <w:i w:val="1"/>
          <w:iCs w:val="1"/>
          <w:color w:val="auto"/>
        </w:rPr>
        <w:t>.</w:t>
      </w:r>
      <w:r>
        <w:rPr>
          <w:sz w:val="20"/>
          <w:szCs w:val="20"/>
          <w:color w:val="auto"/>
        </w:rPr>
        <w:tab/>
      </w:r>
      <w:r>
        <w:rPr>
          <w:rFonts w:ascii="Arial" w:cs="Arial" w:eastAsia="Arial" w:hAnsi="Arial"/>
          <w:sz w:val="16"/>
          <w:szCs w:val="16"/>
          <w:b w:val="1"/>
          <w:bCs w:val="1"/>
          <w:color w:val="auto"/>
        </w:rPr>
        <w:t>EACH</w:t>
        <w:tab/>
        <w:t>GUARANTOR</w:t>
        <w:tab/>
        <w:t>AND</w:t>
        <w:tab/>
        <w:t>THE</w:t>
        <w:tab/>
        <w:t>ADMINISTRATIVE</w:t>
        <w:tab/>
        <w:t>AGENT</w:t>
        <w:tab/>
        <w:t>HEREBY</w:t>
        <w:tab/>
        <w:t>IRREVOCABLY</w:t>
        <w:tab/>
        <w:t>AND</w:t>
      </w:r>
    </w:p>
    <w:p>
      <w:pPr>
        <w:spacing w:after="0" w:line="27" w:lineRule="exact"/>
        <w:rPr>
          <w:sz w:val="20"/>
          <w:szCs w:val="20"/>
          <w:color w:val="auto"/>
        </w:rPr>
      </w:pPr>
    </w:p>
    <w:p>
      <w:pPr>
        <w:ind w:left="540"/>
        <w:spacing w:after="0" w:line="308" w:lineRule="auto"/>
        <w:rPr>
          <w:sz w:val="20"/>
          <w:szCs w:val="20"/>
          <w:color w:val="auto"/>
        </w:rPr>
      </w:pPr>
      <w:r>
        <w:rPr>
          <w:rFonts w:ascii="Arial" w:cs="Arial" w:eastAsia="Arial" w:hAnsi="Arial"/>
          <w:sz w:val="16"/>
          <w:szCs w:val="16"/>
          <w:b w:val="1"/>
          <w:bCs w:val="1"/>
          <w:color w:val="auto"/>
        </w:rPr>
        <w:t>UNCONDITIONALLY WAIVE TRIAL BY JURY IN ANY LEGAL ACTION OR PROCEEDING RELATING TO THIS AGREEMENT OR ANY OTHER LOAN DOCUMENT AND FOR ANY COUNTERCLAIM THEREIN.</w:t>
      </w:r>
    </w:p>
    <w:p>
      <w:pPr>
        <w:spacing w:after="0" w:line="144"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0"/>
          </w:cols>
          <w:pgMar w:left="220" w:top="501" w:right="219" w:bottom="1440" w:gutter="0" w:footer="0" w:header="0"/>
        </w:sectPr>
      </w:pPr>
    </w:p>
    <w:bookmarkStart w:id="323" w:name="page324"/>
    <w:bookmarkEnd w:id="323"/>
    <w:p>
      <w:pPr>
        <w:ind w:left="4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Remainder of this page intentionally left blank.]</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 WITNESS WHEREOF, each of the undersigned has caused this Agreement to be duly executed and delivered as of the date first above written.</w:t>
      </w:r>
    </w:p>
    <w:p>
      <w:pPr>
        <w:spacing w:after="0" w:line="200" w:lineRule="exact"/>
        <w:rPr>
          <w:sz w:val="20"/>
          <w:szCs w:val="20"/>
          <w:color w:val="auto"/>
        </w:rPr>
      </w:pPr>
    </w:p>
    <w:p>
      <w:pPr>
        <w:spacing w:after="0" w:line="303"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 xml:space="preserve">GENERAL MOTORS COMPANY, </w:t>
      </w:r>
      <w:r>
        <w:rPr>
          <w:rFonts w:ascii="Arial" w:cs="Arial" w:eastAsia="Arial" w:hAnsi="Arial"/>
          <w:sz w:val="15"/>
          <w:szCs w:val="15"/>
          <w:i w:val="1"/>
          <w:iCs w:val="1"/>
          <w:color w:val="auto"/>
        </w:rPr>
        <w:t>as the Company</w:t>
      </w:r>
    </w:p>
    <w:p>
      <w:pPr>
        <w:spacing w:after="0" w:line="326"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By:_______________________________</w:t>
      </w:r>
    </w:p>
    <w:p>
      <w:pPr>
        <w:spacing w:after="0" w:line="49"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Name:__________________________</w:t>
      </w:r>
    </w:p>
    <w:p>
      <w:pPr>
        <w:spacing w:after="0" w:line="49"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Title:___________________________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600"/>
          </w:cols>
          <w:pgMar w:left="220" w:top="497" w:right="1079" w:bottom="1440" w:gutter="0" w:footer="0" w:header="0"/>
        </w:sectPr>
      </w:pPr>
    </w:p>
    <w:bookmarkStart w:id="324" w:name="page325"/>
    <w:bookmarkEnd w:id="324"/>
    <w:p>
      <w:pPr>
        <w:spacing w:after="0"/>
        <w:rPr>
          <w:sz w:val="20"/>
          <w:szCs w:val="20"/>
          <w:color w:val="auto"/>
        </w:rPr>
      </w:pPr>
      <w:r>
        <w:rPr>
          <w:rFonts w:ascii="Arial" w:cs="Arial" w:eastAsia="Arial" w:hAnsi="Arial"/>
          <w:sz w:val="16"/>
          <w:szCs w:val="16"/>
          <w:color w:val="auto"/>
        </w:rPr>
        <w:t>ACCEPTED AND AGREED TO</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SET FORTH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JPMORGAN CHASE BANK, N.A., </w:t>
      </w:r>
      <w:r>
        <w:rPr>
          <w:rFonts w:ascii="Arial" w:cs="Arial" w:eastAsia="Arial" w:hAnsi="Arial"/>
          <w:sz w:val="16"/>
          <w:szCs w:val="16"/>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74"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Annex 1</w:t>
      </w:r>
    </w:p>
    <w:p>
      <w:pPr>
        <w:spacing w:after="0" w:line="49"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to</w:t>
      </w:r>
    </w:p>
    <w:p>
      <w:pPr>
        <w:spacing w:after="0" w:line="49"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Guarantee Agreement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JOINDER AGREEMENT, dated as of ________________, 20__ (the “</w:t>
      </w:r>
      <w:r>
        <w:rPr>
          <w:rFonts w:ascii="Arial" w:cs="Arial" w:eastAsia="Arial" w:hAnsi="Arial"/>
          <w:sz w:val="15"/>
          <w:szCs w:val="15"/>
          <w:u w:val="single" w:color="auto"/>
          <w:color w:val="auto"/>
        </w:rPr>
        <w:t>Joinder Agreement</w:t>
      </w:r>
      <w:r>
        <w:rPr>
          <w:rFonts w:ascii="Arial" w:cs="Arial" w:eastAsia="Arial" w:hAnsi="Arial"/>
          <w:sz w:val="15"/>
          <w:szCs w:val="15"/>
          <w:color w:val="auto"/>
        </w:rPr>
        <w:t>”), made by ______________________________ (the “</w:t>
      </w:r>
      <w:r>
        <w:rPr>
          <w:rFonts w:ascii="Arial" w:cs="Arial" w:eastAsia="Arial" w:hAnsi="Arial"/>
          <w:sz w:val="15"/>
          <w:szCs w:val="15"/>
          <w:u w:val="single" w:color="auto"/>
          <w:color w:val="auto"/>
        </w:rPr>
        <w:t>Additional</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u w:val="single" w:color="auto"/>
          <w:color w:val="auto"/>
        </w:rPr>
        <w:t>Guarantor</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W I T N E S S E T H</w:t>
      </w:r>
      <w:r>
        <w:rPr>
          <w:rFonts w:ascii="Arial" w:cs="Arial" w:eastAsia="Arial" w:hAnsi="Arial"/>
          <w:sz w:val="16"/>
          <w:szCs w:val="16"/>
          <w:color w:val="auto"/>
        </w:rPr>
        <w:t xml:space="preserve"> :</w:t>
      </w:r>
    </w:p>
    <w:p>
      <w:pPr>
        <w:spacing w:after="0" w:line="181" w:lineRule="exact"/>
        <w:rPr>
          <w:sz w:val="20"/>
          <w:szCs w:val="20"/>
          <w:color w:val="auto"/>
        </w:rPr>
      </w:pPr>
    </w:p>
    <w:p>
      <w:pPr>
        <w:jc w:val="both"/>
        <w:ind w:firstLine="1063"/>
        <w:spacing w:after="0" w:line="269" w:lineRule="auto"/>
        <w:rPr>
          <w:sz w:val="20"/>
          <w:szCs w:val="20"/>
          <w:color w:val="auto"/>
        </w:rPr>
      </w:pPr>
      <w:r>
        <w:rPr>
          <w:rFonts w:ascii="Arial" w:cs="Arial" w:eastAsia="Arial" w:hAnsi="Arial"/>
          <w:sz w:val="15"/>
          <w:szCs w:val="15"/>
          <w:color w:val="auto"/>
        </w:rPr>
        <w:t>WHEREAS, pursuant to the terms of the certain Amended and Restated Five Year Revolving Credit Agreement, dated as of October 17, 2014 (as amended, restated, amended and restated, renewed,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General Motors Company,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General Motors Financial Company, Inc., a Texas corporation (“</w:t>
      </w:r>
      <w:r>
        <w:rPr>
          <w:rFonts w:ascii="Arial" w:cs="Arial" w:eastAsia="Arial" w:hAnsi="Arial"/>
          <w:sz w:val="15"/>
          <w:szCs w:val="15"/>
          <w:u w:val="single" w:color="auto"/>
          <w:color w:val="auto"/>
        </w:rPr>
        <w:t>GMF</w:t>
      </w:r>
      <w:r>
        <w:rPr>
          <w:rFonts w:ascii="Arial" w:cs="Arial" w:eastAsia="Arial" w:hAnsi="Arial"/>
          <w:sz w:val="15"/>
          <w:szCs w:val="15"/>
          <w:color w:val="auto"/>
        </w:rPr>
        <w:t>”), General Motors do Brasil Ltda., a Brazilian limited liability company (“</w:t>
      </w:r>
      <w:r>
        <w:rPr>
          <w:rFonts w:ascii="Arial" w:cs="Arial" w:eastAsia="Arial" w:hAnsi="Arial"/>
          <w:sz w:val="15"/>
          <w:szCs w:val="15"/>
          <w:u w:val="single" w:color="auto"/>
          <w:color w:val="auto"/>
        </w:rPr>
        <w:t>GMB</w:t>
      </w:r>
      <w:r>
        <w:rPr>
          <w:rFonts w:ascii="Arial" w:cs="Arial" w:eastAsia="Arial" w:hAnsi="Arial"/>
          <w:sz w:val="15"/>
          <w:szCs w:val="15"/>
          <w:color w:val="auto"/>
        </w:rPr>
        <w:t>), the other Subsidiary Borrowers from time to time parties thereto, the Lenders, the Administrative Agent, Banco do Brasil, as Brazilian Administrative Agent, and the other agents named therein, the Company [has][and certain of its Subsidiaries (collectively, the “</w:t>
      </w:r>
      <w:r>
        <w:rPr>
          <w:rFonts w:ascii="Arial" w:cs="Arial" w:eastAsia="Arial" w:hAnsi="Arial"/>
          <w:sz w:val="15"/>
          <w:szCs w:val="15"/>
          <w:u w:val="single" w:color="auto"/>
          <w:color w:val="auto"/>
        </w:rPr>
        <w:t>Subsidiary Guarantors</w:t>
      </w:r>
      <w:r>
        <w:rPr>
          <w:rFonts w:ascii="Arial" w:cs="Arial" w:eastAsia="Arial" w:hAnsi="Arial"/>
          <w:sz w:val="15"/>
          <w:szCs w:val="15"/>
          <w:color w:val="auto"/>
        </w:rPr>
        <w:t>”; and, together with the Company and the other Persons party to the Guarantee Agreement (as defined below) as guarantors, collectively, the “</w:t>
      </w:r>
      <w:r>
        <w:rPr>
          <w:rFonts w:ascii="Arial" w:cs="Arial" w:eastAsia="Arial" w:hAnsi="Arial"/>
          <w:sz w:val="15"/>
          <w:szCs w:val="15"/>
          <w:u w:val="single" w:color="auto"/>
          <w:color w:val="auto"/>
        </w:rPr>
        <w:t>Guarantors</w:t>
      </w:r>
      <w:r>
        <w:rPr>
          <w:rFonts w:ascii="Arial" w:cs="Arial" w:eastAsia="Arial" w:hAnsi="Arial"/>
          <w:sz w:val="15"/>
          <w:szCs w:val="15"/>
          <w:color w:val="auto"/>
        </w:rPr>
        <w:t>”), have] entered into the Guarantee Agreement, dated as of October 17, 2014 (as amended, restated, amended and restated, renewed, supplemented or otherwise modified from time to time, the “</w:t>
      </w:r>
      <w:r>
        <w:rPr>
          <w:rFonts w:ascii="Arial" w:cs="Arial" w:eastAsia="Arial" w:hAnsi="Arial"/>
          <w:sz w:val="15"/>
          <w:szCs w:val="15"/>
          <w:u w:val="single" w:color="auto"/>
          <w:color w:val="auto"/>
        </w:rPr>
        <w:t>Guarantee Agreement</w:t>
      </w:r>
      <w:r>
        <w:rPr>
          <w:rFonts w:ascii="Arial" w:cs="Arial" w:eastAsia="Arial" w:hAnsi="Arial"/>
          <w:sz w:val="15"/>
          <w:szCs w:val="15"/>
          <w:color w:val="auto"/>
        </w:rPr>
        <w:t>”); and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 xml:space="preserve">WHEREAS, the Additional Guarantor desires to become a party to the Guarantee Agreement in accordance with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of the Guarantee Agreement;</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NOW, THEREFORE, IT IS AGREED:</w:t>
      </w:r>
    </w:p>
    <w:p>
      <w:pPr>
        <w:spacing w:after="0" w:line="181" w:lineRule="exact"/>
        <w:rPr>
          <w:sz w:val="20"/>
          <w:szCs w:val="20"/>
          <w:color w:val="auto"/>
        </w:rPr>
      </w:pPr>
    </w:p>
    <w:p>
      <w:pPr>
        <w:jc w:val="both"/>
        <w:ind w:firstLine="1072"/>
        <w:spacing w:after="0" w:line="285" w:lineRule="auto"/>
        <w:tabs>
          <w:tab w:leader="none" w:pos="1248" w:val="left"/>
        </w:tabs>
        <w:numPr>
          <w:ilvl w:val="0"/>
          <w:numId w:val="285"/>
        </w:numPr>
        <w:rPr>
          <w:rFonts w:ascii="Arial" w:cs="Arial" w:eastAsia="Arial" w:hAnsi="Arial"/>
          <w:sz w:val="15"/>
          <w:szCs w:val="15"/>
          <w:color w:val="auto"/>
        </w:rPr>
      </w:pPr>
      <w:r>
        <w:rPr>
          <w:rFonts w:ascii="Arial" w:cs="Arial" w:eastAsia="Arial" w:hAnsi="Arial"/>
          <w:sz w:val="15"/>
          <w:szCs w:val="15"/>
          <w:u w:val="single" w:color="auto"/>
          <w:color w:val="auto"/>
        </w:rPr>
        <w:t>Guarantee Agreement</w:t>
      </w:r>
      <w:r>
        <w:rPr>
          <w:rFonts w:ascii="Arial" w:cs="Arial" w:eastAsia="Arial" w:hAnsi="Arial"/>
          <w:sz w:val="15"/>
          <w:szCs w:val="15"/>
          <w:color w:val="auto"/>
        </w:rPr>
        <w:t xml:space="preserve">. By executing and delivering this Joinder Agreement, the Additional Guarantor, as provided in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5-Year Guarantee Agreement</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ectPr>
          <w:pgSz w:w="11900" w:h="16838" w:orient="portrait"/>
          <w:cols w:equalWidth="0" w:num="1">
            <w:col w:w="11460"/>
          </w:cols>
          <w:pgMar w:left="220" w:top="690" w:right="219" w:bottom="1440" w:gutter="0" w:footer="0" w:header="0"/>
        </w:sectPr>
      </w:pPr>
    </w:p>
    <w:bookmarkStart w:id="325" w:name="page326"/>
    <w:bookmarkEnd w:id="325"/>
    <w:p>
      <w:pPr>
        <w:ind w:firstLine="1072"/>
        <w:spacing w:after="0" w:line="280" w:lineRule="auto"/>
        <w:tabs>
          <w:tab w:leader="none" w:pos="1248"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THIS JOINDER AGREEMENT AND THE RIGHTS AND OBLIGATIONS OF THE PARTIES HEREUNDER SHALL BE GOVERNED BY, AND CONSTRUED AND INTERPRETED IN ACCORDANCE WITH, THE LAW OF THE STATE OF NEW YORK.</w:t>
      </w:r>
    </w:p>
    <w:p>
      <w:pPr>
        <w:spacing w:after="0" w:line="331"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ectPr>
          <w:pgSz w:w="11900" w:h="16838" w:orient="portrait"/>
          <w:cols w:equalWidth="0" w:num="1">
            <w:col w:w="11460"/>
          </w:cols>
          <w:pgMar w:left="220" w:top="497" w:right="219" w:bottom="1440" w:gutter="0" w:footer="0" w:header="0"/>
        </w:sectPr>
      </w:pPr>
    </w:p>
    <w:bookmarkStart w:id="326" w:name="page327"/>
    <w:bookmarkEnd w:id="326"/>
    <w:p>
      <w:pPr>
        <w:jc w:val="right"/>
        <w:spacing w:after="0"/>
        <w:rPr>
          <w:sz w:val="20"/>
          <w:szCs w:val="20"/>
          <w:color w:val="auto"/>
        </w:rPr>
      </w:pPr>
      <w:r>
        <w:rPr>
          <w:rFonts w:ascii="Arial" w:cs="Arial" w:eastAsia="Arial" w:hAnsi="Arial"/>
          <w:sz w:val="16"/>
          <w:szCs w:val="16"/>
          <w:color w:val="auto"/>
        </w:rPr>
        <w:t>IN WITNESS WHEREOF, the undersigned has caused this Joinder Agreement to be duly executed and delivered as of the date first above written.</w:t>
      </w:r>
    </w:p>
    <w:p>
      <w:pPr>
        <w:spacing w:after="0" w:line="200" w:lineRule="exact"/>
        <w:rPr>
          <w:sz w:val="20"/>
          <w:szCs w:val="20"/>
          <w:color w:val="auto"/>
        </w:rPr>
      </w:pPr>
    </w:p>
    <w:p>
      <w:pPr>
        <w:spacing w:after="0" w:line="30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[ADDITIONAL GUARANTOR]</w:t>
      </w:r>
    </w:p>
    <w:p>
      <w:pPr>
        <w:spacing w:after="0" w:line="314"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By:________________________</w:t>
      </w:r>
    </w:p>
    <w:p>
      <w:pPr>
        <w:spacing w:after="0" w:line="49"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ectPr>
          <w:pgSz w:w="11900" w:h="16838" w:orient="portrait"/>
          <w:cols w:equalWidth="0" w:num="1">
            <w:col w:w="10600"/>
          </w:cols>
          <w:pgMar w:left="220" w:top="501" w:right="1079" w:bottom="1440" w:gutter="0" w:footer="0" w:header="0"/>
        </w:sectPr>
      </w:pPr>
    </w:p>
    <w:bookmarkStart w:id="327" w:name="page328"/>
    <w:bookmarkEnd w:id="327"/>
    <w:p>
      <w:pPr>
        <w:spacing w:after="0"/>
        <w:rPr>
          <w:sz w:val="20"/>
          <w:szCs w:val="20"/>
          <w:color w:val="auto"/>
        </w:rPr>
      </w:pPr>
      <w:r>
        <w:rPr>
          <w:rFonts w:ascii="Arial" w:cs="Arial" w:eastAsia="Arial" w:hAnsi="Arial"/>
          <w:sz w:val="16"/>
          <w:szCs w:val="16"/>
          <w:color w:val="auto"/>
        </w:rPr>
        <w:t>ACCEPTED AND AGREED TO</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SET FORTH ABOVE: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JPMORGAN CHASE BANK, N.A., </w:t>
      </w:r>
      <w:r>
        <w:rPr>
          <w:rFonts w:ascii="Arial" w:cs="Arial" w:eastAsia="Arial" w:hAnsi="Arial"/>
          <w:sz w:val="15"/>
          <w:szCs w:val="15"/>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509265-1725-Active.16561492</w:t>
      </w:r>
    </w:p>
    <w:p>
      <w:pPr>
        <w:sectPr>
          <w:pgSz w:w="11900" w:h="16838" w:orient="portrait"/>
          <w:cols w:equalWidth="0" w:num="1">
            <w:col w:w="10239"/>
          </w:cols>
          <w:pgMar w:left="220" w:top="690" w:right="1440" w:bottom="1440" w:gutter="0" w:footer="0" w:header="0"/>
        </w:sectPr>
      </w:pPr>
    </w:p>
    <w:bookmarkStart w:id="328" w:name="page329"/>
    <w:bookmarkEnd w:id="328"/>
    <w:p>
      <w:pPr>
        <w:jc w:val="center"/>
        <w:ind w:left="9220"/>
        <w:spacing w:after="0"/>
        <w:rPr>
          <w:sz w:val="20"/>
          <w:szCs w:val="20"/>
          <w:color w:val="auto"/>
        </w:rPr>
      </w:pPr>
      <w:r>
        <w:rPr>
          <w:rFonts w:ascii="Arial" w:cs="Arial" w:eastAsia="Arial" w:hAnsi="Arial"/>
          <w:sz w:val="18"/>
          <w:szCs w:val="18"/>
          <w:b w:val="1"/>
          <w:bCs w:val="1"/>
          <w:color w:val="auto"/>
        </w:rPr>
        <w:t>EXHIBIT B</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6"/>
          <w:szCs w:val="16"/>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020"/>
          </w:cols>
          <w:pgMar w:left="220" w:top="626" w:right="659" w:bottom="1440" w:gutter="0" w:footer="0" w:header="0"/>
        </w:sectPr>
      </w:pPr>
    </w:p>
    <w:bookmarkStart w:id="329" w:name="page330"/>
    <w:bookmarkEnd w:id="329"/>
    <w:p>
      <w:pPr>
        <w:jc w:val="center"/>
        <w:ind w:left="9240"/>
        <w:spacing w:after="0"/>
        <w:rPr>
          <w:sz w:val="20"/>
          <w:szCs w:val="20"/>
          <w:color w:val="auto"/>
        </w:rPr>
      </w:pPr>
      <w:r>
        <w:rPr>
          <w:rFonts w:ascii="Arial" w:cs="Arial" w:eastAsia="Arial" w:hAnsi="Arial"/>
          <w:sz w:val="18"/>
          <w:szCs w:val="18"/>
          <w:b w:val="1"/>
          <w:bCs w:val="1"/>
          <w:color w:val="auto"/>
        </w:rPr>
        <w:t>EXHIBIT C</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 REQUEST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 North America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Emily.cousineau@jpmorgan.com</w:t>
      </w:r>
    </w:p>
    <w:p>
      <w:pPr>
        <w:spacing w:after="0" w:line="3" w:lineRule="exact"/>
        <w:rPr>
          <w:sz w:val="20"/>
          <w:szCs w:val="20"/>
          <w:color w:val="auto"/>
        </w:rPr>
      </w:pPr>
    </w:p>
    <w:p>
      <w:pPr>
        <w:ind w:right="9500" w:firstLine="9"/>
        <w:spacing w:after="0" w:line="274" w:lineRule="auto"/>
        <w:tabs>
          <w:tab w:leader="none" w:pos="42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634-8612 (telephone) Attn: Emily Cousineau</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_________, 20__</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36" w:lineRule="exact"/>
        <w:rPr>
          <w:sz w:val="20"/>
          <w:szCs w:val="20"/>
          <w:color w:val="auto"/>
        </w:rPr>
      </w:pPr>
    </w:p>
    <w:p>
      <w:pPr>
        <w:jc w:val="both"/>
        <w:ind w:firstLine="1063"/>
        <w:spacing w:after="0" w:line="262" w:lineRule="auto"/>
        <w:rPr>
          <w:sz w:val="20"/>
          <w:szCs w:val="20"/>
          <w:color w:val="auto"/>
        </w:rPr>
      </w:pPr>
      <w:r>
        <w:rPr>
          <w:rFonts w:ascii="Arial" w:cs="Arial" w:eastAsia="Arial" w:hAnsi="Arial"/>
          <w:sz w:val="16"/>
          <w:szCs w:val="16"/>
          <w:color w:val="auto"/>
        </w:rPr>
        <w:t>The undersigned,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[and General Motors Company, a Delaware corporation (“</w:t>
      </w:r>
      <w:r>
        <w:rPr>
          <w:rFonts w:ascii="Arial" w:cs="Arial" w:eastAsia="Arial" w:hAnsi="Arial"/>
          <w:sz w:val="16"/>
          <w:szCs w:val="16"/>
          <w:u w:val="single" w:color="auto"/>
          <w:color w:val="auto"/>
        </w:rPr>
        <w:t>Company/Applicable Borrower”)]</w:t>
      </w:r>
      <w:r>
        <w:rPr>
          <w:rFonts w:ascii="Arial" w:cs="Arial" w:eastAsia="Arial" w:hAnsi="Arial"/>
          <w:sz w:val="21"/>
          <w:szCs w:val="21"/>
          <w:u w:val="single" w:color="auto"/>
          <w:color w:val="auto"/>
          <w:vertAlign w:val="superscript"/>
        </w:rPr>
        <w:t>1</w:t>
      </w:r>
      <w:r>
        <w:rPr>
          <w:rFonts w:ascii="Arial" w:cs="Arial" w:eastAsia="Arial" w:hAnsi="Arial"/>
          <w:sz w:val="16"/>
          <w:szCs w:val="16"/>
          <w:color w:val="auto"/>
        </w:rPr>
        <w:t>, refer[s] to the Amended and Restated Five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Company/the Applicable Borrower]</w:t>
      </w:r>
      <w:r>
        <w:rPr>
          <w:rFonts w:ascii="Arial" w:cs="Arial" w:eastAsia="Arial" w:hAnsi="Arial"/>
          <w:sz w:val="21"/>
          <w:szCs w:val="21"/>
          <w:color w:val="auto"/>
          <w:vertAlign w:val="superscript"/>
        </w:rPr>
        <w:t>2</w:t>
      </w:r>
      <w:r>
        <w:rPr>
          <w:rFonts w:ascii="Arial" w:cs="Arial" w:eastAsia="Arial" w:hAnsi="Arial"/>
          <w:sz w:val="15"/>
          <w:szCs w:val="15"/>
          <w:color w:val="auto"/>
        </w:rPr>
        <w:t>, it is the “Applicable Borrower”.</w:t>
      </w:r>
      <w:r>
        <w:rPr>
          <w:rFonts w:ascii="Arial" w:cs="Arial" w:eastAsia="Arial" w:hAnsi="Arial"/>
          <w:sz w:val="16"/>
          <w:szCs w:val="16"/>
          <w:color w:val="auto"/>
        </w:rPr>
        <w:t>, General Motors Financial Company, Inc., a Texas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named therein. Capitalized terms used herein and not otherwise defined herein shall have the meanings assigned to such terms in the Credit Agreement. The Applicable Borrower and the Company hereby give you notice pursuant to Section 2.10(a) of the Credit Agreement that it requests a Competitive Loan under the Credit Agreement, and in that connection sets forth below the terms on which such Competitive Loan is requested to be made:</w:t>
      </w:r>
    </w:p>
    <w:p>
      <w:pPr>
        <w:spacing w:after="0" w:line="273" w:lineRule="exact"/>
        <w:rPr>
          <w:sz w:val="20"/>
          <w:szCs w:val="20"/>
          <w:color w:val="auto"/>
        </w:rPr>
      </w:pPr>
    </w:p>
    <w:p>
      <w:pPr>
        <w:ind w:left="900"/>
        <w:spacing w:after="0"/>
        <w:tabs>
          <w:tab w:leader="none" w:pos="1460" w:val="left"/>
          <w:tab w:leader="none" w:pos="912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6"/>
          <w:szCs w:val="16"/>
          <w:color w:val="auto"/>
        </w:rPr>
        <w:t>Currency of Competitive Loan</w:t>
      </w:r>
      <w:r>
        <w:rPr>
          <w:sz w:val="20"/>
          <w:szCs w:val="20"/>
          <w:color w:val="auto"/>
        </w:rPr>
        <w:tab/>
      </w:r>
      <w:r>
        <w:rPr>
          <w:rFonts w:ascii="Arial" w:cs="Arial" w:eastAsia="Arial" w:hAnsi="Arial"/>
          <w:sz w:val="13"/>
          <w:szCs w:val="13"/>
          <w:color w:val="auto"/>
        </w:rPr>
        <w:t>]</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-8255</wp:posOffset>
            </wp:positionV>
            <wp:extent cx="128841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8415" cy="6985"/>
                    </a:xfrm>
                    <a:prstGeom prst="rect">
                      <a:avLst/>
                    </a:prstGeom>
                    <a:noFill/>
                  </pic:spPr>
                </pic:pic>
              </a:graphicData>
            </a:graphic>
          </wp:anchor>
        </w:drawing>
      </w:r>
    </w:p>
    <w:p>
      <w:pPr>
        <w:spacing w:after="0" w:line="206" w:lineRule="exact"/>
        <w:rPr>
          <w:sz w:val="20"/>
          <w:szCs w:val="20"/>
          <w:color w:val="auto"/>
        </w:rPr>
      </w:pPr>
    </w:p>
    <w:p>
      <w:pPr>
        <w:ind w:left="1480" w:hanging="585"/>
        <w:spacing w:after="0"/>
        <w:tabs>
          <w:tab w:leader="none" w:pos="1480" w:val="left"/>
        </w:tabs>
        <w:numPr>
          <w:ilvl w:val="0"/>
          <w:numId w:val="288"/>
        </w:numPr>
        <w:rPr>
          <w:rFonts w:ascii="Arial" w:cs="Arial" w:eastAsia="Arial" w:hAnsi="Arial"/>
          <w:sz w:val="15"/>
          <w:szCs w:val="15"/>
          <w:color w:val="auto"/>
        </w:rPr>
      </w:pPr>
      <w:r>
        <w:rPr>
          <w:rFonts w:ascii="Arial" w:cs="Arial" w:eastAsia="Arial" w:hAnsi="Arial"/>
          <w:sz w:val="16"/>
          <w:szCs w:val="16"/>
          <w:color w:val="auto"/>
        </w:rPr>
        <w:t>Date of Competitive Loan (which is a Business Day)</w:t>
      </w:r>
    </w:p>
    <w:p>
      <w:pPr>
        <w:spacing w:after="0" w:line="225" w:lineRule="exact"/>
        <w:rPr>
          <w:rFonts w:ascii="Arial" w:cs="Arial" w:eastAsia="Arial" w:hAnsi="Arial"/>
          <w:sz w:val="15"/>
          <w:szCs w:val="15"/>
          <w:color w:val="auto"/>
        </w:rPr>
      </w:pPr>
    </w:p>
    <w:p>
      <w:pPr>
        <w:ind w:left="1480" w:hanging="585"/>
        <w:spacing w:after="0"/>
        <w:tabs>
          <w:tab w:leader="none" w:pos="1480" w:val="left"/>
        </w:tabs>
        <w:numPr>
          <w:ilvl w:val="0"/>
          <w:numId w:val="288"/>
        </w:numPr>
        <w:rPr>
          <w:rFonts w:ascii="Arial" w:cs="Arial" w:eastAsia="Arial" w:hAnsi="Arial"/>
          <w:sz w:val="15"/>
          <w:szCs w:val="15"/>
          <w:color w:val="auto"/>
        </w:rPr>
      </w:pPr>
      <w:r>
        <w:rPr>
          <w:rFonts w:ascii="Arial" w:cs="Arial" w:eastAsia="Arial" w:hAnsi="Arial"/>
          <w:sz w:val="16"/>
          <w:szCs w:val="16"/>
          <w:color w:val="auto"/>
        </w:rPr>
        <w:t>Principal Amount of Competitive Loan</w:t>
      </w:r>
      <w:r>
        <w:rPr>
          <w:rFonts w:ascii="Arial" w:cs="Arial" w:eastAsia="Arial" w:hAnsi="Arial"/>
          <w:sz w:val="20"/>
          <w:szCs w:val="20"/>
          <w:color w:val="auto"/>
          <w:vertAlign w:val="superscript"/>
        </w:rPr>
        <w:t>4</w:t>
      </w:r>
    </w:p>
    <w:p>
      <w:pPr>
        <w:spacing w:after="0" w:line="179" w:lineRule="exact"/>
        <w:rPr>
          <w:rFonts w:ascii="Arial" w:cs="Arial" w:eastAsia="Arial" w:hAnsi="Arial"/>
          <w:sz w:val="15"/>
          <w:szCs w:val="15"/>
          <w:color w:val="auto"/>
        </w:rPr>
      </w:pPr>
    </w:p>
    <w:p>
      <w:pPr>
        <w:ind w:left="1480" w:hanging="585"/>
        <w:spacing w:after="0"/>
        <w:tabs>
          <w:tab w:leader="none" w:pos="1480" w:val="left"/>
        </w:tabs>
        <w:numPr>
          <w:ilvl w:val="0"/>
          <w:numId w:val="288"/>
        </w:numPr>
        <w:rPr>
          <w:rFonts w:ascii="Arial" w:cs="Arial" w:eastAsia="Arial" w:hAnsi="Arial"/>
          <w:sz w:val="15"/>
          <w:szCs w:val="15"/>
          <w:color w:val="auto"/>
        </w:rPr>
      </w:pPr>
      <w:r>
        <w:rPr>
          <w:rFonts w:ascii="Arial" w:cs="Arial" w:eastAsia="Arial" w:hAnsi="Arial"/>
          <w:sz w:val="16"/>
          <w:szCs w:val="16"/>
          <w:color w:val="auto"/>
        </w:rPr>
        <w:t>Interest rate basis</w:t>
      </w:r>
      <w:r>
        <w:rPr>
          <w:rFonts w:ascii="Arial" w:cs="Arial" w:eastAsia="Arial" w:hAnsi="Arial"/>
          <w:sz w:val="20"/>
          <w:szCs w:val="20"/>
          <w:color w:val="auto"/>
          <w:vertAlign w:val="superscript"/>
        </w:rPr>
        <w:t>5</w:t>
      </w:r>
    </w:p>
    <w:p>
      <w:pPr>
        <w:spacing w:after="0" w:line="179" w:lineRule="exact"/>
        <w:rPr>
          <w:rFonts w:ascii="Arial" w:cs="Arial" w:eastAsia="Arial" w:hAnsi="Arial"/>
          <w:sz w:val="15"/>
          <w:szCs w:val="15"/>
          <w:color w:val="auto"/>
        </w:rPr>
      </w:pPr>
    </w:p>
    <w:p>
      <w:pPr>
        <w:ind w:left="1480" w:hanging="585"/>
        <w:spacing w:after="0"/>
        <w:tabs>
          <w:tab w:leader="none" w:pos="1480" w:val="left"/>
        </w:tabs>
        <w:numPr>
          <w:ilvl w:val="0"/>
          <w:numId w:val="288"/>
        </w:numPr>
        <w:rPr>
          <w:rFonts w:ascii="Arial" w:cs="Arial" w:eastAsia="Arial" w:hAnsi="Arial"/>
          <w:sz w:val="15"/>
          <w:szCs w:val="15"/>
          <w:color w:val="auto"/>
        </w:rPr>
      </w:pPr>
      <w:r>
        <w:rPr>
          <w:rFonts w:ascii="Arial" w:cs="Arial" w:eastAsia="Arial" w:hAnsi="Arial"/>
          <w:sz w:val="16"/>
          <w:szCs w:val="16"/>
          <w:color w:val="auto"/>
        </w:rPr>
        <w:t>Interest Period and the last day thereof</w:t>
      </w:r>
      <w:r>
        <w:rPr>
          <w:rFonts w:ascii="Arial" w:cs="Arial" w:eastAsia="Arial" w:hAnsi="Arial"/>
          <w:sz w:val="20"/>
          <w:szCs w:val="20"/>
          <w:color w:val="auto"/>
          <w:vertAlign w:val="superscript"/>
        </w:rPr>
        <w:t>6</w:t>
      </w:r>
    </w:p>
    <w:p>
      <w:pPr>
        <w:spacing w:after="0" w:line="179" w:lineRule="exact"/>
        <w:rPr>
          <w:rFonts w:ascii="Arial" w:cs="Arial" w:eastAsia="Arial" w:hAnsi="Arial"/>
          <w:sz w:val="15"/>
          <w:szCs w:val="15"/>
          <w:color w:val="auto"/>
        </w:rPr>
      </w:pPr>
    </w:p>
    <w:p>
      <w:pPr>
        <w:ind w:left="1480" w:hanging="585"/>
        <w:spacing w:after="0"/>
        <w:tabs>
          <w:tab w:leader="none" w:pos="1480" w:val="left"/>
        </w:tabs>
        <w:numPr>
          <w:ilvl w:val="0"/>
          <w:numId w:val="288"/>
        </w:numPr>
        <w:rPr>
          <w:rFonts w:ascii="Arial" w:cs="Arial" w:eastAsia="Arial" w:hAnsi="Arial"/>
          <w:sz w:val="15"/>
          <w:szCs w:val="15"/>
          <w:color w:val="auto"/>
        </w:rPr>
      </w:pPr>
      <w:r>
        <w:rPr>
          <w:rFonts w:ascii="Arial" w:cs="Arial" w:eastAsia="Arial" w:hAnsi="Arial"/>
          <w:sz w:val="16"/>
          <w:szCs w:val="16"/>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-1049020</wp:posOffset>
            </wp:positionV>
            <wp:extent cx="131381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13815" cy="698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-789305</wp:posOffset>
            </wp:positionV>
            <wp:extent cx="131381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13815" cy="698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-528955</wp:posOffset>
            </wp:positionV>
            <wp:extent cx="131381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13815" cy="698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-268605</wp:posOffset>
            </wp:positionV>
            <wp:extent cx="131381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13815" cy="698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-8255</wp:posOffset>
            </wp:positionV>
            <wp:extent cx="131381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138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______________________________________________</w:t>
      </w:r>
    </w:p>
    <w:p>
      <w:pPr>
        <w:spacing w:after="0" w:line="113" w:lineRule="exact"/>
        <w:rPr>
          <w:sz w:val="20"/>
          <w:szCs w:val="20"/>
          <w:color w:val="auto"/>
        </w:rPr>
      </w:pPr>
    </w:p>
    <w:p>
      <w:pPr>
        <w:ind w:left="100" w:hanging="91"/>
        <w:spacing w:after="0"/>
        <w:tabs>
          <w:tab w:leader="none" w:pos="100" w:val="left"/>
        </w:tabs>
        <w:numPr>
          <w:ilvl w:val="0"/>
          <w:numId w:val="289"/>
        </w:numPr>
        <w:rPr>
          <w:rFonts w:ascii="Arial" w:cs="Arial" w:eastAsia="Arial" w:hAnsi="Arial"/>
          <w:sz w:val="21"/>
          <w:szCs w:val="21"/>
          <w:color w:val="auto"/>
          <w:vertAlign w:val="superscript"/>
        </w:rPr>
      </w:pPr>
      <w:r>
        <w:rPr>
          <w:rFonts w:ascii="Arial" w:cs="Arial" w:eastAsia="Arial" w:hAnsi="Arial"/>
          <w:sz w:val="16"/>
          <w:szCs w:val="16"/>
          <w:color w:val="auto"/>
        </w:rPr>
        <w:t>Insert if the Company is not the Applicable Borrower.</w:t>
      </w:r>
    </w:p>
    <w:p>
      <w:pPr>
        <w:spacing w:after="0" w:line="36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626" w:right="219" w:bottom="1440" w:gutter="0" w:footer="0" w:header="0"/>
        </w:sectPr>
      </w:pPr>
    </w:p>
    <w:bookmarkStart w:id="330" w:name="page331"/>
    <w:bookmarkEnd w:id="330"/>
    <w:p>
      <w:pPr>
        <w:ind w:firstLine="1063"/>
        <w:spacing w:after="0" w:line="293" w:lineRule="auto"/>
        <w:rPr>
          <w:sz w:val="20"/>
          <w:szCs w:val="20"/>
          <w:color w:val="auto"/>
        </w:rPr>
      </w:pPr>
      <w:r>
        <w:rPr>
          <w:rFonts w:ascii="Arial" w:cs="Arial" w:eastAsia="Arial" w:hAnsi="Arial"/>
          <w:sz w:val="17"/>
          <w:szCs w:val="17"/>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240"/>
        <w:spacing w:after="0"/>
        <w:rPr>
          <w:sz w:val="20"/>
          <w:szCs w:val="20"/>
          <w:color w:val="auto"/>
        </w:rPr>
      </w:pPr>
      <w:r>
        <w:rPr>
          <w:rFonts w:ascii="Arial" w:cs="Arial" w:eastAsia="Arial" w:hAnsi="Arial"/>
          <w:sz w:val="15"/>
          <w:szCs w:val="15"/>
          <w:color w:val="auto"/>
        </w:rPr>
        <w:t>Very truly yours,</w:t>
      </w:r>
    </w:p>
    <w:p>
      <w:pPr>
        <w:spacing w:after="0" w:line="30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INSERT NAME OF APPLICABLE BORROWER]</w:t>
      </w:r>
    </w:p>
    <w:p>
      <w:pPr>
        <w:spacing w:after="0" w:line="200" w:lineRule="exact"/>
        <w:rPr>
          <w:sz w:val="20"/>
          <w:szCs w:val="20"/>
          <w:color w:val="auto"/>
        </w:rPr>
      </w:pPr>
    </w:p>
    <w:p>
      <w:pPr>
        <w:spacing w:after="0" w:line="286"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By:_____________________________</w:t>
      </w:r>
    </w:p>
    <w:p>
      <w:pPr>
        <w:spacing w:after="0" w:line="4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Title:</w:t>
      </w:r>
    </w:p>
    <w:p>
      <w:pPr>
        <w:spacing w:after="0" w:line="30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By:_____________________________</w:t>
      </w:r>
    </w:p>
    <w:p>
      <w:pPr>
        <w:spacing w:after="0" w:line="4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w:t>
      </w:r>
    </w:p>
    <w:p>
      <w:pPr>
        <w:spacing w:after="0" w:line="54" w:lineRule="exact"/>
        <w:rPr>
          <w:sz w:val="20"/>
          <w:szCs w:val="20"/>
          <w:color w:val="auto"/>
        </w:rPr>
      </w:pPr>
    </w:p>
    <w:p>
      <w:pPr>
        <w:ind w:left="100" w:hanging="91"/>
        <w:spacing w:after="0"/>
        <w:tabs>
          <w:tab w:leader="none" w:pos="100" w:val="left"/>
        </w:tabs>
        <w:numPr>
          <w:ilvl w:val="0"/>
          <w:numId w:val="290"/>
        </w:numPr>
        <w:rPr>
          <w:rFonts w:ascii="Arial" w:cs="Arial" w:eastAsia="Arial" w:hAnsi="Arial"/>
          <w:sz w:val="21"/>
          <w:szCs w:val="21"/>
          <w:color w:val="auto"/>
          <w:vertAlign w:val="superscript"/>
        </w:rPr>
      </w:pPr>
      <w:r>
        <w:rPr>
          <w:rFonts w:ascii="Arial" w:cs="Arial" w:eastAsia="Arial" w:hAnsi="Arial"/>
          <w:sz w:val="16"/>
          <w:szCs w:val="16"/>
          <w:color w:val="auto"/>
        </w:rPr>
        <w:t>If Bid Requested from the Company, it is the "Applicable Borrower".</w:t>
      </w:r>
    </w:p>
    <w:p>
      <w:pPr>
        <w:spacing w:after="0" w:line="124" w:lineRule="exact"/>
        <w:rPr>
          <w:sz w:val="20"/>
          <w:szCs w:val="20"/>
          <w:color w:val="auto"/>
        </w:rPr>
      </w:pPr>
    </w:p>
    <w:p>
      <w:pPr>
        <w:ind w:left="100" w:hanging="91"/>
        <w:spacing w:after="0"/>
        <w:tabs>
          <w:tab w:leader="none" w:pos="100" w:val="left"/>
        </w:tabs>
        <w:numPr>
          <w:ilvl w:val="0"/>
          <w:numId w:val="291"/>
        </w:numPr>
        <w:rPr>
          <w:rFonts w:ascii="Arial" w:cs="Arial" w:eastAsia="Arial" w:hAnsi="Arial"/>
          <w:sz w:val="21"/>
          <w:szCs w:val="21"/>
          <w:color w:val="auto"/>
          <w:vertAlign w:val="superscript"/>
        </w:rPr>
      </w:pPr>
      <w:r>
        <w:rPr>
          <w:rFonts w:ascii="Arial" w:cs="Arial" w:eastAsia="Arial" w:hAnsi="Arial"/>
          <w:sz w:val="16"/>
          <w:szCs w:val="16"/>
          <w:color w:val="auto"/>
        </w:rPr>
        <w:t>In the case of Multicurrency Competitive Loan only.</w:t>
      </w:r>
    </w:p>
    <w:p>
      <w:pPr>
        <w:spacing w:after="0" w:line="124" w:lineRule="exact"/>
        <w:rPr>
          <w:sz w:val="20"/>
          <w:szCs w:val="20"/>
          <w:color w:val="auto"/>
        </w:rPr>
      </w:pPr>
    </w:p>
    <w:p>
      <w:pPr>
        <w:ind w:left="100" w:hanging="91"/>
        <w:spacing w:after="0"/>
        <w:tabs>
          <w:tab w:leader="none" w:pos="100" w:val="left"/>
        </w:tabs>
        <w:numPr>
          <w:ilvl w:val="0"/>
          <w:numId w:val="292"/>
        </w:numPr>
        <w:rPr>
          <w:rFonts w:ascii="Arial" w:cs="Arial" w:eastAsia="Arial" w:hAnsi="Arial"/>
          <w:sz w:val="21"/>
          <w:szCs w:val="21"/>
          <w:color w:val="auto"/>
          <w:vertAlign w:val="superscript"/>
        </w:rPr>
      </w:pPr>
      <w:r>
        <w:rPr>
          <w:rFonts w:ascii="Arial" w:cs="Arial" w:eastAsia="Arial" w:hAnsi="Arial"/>
          <w:sz w:val="16"/>
          <w:szCs w:val="16"/>
          <w:color w:val="auto"/>
        </w:rPr>
        <w:t>Not less than $25,000,000 or Dollar Equivalent thereof.</w:t>
      </w:r>
    </w:p>
    <w:p>
      <w:pPr>
        <w:spacing w:after="0" w:line="124" w:lineRule="exact"/>
        <w:rPr>
          <w:sz w:val="20"/>
          <w:szCs w:val="20"/>
          <w:color w:val="auto"/>
        </w:rPr>
      </w:pPr>
    </w:p>
    <w:p>
      <w:pPr>
        <w:ind w:left="100" w:hanging="91"/>
        <w:spacing w:after="0"/>
        <w:tabs>
          <w:tab w:leader="none" w:pos="100" w:val="left"/>
        </w:tabs>
        <w:numPr>
          <w:ilvl w:val="0"/>
          <w:numId w:val="293"/>
        </w:numPr>
        <w:rPr>
          <w:rFonts w:ascii="Arial" w:cs="Arial" w:eastAsia="Arial" w:hAnsi="Arial"/>
          <w:sz w:val="21"/>
          <w:szCs w:val="21"/>
          <w:color w:val="auto"/>
          <w:vertAlign w:val="superscript"/>
        </w:rPr>
      </w:pPr>
      <w:r>
        <w:rPr>
          <w:rFonts w:ascii="Arial" w:cs="Arial" w:eastAsia="Arial" w:hAnsi="Arial"/>
          <w:sz w:val="16"/>
          <w:szCs w:val="16"/>
          <w:color w:val="auto"/>
        </w:rPr>
        <w:t>Eurocurrency Competitive Loan or Fixed Rate Loan.</w:t>
      </w:r>
    </w:p>
    <w:p>
      <w:pPr>
        <w:spacing w:after="0" w:line="124" w:lineRule="exact"/>
        <w:rPr>
          <w:sz w:val="20"/>
          <w:szCs w:val="20"/>
          <w:color w:val="auto"/>
        </w:rPr>
      </w:pPr>
    </w:p>
    <w:p>
      <w:pPr>
        <w:ind w:left="100" w:hanging="91"/>
        <w:spacing w:after="0"/>
        <w:tabs>
          <w:tab w:leader="none" w:pos="100" w:val="left"/>
        </w:tabs>
        <w:numPr>
          <w:ilvl w:val="0"/>
          <w:numId w:val="294"/>
        </w:numPr>
        <w:rPr>
          <w:rFonts w:ascii="Arial" w:cs="Arial" w:eastAsia="Arial" w:hAnsi="Arial"/>
          <w:sz w:val="21"/>
          <w:szCs w:val="21"/>
          <w:color w:val="auto"/>
          <w:vertAlign w:val="superscript"/>
        </w:rPr>
      </w:pPr>
      <w:r>
        <w:rPr>
          <w:rFonts w:ascii="Arial" w:cs="Arial" w:eastAsia="Arial" w:hAnsi="Arial"/>
          <w:sz w:val="16"/>
          <w:szCs w:val="16"/>
          <w:color w:val="auto"/>
        </w:rPr>
        <w:t>Which shall be subject to the definition of “Interest Period” and end on or before the Termination Date applicable to such Facility for such Lender.</w:t>
      </w:r>
    </w:p>
    <w:p>
      <w:pPr>
        <w:spacing w:after="0" w:line="36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40"/>
          </w:cols>
          <w:pgMar w:left="220" w:top="1219" w:right="239" w:bottom="1440" w:gutter="0" w:footer="0" w:header="0"/>
        </w:sectPr>
      </w:pPr>
    </w:p>
    <w:bookmarkStart w:id="331" w:name="page332"/>
    <w:bookmarkEnd w:id="331"/>
    <w:p>
      <w:pPr>
        <w:jc w:val="center"/>
        <w:ind w:left="9240"/>
        <w:spacing w:after="0"/>
        <w:rPr>
          <w:sz w:val="20"/>
          <w:szCs w:val="20"/>
          <w:color w:val="auto"/>
        </w:rPr>
      </w:pPr>
      <w:r>
        <w:rPr>
          <w:rFonts w:ascii="Arial" w:cs="Arial" w:eastAsia="Arial" w:hAnsi="Arial"/>
          <w:sz w:val="18"/>
          <w:szCs w:val="18"/>
          <w:b w:val="1"/>
          <w:bCs w:val="1"/>
          <w:color w:val="auto"/>
        </w:rPr>
        <w:t>EXHIBIT D</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COMPETITIVE BID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 North America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Emily.cousineau@jpmorgan.com</w:t>
      </w:r>
    </w:p>
    <w:p>
      <w:pPr>
        <w:spacing w:after="0" w:line="3" w:lineRule="exact"/>
        <w:rPr>
          <w:sz w:val="20"/>
          <w:szCs w:val="20"/>
          <w:color w:val="auto"/>
        </w:rPr>
      </w:pPr>
    </w:p>
    <w:p>
      <w:pPr>
        <w:ind w:right="9500" w:firstLine="9"/>
        <w:spacing w:after="0" w:line="274" w:lineRule="auto"/>
        <w:tabs>
          <w:tab w:leader="none" w:pos="428" w:val="left"/>
        </w:tabs>
        <w:numPr>
          <w:ilvl w:val="0"/>
          <w:numId w:val="295"/>
        </w:numPr>
        <w:rPr>
          <w:rFonts w:ascii="Arial" w:cs="Arial" w:eastAsia="Arial" w:hAnsi="Arial"/>
          <w:sz w:val="16"/>
          <w:szCs w:val="16"/>
          <w:color w:val="auto"/>
        </w:rPr>
      </w:pPr>
      <w:r>
        <w:rPr>
          <w:rFonts w:ascii="Arial" w:cs="Arial" w:eastAsia="Arial" w:hAnsi="Arial"/>
          <w:sz w:val="16"/>
          <w:szCs w:val="16"/>
          <w:color w:val="auto"/>
        </w:rPr>
        <w:t>634-8612 (telephone) Attn: Emily Cousineau</w:t>
      </w:r>
    </w:p>
    <w:p>
      <w:pPr>
        <w:ind w:left="540"/>
        <w:spacing w:after="0"/>
        <w:rPr>
          <w:rFonts w:ascii="Arial" w:cs="Arial" w:eastAsia="Arial" w:hAnsi="Arial"/>
          <w:sz w:val="16"/>
          <w:szCs w:val="16"/>
          <w:color w:val="auto"/>
        </w:rPr>
      </w:pPr>
      <w:r>
        <w:rPr>
          <w:rFonts w:ascii="Arial" w:cs="Arial" w:eastAsia="Arial" w:hAnsi="Arial"/>
          <w:sz w:val="18"/>
          <w:szCs w:val="18"/>
          <w:color w:val="auto"/>
        </w:rPr>
        <w:t>_________, 20__</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undersigned, [Name of Lender], refers to the Amended and Restated Five Year Revolving Credit Agreement, dated as of October 17, 2014, as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Delaware corporation, General Motors Financial Company, Inc., a Texas corporation, General Motors do Brasil Ltda., a Brazilian limited liability company,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Subsidiary Borrowers from time to time party thereto, the several banks and other financial institutions or entities from time to time party thereto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party thereto.</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Capitalized terms used herein and not otherwise defined herein shall have the meanings assigned to such terms in the Credit Agreement. The undersigned hereby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makes a Competitive Bid pursuant to Section 2.10(c) of the Credit Agreement, in response to the Competitive Bid Request made by [INSERT NAME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on _________, 20__, and in that connection sets forth below the terms on which such Competitive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Bid is made:</w:t>
      </w:r>
    </w:p>
    <w:p>
      <w:pPr>
        <w:spacing w:after="0" w:line="324" w:lineRule="exact"/>
        <w:rPr>
          <w:sz w:val="20"/>
          <w:szCs w:val="20"/>
          <w:color w:val="auto"/>
        </w:rPr>
      </w:pPr>
    </w:p>
    <w:p>
      <w:pPr>
        <w:ind w:left="900"/>
        <w:spacing w:after="0"/>
        <w:tabs>
          <w:tab w:leader="none" w:pos="1460" w:val="left"/>
          <w:tab w:leader="none" w:pos="912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6"/>
          <w:szCs w:val="16"/>
          <w:color w:val="auto"/>
        </w:rPr>
        <w:t>Currency of Competitive Loan</w:t>
      </w:r>
      <w:r>
        <w:rPr>
          <w:sz w:val="20"/>
          <w:szCs w:val="20"/>
          <w:color w:val="auto"/>
        </w:rPr>
        <w:tab/>
      </w:r>
      <w:r>
        <w:rPr>
          <w:rFonts w:ascii="Arial" w:cs="Arial" w:eastAsia="Arial" w:hAnsi="Arial"/>
          <w:sz w:val="13"/>
          <w:szCs w:val="13"/>
          <w:color w:val="auto"/>
        </w:rPr>
        <w:t xml:space="preserve">] </w:t>
      </w:r>
      <w:r>
        <w:rPr>
          <w:rFonts w:ascii="Arial" w:cs="Arial" w:eastAsia="Arial" w:hAnsi="Arial"/>
          <w:sz w:val="16"/>
          <w:szCs w:val="1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-8255</wp:posOffset>
            </wp:positionV>
            <wp:extent cx="128841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8415" cy="6985"/>
                    </a:xfrm>
                    <a:prstGeom prst="rect">
                      <a:avLst/>
                    </a:prstGeom>
                    <a:noFill/>
                  </pic:spPr>
                </pic:pic>
              </a:graphicData>
            </a:graphic>
          </wp:anchor>
        </w:drawing>
      </w:r>
    </w:p>
    <w:p>
      <w:pPr>
        <w:spacing w:after="0" w:line="206" w:lineRule="exact"/>
        <w:rPr>
          <w:sz w:val="20"/>
          <w:szCs w:val="20"/>
          <w:color w:val="auto"/>
        </w:rPr>
      </w:pPr>
    </w:p>
    <w:p>
      <w:pPr>
        <w:ind w:left="1480" w:hanging="585"/>
        <w:spacing w:after="0"/>
        <w:tabs>
          <w:tab w:leader="none" w:pos="1480" w:val="left"/>
        </w:tabs>
        <w:numPr>
          <w:ilvl w:val="0"/>
          <w:numId w:val="296"/>
        </w:numPr>
        <w:rPr>
          <w:rFonts w:ascii="Arial" w:cs="Arial" w:eastAsia="Arial" w:hAnsi="Arial"/>
          <w:sz w:val="15"/>
          <w:szCs w:val="15"/>
          <w:color w:val="auto"/>
        </w:rPr>
      </w:pPr>
      <w:r>
        <w:rPr>
          <w:rFonts w:ascii="Arial" w:cs="Arial" w:eastAsia="Arial" w:hAnsi="Arial"/>
          <w:sz w:val="16"/>
          <w:szCs w:val="16"/>
          <w:color w:val="auto"/>
        </w:rPr>
        <w:t>Date of Competitive Loan (which is a Business Day)</w:t>
      </w:r>
    </w:p>
    <w:p>
      <w:pPr>
        <w:spacing w:after="0" w:line="223" w:lineRule="exact"/>
        <w:rPr>
          <w:rFonts w:ascii="Arial" w:cs="Arial" w:eastAsia="Arial" w:hAnsi="Arial"/>
          <w:sz w:val="15"/>
          <w:szCs w:val="15"/>
          <w:color w:val="auto"/>
        </w:rPr>
      </w:pPr>
    </w:p>
    <w:p>
      <w:pPr>
        <w:ind w:left="1480" w:hanging="585"/>
        <w:spacing w:after="0"/>
        <w:tabs>
          <w:tab w:leader="none" w:pos="1480" w:val="left"/>
        </w:tabs>
        <w:numPr>
          <w:ilvl w:val="0"/>
          <w:numId w:val="296"/>
        </w:numPr>
        <w:rPr>
          <w:rFonts w:ascii="Arial" w:cs="Arial" w:eastAsia="Arial" w:hAnsi="Arial"/>
          <w:sz w:val="15"/>
          <w:szCs w:val="15"/>
          <w:color w:val="auto"/>
        </w:rPr>
      </w:pPr>
      <w:r>
        <w:rPr>
          <w:rFonts w:ascii="Arial" w:cs="Arial" w:eastAsia="Arial" w:hAnsi="Arial"/>
          <w:sz w:val="18"/>
          <w:szCs w:val="18"/>
          <w:color w:val="auto"/>
        </w:rPr>
        <w:t>Principal Amount</w:t>
      </w:r>
      <w:r>
        <w:rPr>
          <w:rFonts w:ascii="Arial" w:cs="Arial" w:eastAsia="Arial" w:hAnsi="Arial"/>
          <w:sz w:val="20"/>
          <w:szCs w:val="20"/>
          <w:color w:val="auto"/>
          <w:vertAlign w:val="superscript"/>
        </w:rPr>
        <w:t>8</w:t>
      </w:r>
    </w:p>
    <w:p>
      <w:pPr>
        <w:spacing w:after="0" w:line="368" w:lineRule="exact"/>
        <w:rPr>
          <w:rFonts w:ascii="Arial" w:cs="Arial" w:eastAsia="Arial" w:hAnsi="Arial"/>
          <w:sz w:val="15"/>
          <w:szCs w:val="15"/>
          <w:color w:val="auto"/>
        </w:rPr>
      </w:pPr>
    </w:p>
    <w:p>
      <w:pPr>
        <w:ind w:left="1480" w:hanging="585"/>
        <w:spacing w:after="0"/>
        <w:tabs>
          <w:tab w:leader="none" w:pos="1480" w:val="left"/>
        </w:tabs>
        <w:numPr>
          <w:ilvl w:val="0"/>
          <w:numId w:val="296"/>
        </w:numPr>
        <w:rPr>
          <w:rFonts w:ascii="Arial" w:cs="Arial" w:eastAsia="Arial" w:hAnsi="Arial"/>
          <w:sz w:val="15"/>
          <w:szCs w:val="15"/>
          <w:color w:val="auto"/>
        </w:rPr>
      </w:pPr>
      <w:r>
        <w:rPr>
          <w:rFonts w:ascii="Arial" w:cs="Arial" w:eastAsia="Arial" w:hAnsi="Arial"/>
          <w:sz w:val="18"/>
          <w:szCs w:val="18"/>
          <w:color w:val="auto"/>
        </w:rPr>
        <w:t>Competitive Bid Rate</w:t>
      </w:r>
      <w:r>
        <w:rPr>
          <w:rFonts w:ascii="Arial" w:cs="Arial" w:eastAsia="Arial" w:hAnsi="Arial"/>
          <w:sz w:val="23"/>
          <w:szCs w:val="23"/>
          <w:color w:val="auto"/>
          <w:vertAlign w:val="superscript"/>
        </w:rPr>
        <w:t>9</w:t>
      </w:r>
    </w:p>
    <w:p>
      <w:pPr>
        <w:spacing w:after="0" w:line="147" w:lineRule="exact"/>
        <w:rPr>
          <w:rFonts w:ascii="Arial" w:cs="Arial" w:eastAsia="Arial" w:hAnsi="Arial"/>
          <w:sz w:val="15"/>
          <w:szCs w:val="15"/>
          <w:color w:val="auto"/>
        </w:rPr>
      </w:pPr>
    </w:p>
    <w:p>
      <w:pPr>
        <w:ind w:left="1480" w:hanging="585"/>
        <w:spacing w:after="0"/>
        <w:tabs>
          <w:tab w:leader="none" w:pos="1480" w:val="left"/>
        </w:tabs>
        <w:numPr>
          <w:ilvl w:val="0"/>
          <w:numId w:val="296"/>
        </w:numPr>
        <w:rPr>
          <w:rFonts w:ascii="Arial" w:cs="Arial" w:eastAsia="Arial" w:hAnsi="Arial"/>
          <w:sz w:val="15"/>
          <w:szCs w:val="15"/>
          <w:color w:val="auto"/>
        </w:rPr>
      </w:pPr>
      <w:r>
        <w:rPr>
          <w:rFonts w:ascii="Arial" w:cs="Arial" w:eastAsia="Arial" w:hAnsi="Arial"/>
          <w:sz w:val="16"/>
          <w:szCs w:val="16"/>
          <w:color w:val="auto"/>
        </w:rPr>
        <w:t>Interest Period and the last day thereof</w:t>
      </w:r>
    </w:p>
    <w:p>
      <w:pPr>
        <w:spacing w:after="0" w:line="225" w:lineRule="exact"/>
        <w:rPr>
          <w:rFonts w:ascii="Arial" w:cs="Arial" w:eastAsia="Arial" w:hAnsi="Arial"/>
          <w:sz w:val="15"/>
          <w:szCs w:val="15"/>
          <w:color w:val="auto"/>
        </w:rPr>
      </w:pPr>
    </w:p>
    <w:p>
      <w:pPr>
        <w:ind w:left="1480" w:hanging="585"/>
        <w:spacing w:after="0"/>
        <w:tabs>
          <w:tab w:leader="none" w:pos="1480" w:val="left"/>
        </w:tabs>
        <w:numPr>
          <w:ilvl w:val="0"/>
          <w:numId w:val="296"/>
        </w:numPr>
        <w:rPr>
          <w:rFonts w:ascii="Arial" w:cs="Arial" w:eastAsia="Arial" w:hAnsi="Arial"/>
          <w:sz w:val="15"/>
          <w:szCs w:val="15"/>
          <w:color w:val="auto"/>
        </w:rPr>
      </w:pPr>
      <w:r>
        <w:rPr>
          <w:rFonts w:ascii="Arial" w:cs="Arial" w:eastAsia="Arial" w:hAnsi="Arial"/>
          <w:sz w:val="16"/>
          <w:szCs w:val="16"/>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-1169035</wp:posOffset>
            </wp:positionV>
            <wp:extent cx="131381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13815" cy="698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-908685</wp:posOffset>
            </wp:positionV>
            <wp:extent cx="131381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13815" cy="698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-528955</wp:posOffset>
            </wp:positionV>
            <wp:extent cx="131381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13815" cy="698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-268605</wp:posOffset>
            </wp:positionV>
            <wp:extent cx="131381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13815" cy="698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-8255</wp:posOffset>
            </wp:positionV>
            <wp:extent cx="131381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13815" cy="698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48" w:lineRule="exact"/>
        <w:rPr>
          <w:sz w:val="20"/>
          <w:szCs w:val="20"/>
          <w:color w:val="auto"/>
        </w:rPr>
      </w:pPr>
    </w:p>
    <w:p>
      <w:pPr>
        <w:ind w:left="100" w:hanging="91"/>
        <w:spacing w:after="0"/>
        <w:tabs>
          <w:tab w:leader="none" w:pos="100" w:val="left"/>
        </w:tabs>
        <w:numPr>
          <w:ilvl w:val="0"/>
          <w:numId w:val="297"/>
        </w:numPr>
        <w:rPr>
          <w:rFonts w:ascii="Arial" w:cs="Arial" w:eastAsia="Arial" w:hAnsi="Arial"/>
          <w:sz w:val="21"/>
          <w:szCs w:val="21"/>
          <w:color w:val="auto"/>
          <w:vertAlign w:val="superscript"/>
        </w:rPr>
      </w:pPr>
      <w:r>
        <w:rPr>
          <w:rFonts w:ascii="Arial" w:cs="Arial" w:eastAsia="Arial" w:hAnsi="Arial"/>
          <w:sz w:val="16"/>
          <w:szCs w:val="16"/>
          <w:color w:val="auto"/>
        </w:rPr>
        <w:t>In the case of Multicurrency Competitive Loan only.</w:t>
      </w:r>
    </w:p>
    <w:p>
      <w:pPr>
        <w:spacing w:after="0" w:line="130" w:lineRule="exact"/>
        <w:rPr>
          <w:sz w:val="20"/>
          <w:szCs w:val="20"/>
          <w:color w:val="auto"/>
        </w:rPr>
      </w:pPr>
    </w:p>
    <w:p>
      <w:pPr>
        <w:ind w:right="180" w:firstLine="9"/>
        <w:spacing w:after="0" w:line="217" w:lineRule="auto"/>
        <w:tabs>
          <w:tab w:leader="none" w:pos="92" w:val="left"/>
        </w:tabs>
        <w:numPr>
          <w:ilvl w:val="0"/>
          <w:numId w:val="298"/>
        </w:numPr>
        <w:rPr>
          <w:rFonts w:ascii="Arial" w:cs="Arial" w:eastAsia="Arial" w:hAnsi="Arial"/>
          <w:sz w:val="21"/>
          <w:szCs w:val="21"/>
          <w:color w:val="auto"/>
          <w:vertAlign w:val="superscript"/>
        </w:rPr>
      </w:pPr>
      <w:r>
        <w:rPr>
          <w:rFonts w:ascii="Arial" w:cs="Arial" w:eastAsia="Arial" w:hAnsi="Arial"/>
          <w:sz w:val="15"/>
          <w:szCs w:val="15"/>
          <w:color w:val="auto"/>
        </w:rPr>
        <w:t>Not less than $5,000,000 or the Dollar Equivalent thereof (or greater than the requested Competitive Bid). Multiple bids will be accepted by the Administrative Agent (including up to 5 bids from any single Lender).</w:t>
      </w:r>
    </w:p>
    <w:p>
      <w:pPr>
        <w:spacing w:after="0" w:line="36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626" w:right="219" w:bottom="1440" w:gutter="0" w:footer="0" w:header="0"/>
        </w:sectPr>
      </w:pPr>
    </w:p>
    <w:bookmarkStart w:id="332" w:name="page333"/>
    <w:bookmarkEnd w:id="332"/>
    <w:p>
      <w:pPr>
        <w:ind w:firstLine="1063"/>
        <w:spacing w:after="0" w:line="263" w:lineRule="auto"/>
        <w:rPr>
          <w:sz w:val="20"/>
          <w:szCs w:val="20"/>
          <w:color w:val="auto"/>
        </w:rPr>
      </w:pPr>
      <w:r>
        <w:rPr>
          <w:rFonts w:ascii="Arial" w:cs="Arial" w:eastAsia="Arial" w:hAnsi="Arial"/>
          <w:sz w:val="18"/>
          <w:szCs w:val="18"/>
          <w:color w:val="auto"/>
        </w:rPr>
        <w:t>The undersigned hereby confirms that it is prepared, subject to the conditions set forth in the Credit Agreement, to extend credit to the Applicable Borrower upon acceptance by the Applicable Borrower of this bid in accordance with Section 2.10(c)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Very truly yours,</w:t>
      </w:r>
    </w:p>
    <w:p>
      <w:pPr>
        <w:spacing w:after="0" w:line="315"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[NAME OF LENDER]</w:t>
      </w:r>
    </w:p>
    <w:p>
      <w:pPr>
        <w:spacing w:after="0" w:line="315"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By:_____________________________</w:t>
      </w:r>
    </w:p>
    <w:p>
      <w:pPr>
        <w:spacing w:after="0" w:line="49"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w:t>
      </w:r>
    </w:p>
    <w:p>
      <w:pPr>
        <w:spacing w:after="0" w:line="193" w:lineRule="exact"/>
        <w:rPr>
          <w:sz w:val="20"/>
          <w:szCs w:val="20"/>
          <w:color w:val="auto"/>
        </w:rPr>
      </w:pPr>
    </w:p>
    <w:p>
      <w:pPr>
        <w:ind w:right="320" w:firstLine="9"/>
        <w:spacing w:after="0" w:line="217" w:lineRule="auto"/>
        <w:tabs>
          <w:tab w:leader="none" w:pos="92" w:val="left"/>
        </w:tabs>
        <w:numPr>
          <w:ilvl w:val="0"/>
          <w:numId w:val="299"/>
        </w:numPr>
        <w:rPr>
          <w:rFonts w:ascii="Arial" w:cs="Arial" w:eastAsia="Arial" w:hAnsi="Arial"/>
          <w:sz w:val="21"/>
          <w:szCs w:val="21"/>
          <w:color w:val="auto"/>
          <w:vertAlign w:val="superscript"/>
        </w:rPr>
      </w:pPr>
      <w:r>
        <w:rPr>
          <w:rFonts w:ascii="Arial" w:cs="Arial" w:eastAsia="Arial" w:hAnsi="Arial"/>
          <w:sz w:val="15"/>
          <w:szCs w:val="15"/>
          <w:i w:val="1"/>
          <w:iCs w:val="1"/>
          <w:color w:val="auto"/>
        </w:rPr>
        <w:t>i.e.</w:t>
      </w:r>
      <w:r>
        <w:rPr>
          <w:rFonts w:ascii="Arial" w:cs="Arial" w:eastAsia="Arial" w:hAnsi="Arial"/>
          <w:sz w:val="15"/>
          <w:szCs w:val="15"/>
          <w:color w:val="auto"/>
        </w:rPr>
        <w:t>, Eurocurrency Rate + or - __%, in the case of Eurocurrency Competitive Loans or __%, in the case of Fixed Rate Loans, in each expressed as a percentage per annum in the form of a</w:t>
      </w:r>
      <w:r>
        <w:rPr>
          <w:rFonts w:ascii="Arial" w:cs="Arial" w:eastAsia="Arial" w:hAnsi="Arial"/>
          <w:sz w:val="15"/>
          <w:szCs w:val="15"/>
          <w:i w:val="1"/>
          <w:iCs w:val="1"/>
          <w:color w:val="auto"/>
        </w:rPr>
        <w:t xml:space="preserve"> </w:t>
      </w:r>
      <w:r>
        <w:rPr>
          <w:rFonts w:ascii="Arial" w:cs="Arial" w:eastAsia="Arial" w:hAnsi="Arial"/>
          <w:sz w:val="15"/>
          <w:szCs w:val="15"/>
          <w:color w:val="auto"/>
        </w:rPr>
        <w:t>decimal to no more than four decimal places.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00"/>
          </w:cols>
          <w:pgMar w:left="220" w:top="820" w:right="279" w:bottom="1440" w:gutter="0" w:footer="0" w:header="0"/>
        </w:sectPr>
      </w:pPr>
    </w:p>
    <w:bookmarkStart w:id="333" w:name="page334"/>
    <w:bookmarkEnd w:id="333"/>
    <w:p>
      <w:pPr>
        <w:jc w:val="center"/>
        <w:ind w:left="9220"/>
        <w:spacing w:after="0"/>
        <w:rPr>
          <w:sz w:val="20"/>
          <w:szCs w:val="20"/>
          <w:color w:val="auto"/>
        </w:rPr>
      </w:pPr>
      <w:r>
        <w:rPr>
          <w:rFonts w:ascii="Arial" w:cs="Arial" w:eastAsia="Arial" w:hAnsi="Arial"/>
          <w:sz w:val="18"/>
          <w:szCs w:val="18"/>
          <w:b w:val="1"/>
          <w:bCs w:val="1"/>
          <w:color w:val="auto"/>
        </w:rPr>
        <w:t>EXHIBIT E</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3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 North America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Emily.cousineau@jpmorgan.com</w:t>
      </w:r>
    </w:p>
    <w:p>
      <w:pPr>
        <w:spacing w:after="0" w:line="3" w:lineRule="exact"/>
        <w:rPr>
          <w:sz w:val="20"/>
          <w:szCs w:val="20"/>
          <w:color w:val="auto"/>
        </w:rPr>
      </w:pPr>
    </w:p>
    <w:p>
      <w:pPr>
        <w:ind w:right="9320" w:firstLine="9"/>
        <w:spacing w:after="0" w:line="274" w:lineRule="auto"/>
        <w:tabs>
          <w:tab w:leader="none" w:pos="428" w:val="left"/>
        </w:tabs>
        <w:numPr>
          <w:ilvl w:val="0"/>
          <w:numId w:val="300"/>
        </w:numPr>
        <w:rPr>
          <w:rFonts w:ascii="Arial" w:cs="Arial" w:eastAsia="Arial" w:hAnsi="Arial"/>
          <w:sz w:val="16"/>
          <w:szCs w:val="16"/>
          <w:color w:val="auto"/>
        </w:rPr>
      </w:pPr>
      <w:r>
        <w:rPr>
          <w:rFonts w:ascii="Arial" w:cs="Arial" w:eastAsia="Arial" w:hAnsi="Arial"/>
          <w:sz w:val="16"/>
          <w:szCs w:val="16"/>
          <w:color w:val="auto"/>
        </w:rPr>
        <w:t>634-8612 (telephone) Attn: Emily Cousineau</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_________, 20__</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81" w:lineRule="exact"/>
        <w:rPr>
          <w:sz w:val="20"/>
          <w:szCs w:val="20"/>
          <w:color w:val="auto"/>
        </w:rPr>
      </w:pPr>
    </w:p>
    <w:p>
      <w:pPr>
        <w:ind w:firstLine="1063"/>
        <w:spacing w:after="0" w:line="256" w:lineRule="auto"/>
        <w:rPr>
          <w:sz w:val="20"/>
          <w:szCs w:val="20"/>
          <w:color w:val="auto"/>
        </w:rPr>
      </w:pPr>
      <w:r>
        <w:rPr>
          <w:rFonts w:ascii="Arial" w:cs="Arial" w:eastAsia="Arial" w:hAnsi="Arial"/>
          <w:sz w:val="16"/>
          <w:szCs w:val="16"/>
          <w:color w:val="auto"/>
        </w:rPr>
        <w:t>The undersigned,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[and General Motors Company, a Delaware corporation (the “Company/Applicable Borrower”)]</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refer[s] to the Amended and Restated Five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[Company/Applicable Borrower]</w:t>
      </w:r>
      <w:r>
        <w:rPr>
          <w:rFonts w:ascii="Arial" w:cs="Arial" w:eastAsia="Arial" w:hAnsi="Arial"/>
          <w:sz w:val="21"/>
          <w:szCs w:val="21"/>
          <w:color w:val="auto"/>
          <w:vertAlign w:val="superscript"/>
        </w:rPr>
        <w:t>11</w:t>
      </w:r>
      <w:r>
        <w:rPr>
          <w:rFonts w:ascii="Arial" w:cs="Arial" w:eastAsia="Arial" w:hAnsi="Arial"/>
          <w:sz w:val="16"/>
          <w:szCs w:val="16"/>
          <w:color w:val="auto"/>
        </w:rPr>
        <w:t>, General Motors Financial Company, Inc., a Texas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named therein. Unless otherwise defined herein, terms defined in the Credit Agreement and used herein shall have the meanings given to them therein.</w:t>
      </w:r>
    </w:p>
    <w:p>
      <w:pPr>
        <w:spacing w:after="0" w:line="154" w:lineRule="exact"/>
        <w:rPr>
          <w:sz w:val="20"/>
          <w:szCs w:val="20"/>
          <w:color w:val="auto"/>
        </w:rPr>
      </w:pPr>
    </w:p>
    <w:p>
      <w:pPr>
        <w:ind w:right="420" w:firstLine="1063"/>
        <w:spacing w:after="0" w:line="326" w:lineRule="auto"/>
        <w:rPr>
          <w:sz w:val="20"/>
          <w:szCs w:val="20"/>
          <w:color w:val="auto"/>
        </w:rPr>
      </w:pPr>
      <w:r>
        <w:rPr>
          <w:rFonts w:ascii="Arial" w:cs="Arial" w:eastAsia="Arial" w:hAnsi="Arial"/>
          <w:sz w:val="16"/>
          <w:szCs w:val="16"/>
          <w:color w:val="auto"/>
        </w:rPr>
        <w:t>In accordance with Section 2.10(d) of the Credit Agreement, we have received a summary of bids in connection with our Competitive Bid Request dated _________, 20__ and in accordance with Section 2.10(e) of the Credit Agreement, we hereby accept the following bids: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w:t>
      </w:r>
    </w:p>
    <w:p>
      <w:pPr>
        <w:spacing w:after="0" w:line="87" w:lineRule="exact"/>
        <w:rPr>
          <w:sz w:val="20"/>
          <w:szCs w:val="20"/>
          <w:color w:val="auto"/>
        </w:rPr>
      </w:pPr>
    </w:p>
    <w:p>
      <w:pPr>
        <w:ind w:left="340" w:hanging="309"/>
        <w:spacing w:after="0"/>
        <w:tabs>
          <w:tab w:leader="none" w:pos="340" w:val="left"/>
        </w:tabs>
        <w:numPr>
          <w:ilvl w:val="0"/>
          <w:numId w:val="301"/>
        </w:numPr>
        <w:rPr>
          <w:rFonts w:ascii="Arial" w:cs="Arial" w:eastAsia="Arial" w:hAnsi="Arial"/>
          <w:sz w:val="21"/>
          <w:szCs w:val="21"/>
          <w:color w:val="auto"/>
          <w:vertAlign w:val="superscript"/>
        </w:rPr>
      </w:pPr>
      <w:r>
        <w:rPr>
          <w:rFonts w:ascii="Arial" w:cs="Arial" w:eastAsia="Arial" w:hAnsi="Arial"/>
          <w:sz w:val="15"/>
          <w:szCs w:val="15"/>
          <w:color w:val="auto"/>
        </w:rPr>
        <w:t>Insert if the Company is not the Applicable Borrower.</w:t>
      </w:r>
    </w:p>
    <w:p>
      <w:pPr>
        <w:spacing w:after="0" w:line="57" w:lineRule="exact"/>
        <w:rPr>
          <w:rFonts w:ascii="Arial" w:cs="Arial" w:eastAsia="Arial" w:hAnsi="Arial"/>
          <w:sz w:val="21"/>
          <w:szCs w:val="21"/>
          <w:color w:val="auto"/>
          <w:vertAlign w:val="superscript"/>
        </w:rPr>
      </w:pPr>
    </w:p>
    <w:p>
      <w:pPr>
        <w:ind w:left="340" w:hanging="309"/>
        <w:spacing w:after="0" w:line="183" w:lineRule="auto"/>
        <w:tabs>
          <w:tab w:leader="none" w:pos="340" w:val="left"/>
        </w:tabs>
        <w:numPr>
          <w:ilvl w:val="0"/>
          <w:numId w:val="301"/>
        </w:numPr>
        <w:rPr>
          <w:rFonts w:ascii="Arial" w:cs="Arial" w:eastAsia="Arial" w:hAnsi="Arial"/>
          <w:sz w:val="20"/>
          <w:szCs w:val="20"/>
          <w:color w:val="auto"/>
          <w:vertAlign w:val="superscript"/>
        </w:rPr>
      </w:pPr>
      <w:r>
        <w:rPr>
          <w:rFonts w:ascii="Arial" w:cs="Arial" w:eastAsia="Arial" w:hAnsi="Arial"/>
          <w:sz w:val="14"/>
          <w:szCs w:val="14"/>
          <w:color w:val="auto"/>
        </w:rPr>
        <w:t>If Bid Requested by the Company, it is the “Applicable Borrower”.</w:t>
      </w:r>
    </w:p>
    <w:p>
      <w:pPr>
        <w:spacing w:after="0" w:line="38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280"/>
          </w:cols>
          <w:pgMar w:left="220" w:top="1158" w:right="39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t>We hereby reject the following bids: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 should be made available to the Applicable Borrower in immediately available funds by crediting the following account:</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[Bank Name]</w:t>
      </w:r>
    </w:p>
    <w:p>
      <w:pPr>
        <w:spacing w:after="0" w:line="17"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ABA #:</w:t>
      </w:r>
      <w:r>
        <w:rPr>
          <w:sz w:val="20"/>
          <w:szCs w:val="20"/>
          <w:color w:val="auto"/>
        </w:rPr>
        <w:tab/>
      </w:r>
      <w:r>
        <w:rPr>
          <w:rFonts w:ascii="Arial" w:cs="Arial" w:eastAsia="Arial" w:hAnsi="Arial"/>
          <w:sz w:val="14"/>
          <w:szCs w:val="14"/>
          <w:color w:val="auto"/>
        </w:rPr>
        <w:t>_________________________</w:t>
      </w:r>
    </w:p>
    <w:p>
      <w:pPr>
        <w:spacing w:after="0" w:line="3" w:lineRule="exact"/>
        <w:rPr>
          <w:sz w:val="20"/>
          <w:szCs w:val="20"/>
          <w:color w:val="auto"/>
        </w:rPr>
      </w:pPr>
    </w:p>
    <w:p>
      <w:pPr>
        <w:ind w:left="540"/>
        <w:spacing w:after="0"/>
        <w:tabs>
          <w:tab w:leader="none" w:pos="1460" w:val="left"/>
        </w:tabs>
        <w:rPr>
          <w:sz w:val="20"/>
          <w:szCs w:val="20"/>
          <w:color w:val="auto"/>
        </w:rPr>
      </w:pPr>
      <w:r>
        <w:rPr>
          <w:rFonts w:ascii="Arial" w:cs="Arial" w:eastAsia="Arial" w:hAnsi="Arial"/>
          <w:sz w:val="18"/>
          <w:szCs w:val="18"/>
          <w:color w:val="auto"/>
        </w:rPr>
        <w:t>Account #:</w:t>
      </w:r>
      <w:r>
        <w:rPr>
          <w:sz w:val="20"/>
          <w:szCs w:val="20"/>
          <w:color w:val="auto"/>
        </w:rPr>
        <w:tab/>
      </w:r>
      <w:r>
        <w:rPr>
          <w:rFonts w:ascii="Arial" w:cs="Arial" w:eastAsia="Arial" w:hAnsi="Arial"/>
          <w:sz w:val="14"/>
          <w:szCs w:val="14"/>
          <w:color w:val="auto"/>
        </w:rPr>
        <w:t>_________________________</w:t>
      </w:r>
    </w:p>
    <w:p>
      <w:pPr>
        <w:spacing w:after="0" w:line="15"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4"/>
          <w:szCs w:val="14"/>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Very truly yours,</w:t>
      </w:r>
    </w:p>
    <w:p>
      <w:pPr>
        <w:spacing w:after="0" w:line="49"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[INSERT NAME OF APPLICABLE BORROWER]</w:t>
      </w:r>
    </w:p>
    <w:p>
      <w:pPr>
        <w:spacing w:after="0" w:line="315"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By:________________________________________</w:t>
      </w:r>
    </w:p>
    <w:p>
      <w:pPr>
        <w:spacing w:after="0" w:line="49"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Title:</w:t>
      </w:r>
    </w:p>
    <w:p>
      <w:pPr>
        <w:spacing w:after="0" w:line="315"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[GENERAL MOTORS COMPANY]</w:t>
      </w:r>
    </w:p>
    <w:p>
      <w:pPr>
        <w:spacing w:after="0" w:line="315"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By:________________________________________</w:t>
      </w:r>
    </w:p>
    <w:p>
      <w:pPr>
        <w:spacing w:after="0" w:line="49"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0239"/>
          </w:cols>
          <w:pgMar w:left="220" w:top="865" w:right="1440" w:bottom="1440" w:gutter="0" w:footer="0" w:header="0"/>
        </w:sectPr>
      </w:pPr>
    </w:p>
    <w:bookmarkStart w:id="335" w:name="page336"/>
    <w:bookmarkEnd w:id="335"/>
    <w:p>
      <w:pPr>
        <w:jc w:val="center"/>
        <w:ind w:left="9220"/>
        <w:spacing w:after="0"/>
        <w:rPr>
          <w:sz w:val="20"/>
          <w:szCs w:val="20"/>
          <w:color w:val="auto"/>
        </w:rPr>
      </w:pPr>
      <w:r>
        <w:rPr>
          <w:rFonts w:ascii="Arial" w:cs="Arial" w:eastAsia="Arial" w:hAnsi="Arial"/>
          <w:sz w:val="18"/>
          <w:szCs w:val="18"/>
          <w:b w:val="1"/>
          <w:bCs w:val="1"/>
          <w:color w:val="auto"/>
        </w:rPr>
        <w:t>EXHIBIT F</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6"/>
          <w:szCs w:val="16"/>
          <w:b w:val="1"/>
          <w:bCs w:val="1"/>
          <w:color w:val="auto"/>
        </w:rPr>
        <w:t>Credit Agreement</w:t>
      </w:r>
    </w:p>
    <w:p>
      <w:pPr>
        <w:spacing w:after="0" w:line="23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[Reserved]</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020"/>
          </w:cols>
          <w:pgMar w:left="220" w:top="1157" w:right="659" w:bottom="1440" w:gutter="0" w:footer="0" w:header="0"/>
        </w:sectPr>
      </w:pPr>
    </w:p>
    <w:bookmarkStart w:id="336" w:name="page337"/>
    <w:bookmarkEnd w:id="336"/>
    <w:p>
      <w:pPr>
        <w:jc w:val="center"/>
        <w:ind w:left="9240"/>
        <w:spacing w:after="0"/>
        <w:rPr>
          <w:sz w:val="20"/>
          <w:szCs w:val="20"/>
          <w:color w:val="auto"/>
        </w:rPr>
      </w:pPr>
      <w:r>
        <w:rPr>
          <w:rFonts w:ascii="Arial" w:cs="Arial" w:eastAsia="Arial" w:hAnsi="Arial"/>
          <w:sz w:val="18"/>
          <w:szCs w:val="18"/>
          <w:b w:val="1"/>
          <w:bCs w:val="1"/>
          <w:color w:val="auto"/>
        </w:rPr>
        <w:t>EXHIBIT G</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3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FORM OF INCREMENTAL LOAN ACTIVATION NOTICE</w:t>
      </w:r>
    </w:p>
    <w:p>
      <w:pPr>
        <w:spacing w:after="0" w:line="18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JPMorgan Chase Bank, N.A., as Administrative Agent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under the Credit Agreement referred to below</w:t>
      </w:r>
    </w:p>
    <w:p>
      <w:pPr>
        <w:spacing w:after="0" w:line="167" w:lineRule="exact"/>
        <w:rPr>
          <w:sz w:val="20"/>
          <w:szCs w:val="20"/>
          <w:color w:val="auto"/>
        </w:rPr>
      </w:pPr>
    </w:p>
    <w:p>
      <w:pPr>
        <w:jc w:val="both"/>
        <w:ind w:firstLine="532"/>
        <w:spacing w:after="0" w:line="284" w:lineRule="auto"/>
        <w:rPr>
          <w:sz w:val="20"/>
          <w:szCs w:val="20"/>
          <w:color w:val="auto"/>
        </w:rPr>
      </w:pPr>
      <w:r>
        <w:rPr>
          <w:rFonts w:ascii="Arial" w:cs="Arial" w:eastAsia="Arial" w:hAnsi="Arial"/>
          <w:sz w:val="16"/>
          <w:szCs w:val="16"/>
          <w:color w:val="auto"/>
        </w:rPr>
        <w:t>Reference is made to the Amended and Restated Five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party thereto. Unless otherwise defined herein, terms defined in the Credit Agreement and used herein shall have the meanings given to them in the Credit Agreement.</w:t>
      </w:r>
    </w:p>
    <w:p>
      <w:pPr>
        <w:spacing w:after="0" w:line="133" w:lineRule="exact"/>
        <w:rPr>
          <w:sz w:val="20"/>
          <w:szCs w:val="20"/>
          <w:color w:val="auto"/>
        </w:rPr>
      </w:pPr>
    </w:p>
    <w:p>
      <w:pPr>
        <w:jc w:val="both"/>
        <w:ind w:right="20" w:firstLine="1063"/>
        <w:spacing w:after="0" w:line="263" w:lineRule="auto"/>
        <w:rPr>
          <w:sz w:val="20"/>
          <w:szCs w:val="20"/>
          <w:color w:val="auto"/>
        </w:rPr>
      </w:pPr>
      <w:r>
        <w:rPr>
          <w:rFonts w:ascii="Arial" w:cs="Arial" w:eastAsia="Arial" w:hAnsi="Arial"/>
          <w:sz w:val="18"/>
          <w:szCs w:val="18"/>
          <w:color w:val="auto"/>
        </w:rPr>
        <w:t>This notice is an Incremental Loan Activation Notice referred to in the Credit Agreement, and the Company and each of the lenders party hereto (each,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hereby notify you that:</w:t>
      </w:r>
    </w:p>
    <w:p>
      <w:pPr>
        <w:spacing w:after="0" w:line="144" w:lineRule="exact"/>
        <w:rPr>
          <w:sz w:val="20"/>
          <w:szCs w:val="20"/>
          <w:color w:val="auto"/>
        </w:rPr>
      </w:pPr>
    </w:p>
    <w:p>
      <w:pPr>
        <w:jc w:val="both"/>
        <w:ind w:firstLine="1072"/>
        <w:spacing w:after="0" w:line="260" w:lineRule="auto"/>
        <w:tabs>
          <w:tab w:leader="none" w:pos="147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Each Incremental Lender party hereto agrees to commit to an Incremental Facility or increase the amount of its existing [Brazilian] [Domestic] [Multicurrency] Commitment in the amount set forth opposite such Incremental Lender’s name on the signature pages hereof under the caption “Incremental Commitment”.</w:t>
      </w:r>
    </w:p>
    <w:p>
      <w:pPr>
        <w:spacing w:after="0" w:line="146" w:lineRule="exact"/>
        <w:rPr>
          <w:rFonts w:ascii="Arial" w:cs="Arial" w:eastAsia="Arial" w:hAnsi="Arial"/>
          <w:sz w:val="18"/>
          <w:szCs w:val="18"/>
          <w:color w:val="auto"/>
        </w:rPr>
      </w:pPr>
    </w:p>
    <w:p>
      <w:pPr>
        <w:ind w:left="1360" w:hanging="288"/>
        <w:spacing w:after="0"/>
        <w:tabs>
          <w:tab w:leader="none" w:pos="13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[Incremental Facility Closing Date][Commitment Increase Date] is ___________________.</w:t>
      </w:r>
    </w:p>
    <w:p>
      <w:pPr>
        <w:spacing w:after="0" w:line="191" w:lineRule="exact"/>
        <w:rPr>
          <w:rFonts w:ascii="Arial" w:cs="Arial" w:eastAsia="Arial" w:hAnsi="Arial"/>
          <w:sz w:val="18"/>
          <w:szCs w:val="18"/>
          <w:color w:val="auto"/>
        </w:rPr>
      </w:pPr>
    </w:p>
    <w:p>
      <w:pPr>
        <w:ind w:left="1360" w:hanging="288"/>
        <w:spacing w:after="0"/>
        <w:tabs>
          <w:tab w:leader="none" w:pos="13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Incremental Loan Maturity Date is _____________.</w:t>
      </w:r>
    </w:p>
    <w:p>
      <w:pPr>
        <w:spacing w:after="0" w:line="191" w:lineRule="exact"/>
        <w:rPr>
          <w:rFonts w:ascii="Arial" w:cs="Arial" w:eastAsia="Arial" w:hAnsi="Arial"/>
          <w:sz w:val="18"/>
          <w:szCs w:val="18"/>
          <w:color w:val="auto"/>
        </w:rPr>
      </w:pPr>
    </w:p>
    <w:p>
      <w:pPr>
        <w:ind w:left="1360" w:hanging="288"/>
        <w:spacing w:after="0"/>
        <w:tabs>
          <w:tab w:leader="none" w:pos="13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[Currency] [Currencies] available under the Incremental Facility [is][are] _______________________.</w:t>
      </w:r>
    </w:p>
    <w:p>
      <w:pPr>
        <w:spacing w:after="0" w:line="191" w:lineRule="exact"/>
        <w:rPr>
          <w:rFonts w:ascii="Arial" w:cs="Arial" w:eastAsia="Arial" w:hAnsi="Arial"/>
          <w:sz w:val="18"/>
          <w:szCs w:val="18"/>
          <w:color w:val="auto"/>
        </w:rPr>
      </w:pPr>
    </w:p>
    <w:p>
      <w:pPr>
        <w:ind w:left="1360" w:hanging="288"/>
        <w:spacing w:after="0"/>
        <w:tabs>
          <w:tab w:leader="none" w:pos="13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borrower[s] under the Incremental Facility [is][are] ____________.</w:t>
      </w:r>
    </w:p>
    <w:p>
      <w:pPr>
        <w:spacing w:after="0" w:line="191" w:lineRule="exact"/>
        <w:rPr>
          <w:rFonts w:ascii="Arial" w:cs="Arial" w:eastAsia="Arial" w:hAnsi="Arial"/>
          <w:sz w:val="18"/>
          <w:szCs w:val="18"/>
          <w:color w:val="auto"/>
        </w:rPr>
      </w:pPr>
    </w:p>
    <w:p>
      <w:pPr>
        <w:ind w:firstLine="1072"/>
        <w:spacing w:after="0" w:line="276" w:lineRule="auto"/>
        <w:tabs>
          <w:tab w:leader="none" w:pos="139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Applicable Margin and other fees applicable to the Incremental Loans and other extensions of credit to be made available under the Incremental Facility are:-______________________________________________________.]</w:t>
      </w:r>
    </w:p>
    <w:p>
      <w:pPr>
        <w:spacing w:after="0" w:line="133" w:lineRule="exact"/>
        <w:rPr>
          <w:rFonts w:ascii="Arial" w:cs="Arial" w:eastAsia="Arial" w:hAnsi="Arial"/>
          <w:sz w:val="18"/>
          <w:szCs w:val="18"/>
          <w:color w:val="auto"/>
        </w:rPr>
      </w:pPr>
    </w:p>
    <w:p>
      <w:pPr>
        <w:ind w:firstLine="1072"/>
        <w:spacing w:after="0" w:line="276" w:lineRule="auto"/>
        <w:tabs>
          <w:tab w:leader="none" w:pos="142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[Insert other additional terms applicable to the Incremental Facility, including the borrowing procedures related thereto (in each case, as agreed between the Company and the Incremental Lenders providing such Incremental Loans).]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626" w:right="219" w:bottom="1440" w:gutter="0" w:footer="0" w:header="0"/>
        </w:sectPr>
      </w:pPr>
    </w:p>
    <w:bookmarkStart w:id="337" w:name="page338"/>
    <w:bookmarkEnd w:id="337"/>
    <w:p>
      <w:pPr>
        <w:jc w:val="both"/>
        <w:ind w:firstLine="1072"/>
        <w:spacing w:after="0" w:line="260" w:lineRule="auto"/>
        <w:tabs>
          <w:tab w:leader="none" w:pos="138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147" w:lineRule="exact"/>
        <w:rPr>
          <w:sz w:val="20"/>
          <w:szCs w:val="20"/>
          <w:color w:val="auto"/>
        </w:rPr>
      </w:pPr>
    </w:p>
    <w:p>
      <w:pPr>
        <w:ind w:left="1320" w:hanging="248"/>
        <w:spacing w:after="0"/>
        <w:tabs>
          <w:tab w:leader="none" w:pos="13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Administrative Agent shall have received this notice, executed and delivered by the Company and each Incremental Lender party hereto.</w:t>
      </w:r>
    </w:p>
    <w:p>
      <w:pPr>
        <w:spacing w:after="0" w:line="203" w:lineRule="exact"/>
        <w:rPr>
          <w:rFonts w:ascii="Arial" w:cs="Arial" w:eastAsia="Arial" w:hAnsi="Arial"/>
          <w:sz w:val="16"/>
          <w:szCs w:val="16"/>
          <w:color w:val="auto"/>
        </w:rPr>
      </w:pPr>
    </w:p>
    <w:p>
      <w:pPr>
        <w:jc w:val="both"/>
        <w:ind w:firstLine="1072"/>
        <w:spacing w:after="0" w:line="268" w:lineRule="auto"/>
        <w:tabs>
          <w:tab w:leader="none" w:pos="131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(ii) the sum of the Total Commitments in effect (including, for the avoidance of doubt, Incremental Commitments) and the 5-Year Total Commitments (including, for the avoidance of doubt, any commitments under incremental facilities under the 5-Year Revolving Credit Agreement in effect) shall not exceed $15.5 billion.</w:t>
      </w:r>
    </w:p>
    <w:p>
      <w:pPr>
        <w:spacing w:after="0" w:line="144" w:lineRule="exact"/>
        <w:rPr>
          <w:sz w:val="20"/>
          <w:szCs w:val="20"/>
          <w:color w:val="auto"/>
        </w:rPr>
      </w:pPr>
    </w:p>
    <w:p>
      <w:pPr>
        <w:ind w:firstLine="1072"/>
        <w:spacing w:after="0" w:line="276" w:lineRule="auto"/>
        <w:tabs>
          <w:tab w:leader="none" w:pos="137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48" w:lineRule="exact"/>
        <w:rPr>
          <w:sz w:val="20"/>
          <w:szCs w:val="20"/>
          <w:color w:val="auto"/>
        </w:rPr>
      </w:pPr>
    </w:p>
    <w:p>
      <w:pPr>
        <w:ind w:left="100" w:hanging="91"/>
        <w:spacing w:after="0"/>
        <w:tabs>
          <w:tab w:leader="none" w:pos="100" w:val="left"/>
        </w:tabs>
        <w:numPr>
          <w:ilvl w:val="0"/>
          <w:numId w:val="306"/>
        </w:numPr>
        <w:rPr>
          <w:rFonts w:ascii="Arial" w:cs="Arial" w:eastAsia="Arial" w:hAnsi="Arial"/>
          <w:sz w:val="21"/>
          <w:szCs w:val="21"/>
          <w:color w:val="auto"/>
          <w:vertAlign w:val="superscript"/>
        </w:rPr>
      </w:pPr>
      <w:r>
        <w:rPr>
          <w:rFonts w:ascii="Arial" w:cs="Arial" w:eastAsia="Arial" w:hAnsi="Arial"/>
          <w:sz w:val="16"/>
          <w:szCs w:val="16"/>
          <w:color w:val="auto"/>
        </w:rPr>
        <w:t>To be deleted if agreed by the Lenders providing such Incremental Facility.</w:t>
      </w:r>
    </w:p>
    <w:p>
      <w:pPr>
        <w:spacing w:after="0" w:line="18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511" w:right="219" w:bottom="1440" w:gutter="0" w:footer="0" w:header="0"/>
        </w:sectPr>
      </w:pPr>
    </w:p>
    <w:bookmarkStart w:id="338" w:name="page339"/>
    <w:bookmarkEnd w:id="338"/>
    <w:p>
      <w:pPr>
        <w:ind w:left="7180"/>
        <w:spacing w:after="0"/>
        <w:rPr>
          <w:sz w:val="20"/>
          <w:szCs w:val="20"/>
          <w:color w:val="auto"/>
        </w:rPr>
      </w:pPr>
      <w:r>
        <w:rPr>
          <w:rFonts w:ascii="Arial" w:cs="Arial" w:eastAsia="Arial" w:hAnsi="Arial"/>
          <w:sz w:val="15"/>
          <w:szCs w:val="15"/>
          <w:color w:val="auto"/>
        </w:rPr>
        <w:t>GENERAL MOTORS COMPANY</w:t>
      </w:r>
    </w:p>
    <w:p>
      <w:pPr>
        <w:spacing w:after="0" w:line="49" w:lineRule="exact"/>
        <w:rPr>
          <w:sz w:val="20"/>
          <w:szCs w:val="20"/>
          <w:color w:val="auto"/>
        </w:rPr>
      </w:pPr>
    </w:p>
    <w:p>
      <w:pPr>
        <w:ind w:left="7180"/>
        <w:spacing w:after="0"/>
        <w:rPr>
          <w:sz w:val="20"/>
          <w:szCs w:val="20"/>
          <w:color w:val="auto"/>
        </w:rPr>
      </w:pPr>
      <w:r>
        <w:rPr>
          <w:rFonts w:ascii="Arial" w:cs="Arial" w:eastAsia="Arial" w:hAnsi="Arial"/>
          <w:sz w:val="13"/>
          <w:szCs w:val="13"/>
          <w:color w:val="auto"/>
        </w:rPr>
        <w:t>By:_________________________________</w:t>
      </w:r>
    </w:p>
    <w:p>
      <w:pPr>
        <w:spacing w:after="0" w:line="72" w:lineRule="exact"/>
        <w:rPr>
          <w:sz w:val="20"/>
          <w:szCs w:val="20"/>
          <w:color w:val="auto"/>
        </w:rPr>
      </w:pPr>
    </w:p>
    <w:p>
      <w:pPr>
        <w:ind w:left="740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ind w:left="740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0239"/>
          </w:cols>
          <w:pgMar w:left="220" w:top="1037"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Incremental Loan Commitment</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[NAME OF EACH INCREMENTAL LENDER]</w:t>
      </w:r>
    </w:p>
    <w:p>
      <w:pPr>
        <w:spacing w:after="0" w:line="281" w:lineRule="exact"/>
        <w:rPr>
          <w:sz w:val="20"/>
          <w:szCs w:val="20"/>
          <w:color w:val="auto"/>
        </w:rPr>
      </w:pPr>
    </w:p>
    <w:p>
      <w:pPr>
        <w:sectPr>
          <w:pgSz w:w="11900" w:h="16838" w:orient="portrait"/>
          <w:cols w:equalWidth="0" w:num="2">
            <w:col w:w="6240" w:space="720"/>
            <w:col w:w="3279"/>
          </w:cols>
          <w:pgMar w:left="220" w:top="1037" w:right="1440" w:bottom="1440" w:gutter="0" w:footer="0" w:header="0"/>
          <w:type w:val="continuous"/>
        </w:sectPr>
      </w:pPr>
    </w:p>
    <w:p>
      <w:pPr>
        <w:ind w:left="6960"/>
        <w:spacing w:after="0"/>
        <w:rPr>
          <w:sz w:val="20"/>
          <w:szCs w:val="20"/>
          <w:color w:val="auto"/>
        </w:rPr>
      </w:pPr>
      <w:r>
        <w:rPr>
          <w:rFonts w:ascii="Arial" w:cs="Arial" w:eastAsia="Arial" w:hAnsi="Arial"/>
          <w:sz w:val="13"/>
          <w:szCs w:val="13"/>
          <w:color w:val="auto"/>
        </w:rPr>
        <w:t>By:________________________________</w:t>
      </w:r>
    </w:p>
    <w:p>
      <w:pPr>
        <w:spacing w:after="0" w:line="72" w:lineRule="exact"/>
        <w:rPr>
          <w:sz w:val="20"/>
          <w:szCs w:val="20"/>
          <w:color w:val="auto"/>
        </w:rPr>
      </w:pPr>
    </w:p>
    <w:p>
      <w:pPr>
        <w:ind w:left="718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ind w:left="7180"/>
        <w:spacing w:after="0"/>
        <w:rPr>
          <w:sz w:val="20"/>
          <w:szCs w:val="20"/>
          <w:color w:val="auto"/>
        </w:rPr>
      </w:pPr>
      <w:r>
        <w:rPr>
          <w:rFonts w:ascii="Arial" w:cs="Arial" w:eastAsia="Arial" w:hAnsi="Arial"/>
          <w:sz w:val="15"/>
          <w:szCs w:val="15"/>
          <w:color w:val="auto"/>
        </w:rPr>
        <w:t>Title:</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RECEIVED 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JPMorgan Chase Bank, N.A.,</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as Administrative Agent</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By:__________________________________</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0239"/>
          </w:cols>
          <w:pgMar w:left="220" w:top="103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9"/>
          <w:szCs w:val="9"/>
          <w:color w:val="auto"/>
        </w:rPr>
        <w:t>509265-1725-14703-Active.16541945</w:t>
      </w:r>
    </w:p>
    <w:p>
      <w:pPr>
        <w:sectPr>
          <w:pgSz w:w="11900" w:h="16838" w:orient="portrait"/>
          <w:cols w:equalWidth="0" w:num="1">
            <w:col w:w="10239"/>
          </w:cols>
          <w:pgMar w:left="220" w:top="1037" w:right="1440" w:bottom="1440" w:gutter="0" w:footer="0" w:header="0"/>
          <w:type w:val="continuous"/>
        </w:sectPr>
      </w:pPr>
    </w:p>
    <w:bookmarkStart w:id="339" w:name="page340"/>
    <w:bookmarkEnd w:id="339"/>
    <w:p>
      <w:pPr>
        <w:jc w:val="center"/>
        <w:ind w:left="9240"/>
        <w:spacing w:after="0"/>
        <w:rPr>
          <w:sz w:val="20"/>
          <w:szCs w:val="20"/>
          <w:color w:val="auto"/>
        </w:rPr>
      </w:pPr>
      <w:r>
        <w:rPr>
          <w:rFonts w:ascii="Arial" w:cs="Arial" w:eastAsia="Arial" w:hAnsi="Arial"/>
          <w:sz w:val="18"/>
          <w:szCs w:val="18"/>
          <w:b w:val="1"/>
          <w:bCs w:val="1"/>
          <w:color w:val="auto"/>
        </w:rPr>
        <w:t>EXHIBIT H</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4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FORM OF CLOSING CERTIFICATE</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LOAN PARTY]</w:t>
      </w:r>
    </w:p>
    <w:p>
      <w:pPr>
        <w:spacing w:after="0" w:line="344"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__________, 20__</w:t>
      </w:r>
    </w:p>
    <w:p>
      <w:pPr>
        <w:spacing w:after="0" w:line="200" w:lineRule="exact"/>
        <w:rPr>
          <w:sz w:val="20"/>
          <w:szCs w:val="20"/>
          <w:color w:val="auto"/>
        </w:rPr>
      </w:pPr>
    </w:p>
    <w:p>
      <w:pPr>
        <w:spacing w:after="0" w:line="292" w:lineRule="exact"/>
        <w:rPr>
          <w:sz w:val="20"/>
          <w:szCs w:val="20"/>
          <w:color w:val="auto"/>
        </w:rPr>
      </w:pPr>
    </w:p>
    <w:p>
      <w:pPr>
        <w:jc w:val="both"/>
        <w:ind w:firstLine="532"/>
        <w:spacing w:after="0" w:line="278" w:lineRule="auto"/>
        <w:rPr>
          <w:sz w:val="20"/>
          <w:szCs w:val="20"/>
          <w:color w:val="auto"/>
        </w:rPr>
      </w:pPr>
      <w:r>
        <w:rPr>
          <w:rFonts w:ascii="Arial" w:cs="Arial" w:eastAsia="Arial" w:hAnsi="Arial"/>
          <w:sz w:val="16"/>
          <w:szCs w:val="16"/>
          <w:color w:val="auto"/>
        </w:rPr>
        <w:t>This Certificate is furnished pursuant to (i) Section 5.1(d) of that certain Amended and Restated Three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3-Year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Europe Treasury Company AB, a Swedish corporation, General Motors do Brasil Ltda., a Brazilian limited liability company (“</w:t>
      </w:r>
      <w:r>
        <w:rPr>
          <w:rFonts w:ascii="Arial" w:cs="Arial" w:eastAsia="Arial" w:hAnsi="Arial"/>
          <w:sz w:val="16"/>
          <w:szCs w:val="16"/>
          <w:u w:val="single" w:color="auto"/>
          <w:color w:val="auto"/>
        </w:rPr>
        <w:t>GM Brazil</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xml:space="preserve">”), Banco do Brasil S.A., as Brazilian administrative agent, and the other agents party thereto and (ii)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of that certain Amended and Restated Five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5-Year Credit Agreement</w:t>
      </w:r>
      <w:r>
        <w:rPr>
          <w:rFonts w:ascii="Arial" w:cs="Arial" w:eastAsia="Arial" w:hAnsi="Arial"/>
          <w:sz w:val="16"/>
          <w:szCs w:val="16"/>
          <w:color w:val="auto"/>
        </w:rPr>
        <w:t>” and together with the 3-Year Credit Agreement, the “</w:t>
      </w:r>
      <w:r>
        <w:rPr>
          <w:rFonts w:ascii="Arial" w:cs="Arial" w:eastAsia="Arial" w:hAnsi="Arial"/>
          <w:sz w:val="16"/>
          <w:szCs w:val="16"/>
          <w:u w:val="single" w:color="auto"/>
          <w:color w:val="auto"/>
        </w:rPr>
        <w:t>Credit 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 Brazil, the Subsidiary Borrowers from time to time party thereto, the lenders from time to time party thereto, as lenders (the “</w:t>
      </w:r>
      <w:r>
        <w:rPr>
          <w:rFonts w:ascii="Arial" w:cs="Arial" w:eastAsia="Arial" w:hAnsi="Arial"/>
          <w:sz w:val="16"/>
          <w:szCs w:val="16"/>
          <w:u w:val="single" w:color="auto"/>
          <w:color w:val="auto"/>
        </w:rPr>
        <w:t>5-Year</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Lenders</w:t>
      </w:r>
      <w:r>
        <w:rPr>
          <w:rFonts w:ascii="Arial" w:cs="Arial" w:eastAsia="Arial" w:hAnsi="Arial"/>
          <w:sz w:val="16"/>
          <w:szCs w:val="16"/>
          <w:color w:val="auto"/>
        </w:rPr>
        <w:t>” and together with the 3-Year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administrative agent for the 5-Year Lenders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and together with the 3-Year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as Brazilian administrative agent, and the other agents party thereto. Unless otherwise defined herein, capitalized terms used in this Certificate have the meanings assigned to such terms in each Credit Agreement.</w:t>
      </w:r>
    </w:p>
    <w:p>
      <w:pPr>
        <w:spacing w:after="0" w:line="142" w:lineRule="exact"/>
        <w:rPr>
          <w:sz w:val="20"/>
          <w:szCs w:val="20"/>
          <w:color w:val="auto"/>
        </w:rPr>
      </w:pPr>
    </w:p>
    <w:p>
      <w:pPr>
        <w:jc w:val="both"/>
        <w:ind w:firstLine="532"/>
        <w:spacing w:after="0" w:line="263" w:lineRule="auto"/>
        <w:rPr>
          <w:sz w:val="20"/>
          <w:szCs w:val="20"/>
          <w:color w:val="auto"/>
        </w:rPr>
      </w:pPr>
      <w:r>
        <w:rPr>
          <w:rFonts w:ascii="Arial" w:cs="Arial" w:eastAsia="Arial" w:hAnsi="Arial"/>
          <w:sz w:val="18"/>
          <w:szCs w:val="18"/>
          <w:color w:val="auto"/>
        </w:rPr>
        <w:t>I, the undersigned, [Assistant] Secretary of [the Company] [Name of Loan Party], a Delaware [corporation][limited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in the name and on behalf of the Company, and without assuming any personal liability, that:</w:t>
      </w:r>
    </w:p>
    <w:p>
      <w:pPr>
        <w:spacing w:after="0" w:line="144" w:lineRule="exact"/>
        <w:rPr>
          <w:sz w:val="20"/>
          <w:szCs w:val="20"/>
          <w:color w:val="auto"/>
        </w:rPr>
      </w:pPr>
    </w:p>
    <w:p>
      <w:pPr>
        <w:jc w:val="both"/>
        <w:ind w:firstLine="540"/>
        <w:spacing w:after="0" w:line="250" w:lineRule="auto"/>
        <w:tabs>
          <w:tab w:leader="none" w:pos="119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89" w:lineRule="exact"/>
        <w:rPr>
          <w:rFonts w:ascii="Arial" w:cs="Arial" w:eastAsia="Arial" w:hAnsi="Arial"/>
          <w:sz w:val="18"/>
          <w:szCs w:val="18"/>
          <w:color w:val="auto"/>
        </w:rPr>
      </w:pPr>
    </w:p>
    <w:p>
      <w:pPr>
        <w:ind w:firstLine="540"/>
        <w:spacing w:after="0" w:line="217" w:lineRule="exact"/>
        <w:tabs>
          <w:tab w:leader="none" w:pos="119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w:t>
      </w:r>
      <w:r>
        <w:rPr>
          <w:rFonts w:ascii="MS PGothic" w:cs="MS PGothic" w:eastAsia="MS PGothic" w:hAnsi="MS PGothic"/>
          <w:sz w:val="18"/>
          <w:szCs w:val="18"/>
          <w:color w:val="auto"/>
        </w:rPr>
        <w:t>‑</w:t>
      </w:r>
      <w:r>
        <w:rPr>
          <w:rFonts w:ascii="Arial" w:cs="Arial" w:eastAsia="Arial" w:hAnsi="Arial"/>
          <w:sz w:val="18"/>
          <w:szCs w:val="18"/>
          <w:color w:val="auto"/>
        </w:rPr>
        <w:t>laws][Limited Liability Company Agreement][Operating Agreement] of the Company as in effect on the date hereof.</w:t>
      </w:r>
    </w:p>
    <w:p>
      <w:pPr>
        <w:spacing w:after="0" w:line="1" w:lineRule="exact"/>
        <w:rPr>
          <w:rFonts w:ascii="Arial" w:cs="Arial" w:eastAsia="Arial" w:hAnsi="Arial"/>
          <w:sz w:val="18"/>
          <w:szCs w:val="18"/>
          <w:color w:val="auto"/>
        </w:rPr>
      </w:pPr>
    </w:p>
    <w:p>
      <w:pPr>
        <w:ind w:right="20" w:firstLine="540"/>
        <w:spacing w:after="0" w:line="247" w:lineRule="auto"/>
        <w:tabs>
          <w:tab w:leader="none" w:pos="119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Attached hereto as Annex III is a true, correct and complete copy of resolutions duly adopted by the Board of [Directors] [Managers] of the Company [at a meeting thereof] [by written consent] as of the</w:t>
      </w:r>
    </w:p>
    <w:p>
      <w:pPr>
        <w:spacing w:after="0" w:line="175"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626" w:right="219" w:bottom="1440" w:gutter="0" w:footer="0" w:header="0"/>
        </w:sectPr>
      </w:pPr>
    </w:p>
    <w:bookmarkStart w:id="340" w:name="page341"/>
    <w:bookmarkEnd w:id="340"/>
    <w:p>
      <w:pPr>
        <w:spacing w:after="0"/>
        <w:rPr>
          <w:sz w:val="20"/>
          <w:szCs w:val="20"/>
          <w:color w:val="auto"/>
        </w:rPr>
      </w:pPr>
      <w:r>
        <w:rPr>
          <w:rFonts w:ascii="Arial" w:cs="Arial" w:eastAsia="Arial" w:hAnsi="Arial"/>
          <w:sz w:val="16"/>
          <w:szCs w:val="16"/>
          <w:color w:val="auto"/>
        </w:rPr>
        <w:t>___ day of ____________, 2014; such resolutions have not in any way been revoked, modified, amended, or rescinded, have been in full force and effect since</w:t>
      </w:r>
    </w:p>
    <w:p>
      <w:pPr>
        <w:spacing w:after="0" w:line="4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176" w:lineRule="exact"/>
        <w:rPr>
          <w:sz w:val="20"/>
          <w:szCs w:val="20"/>
          <w:color w:val="auto"/>
        </w:rPr>
      </w:pPr>
    </w:p>
    <w:p>
      <w:pPr>
        <w:ind w:right="20" w:firstLine="540"/>
        <w:spacing w:after="0" w:line="263" w:lineRule="auto"/>
        <w:tabs>
          <w:tab w:leader="none" w:pos="119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357505</wp:posOffset>
            </wp:positionV>
            <wp:extent cx="295338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53385" cy="698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[Assistant] Secretary</w:t>
      </w:r>
    </w:p>
    <w:p>
      <w:pPr>
        <w:spacing w:after="0" w:line="380" w:lineRule="exact"/>
        <w:rPr>
          <w:sz w:val="20"/>
          <w:szCs w:val="20"/>
          <w:color w:val="auto"/>
        </w:rPr>
      </w:pPr>
    </w:p>
    <w:p>
      <w:pPr>
        <w:ind w:firstLine="532"/>
        <w:spacing w:after="0" w:line="263"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144" w:lineRule="exact"/>
        <w:rPr>
          <w:sz w:val="20"/>
          <w:szCs w:val="20"/>
          <w:color w:val="auto"/>
        </w:rPr>
      </w:pPr>
    </w:p>
    <w:p>
      <w:pPr>
        <w:ind w:firstLine="540"/>
        <w:spacing w:after="0" w:line="263" w:lineRule="auto"/>
        <w:tabs>
          <w:tab w:leader="none" w:pos="119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___________________ is [a] [the] duly elected and qualified [Assistant] Secretary of the Company and the signature above is [his][her] genuine signature.</w:t>
      </w:r>
    </w:p>
    <w:p>
      <w:pPr>
        <w:spacing w:after="0" w:line="177" w:lineRule="exact"/>
        <w:rPr>
          <w:rFonts w:ascii="Arial" w:cs="Arial" w:eastAsia="Arial" w:hAnsi="Arial"/>
          <w:sz w:val="18"/>
          <w:szCs w:val="18"/>
          <w:color w:val="auto"/>
        </w:rPr>
      </w:pPr>
    </w:p>
    <w:p>
      <w:pPr>
        <w:jc w:val="both"/>
        <w:ind w:firstLine="9"/>
        <w:spacing w:after="0" w:line="255" w:lineRule="auto"/>
        <w:tabs>
          <w:tab w:leader="none" w:pos="17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23"/>
          <w:szCs w:val="23"/>
          <w:color w:val="auto"/>
          <w:vertAlign w:val="superscript"/>
        </w:rPr>
        <w:t>13</w:t>
      </w:r>
    </w:p>
    <w:p>
      <w:pPr>
        <w:spacing w:after="0" w:line="101" w:lineRule="exact"/>
        <w:rPr>
          <w:rFonts w:ascii="Arial" w:cs="Arial" w:eastAsia="Arial" w:hAnsi="Arial"/>
          <w:sz w:val="18"/>
          <w:szCs w:val="18"/>
          <w:color w:val="auto"/>
        </w:rPr>
      </w:pPr>
    </w:p>
    <w:p>
      <w:pPr>
        <w:ind w:left="180" w:hanging="171"/>
        <w:spacing w:after="0"/>
        <w:tabs>
          <w:tab w:leader="none" w:pos="1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as of the date hereof.]</w:t>
      </w:r>
      <w:r>
        <w:rPr>
          <w:rFonts w:ascii="Arial" w:cs="Arial" w:eastAsia="Arial" w:hAnsi="Arial"/>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383540</wp:posOffset>
            </wp:positionV>
            <wp:extent cx="401510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15105" cy="698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[[Assistant] Secretary][Responsible Officer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80" w:hanging="171"/>
        <w:spacing w:after="0" w:line="206" w:lineRule="auto"/>
        <w:tabs>
          <w:tab w:leader="none" w:pos="180" w:val="left"/>
        </w:tabs>
        <w:numPr>
          <w:ilvl w:val="0"/>
          <w:numId w:val="311"/>
        </w:numPr>
        <w:rPr>
          <w:rFonts w:ascii="Arial" w:cs="Arial" w:eastAsia="Arial" w:hAnsi="Arial"/>
          <w:sz w:val="23"/>
          <w:szCs w:val="23"/>
          <w:color w:val="auto"/>
          <w:vertAlign w:val="superscript"/>
        </w:rPr>
      </w:pPr>
      <w:r>
        <w:rPr>
          <w:rFonts w:ascii="Arial" w:cs="Arial" w:eastAsia="Arial" w:hAnsi="Arial"/>
          <w:sz w:val="17"/>
          <w:szCs w:val="17"/>
          <w:color w:val="auto"/>
        </w:rPr>
        <w:t>To be included in Certificate relating to General Motors Company only.</w:t>
      </w:r>
    </w:p>
    <w:p>
      <w:pPr>
        <w:spacing w:after="0" w:line="156" w:lineRule="exact"/>
        <w:rPr>
          <w:rFonts w:ascii="Arial" w:cs="Arial" w:eastAsia="Arial" w:hAnsi="Arial"/>
          <w:sz w:val="23"/>
          <w:szCs w:val="23"/>
          <w:color w:val="auto"/>
          <w:vertAlign w:val="superscript"/>
        </w:rPr>
      </w:pPr>
    </w:p>
    <w:p>
      <w:pPr>
        <w:ind w:left="180" w:hanging="171"/>
        <w:spacing w:after="0"/>
        <w:tabs>
          <w:tab w:leader="none" w:pos="180" w:val="left"/>
        </w:tabs>
        <w:numPr>
          <w:ilvl w:val="0"/>
          <w:numId w:val="311"/>
        </w:numPr>
        <w:rPr>
          <w:rFonts w:ascii="Arial" w:cs="Arial" w:eastAsia="Arial" w:hAnsi="Arial"/>
          <w:sz w:val="23"/>
          <w:szCs w:val="23"/>
          <w:color w:val="auto"/>
          <w:vertAlign w:val="superscript"/>
        </w:rPr>
      </w:pPr>
      <w:r>
        <w:rPr>
          <w:rFonts w:ascii="Arial" w:cs="Arial" w:eastAsia="Arial" w:hAnsi="Arial"/>
          <w:sz w:val="17"/>
          <w:szCs w:val="17"/>
          <w:color w:val="auto"/>
        </w:rPr>
        <w:t xml:space="preserve">To be included in Certificate relating to General Motors Company </w:t>
      </w:r>
      <w:r>
        <w:rPr>
          <w:rFonts w:ascii="Arial" w:cs="Arial" w:eastAsia="Arial" w:hAnsi="Arial"/>
          <w:sz w:val="15"/>
          <w:szCs w:val="15"/>
          <w:color w:val="auto"/>
        </w:rPr>
        <w:t>only.</w:t>
      </w:r>
    </w:p>
    <w:p>
      <w:pPr>
        <w:spacing w:after="0" w:line="19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510" w:right="219" w:bottom="1440" w:gutter="0" w:footer="0" w:header="0"/>
        </w:sectPr>
      </w:pPr>
    </w:p>
    <w:bookmarkStart w:id="341" w:name="page342"/>
    <w:bookmarkEnd w:id="341"/>
    <w:p>
      <w:pPr>
        <w:jc w:val="center"/>
        <w:ind w:left="9220"/>
        <w:spacing w:after="0"/>
        <w:rPr>
          <w:sz w:val="20"/>
          <w:szCs w:val="20"/>
          <w:color w:val="auto"/>
        </w:rPr>
      </w:pPr>
      <w:r>
        <w:rPr>
          <w:rFonts w:ascii="Arial" w:cs="Arial" w:eastAsia="Arial" w:hAnsi="Arial"/>
          <w:sz w:val="18"/>
          <w:szCs w:val="18"/>
          <w:b w:val="1"/>
          <w:bCs w:val="1"/>
          <w:color w:val="auto"/>
        </w:rPr>
        <w:t>ANNEX I</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6"/>
          <w:szCs w:val="16"/>
          <w:b w:val="1"/>
          <w:bCs w:val="1"/>
          <w:color w:val="auto"/>
        </w:rPr>
        <w:t>Certificate</w:t>
      </w:r>
    </w:p>
    <w:p>
      <w:pPr>
        <w:spacing w:after="0" w:line="200" w:lineRule="exact"/>
        <w:rPr>
          <w:sz w:val="20"/>
          <w:szCs w:val="20"/>
          <w:color w:val="auto"/>
        </w:rPr>
      </w:pPr>
    </w:p>
    <w:p>
      <w:pPr>
        <w:spacing w:after="0" w:line="364"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[Copy of the Certificate of [Incorporation][Formation]]</w:t>
      </w:r>
    </w:p>
    <w:p>
      <w:pPr>
        <w:spacing w:after="0" w:line="17"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of</w:t>
      </w:r>
    </w:p>
    <w:p>
      <w:pPr>
        <w:spacing w:after="0" w:line="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[NAME OF LOAN PARTY]]</w:t>
      </w:r>
    </w:p>
    <w:p>
      <w:pPr>
        <w:spacing w:after="0" w:line="18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0740"/>
          </w:cols>
          <w:pgMar w:left="220" w:top="814" w:right="939" w:bottom="1440" w:gutter="0" w:footer="0" w:header="0"/>
        </w:sectPr>
      </w:pPr>
    </w:p>
    <w:bookmarkStart w:id="342" w:name="page343"/>
    <w:bookmarkEnd w:id="342"/>
    <w:p>
      <w:pPr>
        <w:jc w:val="center"/>
        <w:ind w:left="9240"/>
        <w:spacing w:after="0"/>
        <w:rPr>
          <w:sz w:val="20"/>
          <w:szCs w:val="20"/>
          <w:color w:val="auto"/>
        </w:rPr>
      </w:pPr>
      <w:r>
        <w:rPr>
          <w:rFonts w:ascii="Arial" w:cs="Arial" w:eastAsia="Arial" w:hAnsi="Arial"/>
          <w:sz w:val="18"/>
          <w:szCs w:val="18"/>
          <w:b w:val="1"/>
          <w:bCs w:val="1"/>
          <w:color w:val="auto"/>
        </w:rPr>
        <w:t>ANNEX II</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6"/>
          <w:szCs w:val="16"/>
          <w:b w:val="1"/>
          <w:bCs w:val="1"/>
          <w:color w:val="auto"/>
        </w:rPr>
        <w:t>Certificate</w:t>
      </w:r>
    </w:p>
    <w:p>
      <w:pPr>
        <w:spacing w:after="0" w:line="200" w:lineRule="exact"/>
        <w:rPr>
          <w:sz w:val="20"/>
          <w:szCs w:val="20"/>
          <w:color w:val="auto"/>
        </w:rPr>
      </w:pPr>
    </w:p>
    <w:p>
      <w:pPr>
        <w:spacing w:after="0" w:line="242"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[Copy of the [by-laws] [Limited Liability Company Agreement][Operating Agreement]</w:t>
      </w:r>
    </w:p>
    <w:p>
      <w:pPr>
        <w:spacing w:after="0" w:line="17"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of</w:t>
      </w:r>
    </w:p>
    <w:p>
      <w:pPr>
        <w:spacing w:after="0" w:line="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[NAME OF LOAN PARTY]]</w:t>
      </w:r>
    </w:p>
    <w:p>
      <w:pPr>
        <w:spacing w:after="0" w:line="18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0760"/>
          </w:cols>
          <w:pgMar w:left="220" w:top="626" w:right="919" w:bottom="1440" w:gutter="0" w:footer="0" w:header="0"/>
        </w:sectPr>
      </w:pPr>
    </w:p>
    <w:bookmarkStart w:id="343" w:name="page344"/>
    <w:bookmarkEnd w:id="343"/>
    <w:p>
      <w:pPr>
        <w:jc w:val="center"/>
        <w:ind w:left="9220"/>
        <w:spacing w:after="0"/>
        <w:rPr>
          <w:sz w:val="20"/>
          <w:szCs w:val="20"/>
          <w:color w:val="auto"/>
        </w:rPr>
      </w:pPr>
      <w:r>
        <w:rPr>
          <w:rFonts w:ascii="Arial" w:cs="Arial" w:eastAsia="Arial" w:hAnsi="Arial"/>
          <w:sz w:val="18"/>
          <w:szCs w:val="18"/>
          <w:b w:val="1"/>
          <w:bCs w:val="1"/>
          <w:color w:val="auto"/>
        </w:rPr>
        <w:t>ANNEX III</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20"/>
        <w:spacing w:after="0"/>
        <w:rPr>
          <w:sz w:val="20"/>
          <w:szCs w:val="20"/>
          <w:color w:val="auto"/>
        </w:rPr>
      </w:pPr>
      <w:r>
        <w:rPr>
          <w:rFonts w:ascii="Arial" w:cs="Arial" w:eastAsia="Arial" w:hAnsi="Arial"/>
          <w:sz w:val="17"/>
          <w:szCs w:val="17"/>
          <w:b w:val="1"/>
          <w:bCs w:val="1"/>
          <w:color w:val="auto"/>
        </w:rPr>
        <w:t>Certificate</w:t>
      </w:r>
    </w:p>
    <w:p>
      <w:pPr>
        <w:spacing w:after="0" w:line="200" w:lineRule="exact"/>
        <w:rPr>
          <w:sz w:val="20"/>
          <w:szCs w:val="20"/>
          <w:color w:val="auto"/>
        </w:rPr>
      </w:pPr>
    </w:p>
    <w:p>
      <w:pPr>
        <w:spacing w:after="0" w:line="23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Resolutions of the Board of [Directors] [Managers] of [Name of Loan Party]</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0780"/>
          </w:cols>
          <w:pgMar w:left="220" w:top="836" w:right="899" w:bottom="1440" w:gutter="0" w:footer="0" w:header="0"/>
        </w:sectPr>
      </w:pPr>
    </w:p>
    <w:bookmarkStart w:id="344" w:name="page345"/>
    <w:bookmarkEnd w:id="344"/>
    <w:p>
      <w:pPr>
        <w:jc w:val="center"/>
        <w:ind w:left="9240"/>
        <w:spacing w:after="0"/>
        <w:rPr>
          <w:sz w:val="20"/>
          <w:szCs w:val="20"/>
          <w:color w:val="auto"/>
        </w:rPr>
      </w:pPr>
      <w:r>
        <w:rPr>
          <w:rFonts w:ascii="Arial" w:cs="Arial" w:eastAsia="Arial" w:hAnsi="Arial"/>
          <w:sz w:val="18"/>
          <w:szCs w:val="18"/>
          <w:b w:val="1"/>
          <w:bCs w:val="1"/>
          <w:color w:val="auto"/>
        </w:rPr>
        <w:t>ANNEX IV</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7"/>
          <w:szCs w:val="17"/>
          <w:b w:val="1"/>
          <w:bCs w:val="1"/>
          <w:color w:val="auto"/>
        </w:rPr>
        <w:t>Certificate</w:t>
      </w:r>
    </w:p>
    <w:p>
      <w:pPr>
        <w:spacing w:after="0" w:line="200" w:lineRule="exact"/>
        <w:rPr>
          <w:sz w:val="20"/>
          <w:szCs w:val="20"/>
          <w:color w:val="auto"/>
        </w:rPr>
      </w:pPr>
    </w:p>
    <w:p>
      <w:pPr>
        <w:spacing w:after="0" w:line="359" w:lineRule="exact"/>
        <w:rPr>
          <w:sz w:val="20"/>
          <w:szCs w:val="20"/>
          <w:color w:val="auto"/>
        </w:rPr>
      </w:pPr>
    </w:p>
    <w:p>
      <w:pPr>
        <w:ind w:left="1800"/>
        <w:spacing w:after="0"/>
        <w:tabs>
          <w:tab w:leader="none" w:pos="5520" w:val="left"/>
          <w:tab w:leader="none" w:pos="8880" w:val="left"/>
        </w:tabs>
        <w:rPr>
          <w:sz w:val="20"/>
          <w:szCs w:val="20"/>
          <w:color w:val="auto"/>
        </w:rPr>
      </w:pPr>
      <w:r>
        <w:rPr>
          <w:rFonts w:ascii="Arial" w:cs="Arial" w:eastAsia="Arial" w:hAnsi="Arial"/>
          <w:sz w:val="15"/>
          <w:szCs w:val="15"/>
          <w:u w:val="single" w:color="auto"/>
          <w:color w:val="auto"/>
        </w:rPr>
        <w:t>Name of Officer</w:t>
      </w:r>
      <w:r>
        <w:rPr>
          <w:sz w:val="20"/>
          <w:szCs w:val="20"/>
          <w:color w:val="auto"/>
        </w:rPr>
        <w:tab/>
      </w:r>
      <w:r>
        <w:rPr>
          <w:rFonts w:ascii="Arial" w:cs="Arial" w:eastAsia="Arial" w:hAnsi="Arial"/>
          <w:sz w:val="15"/>
          <w:szCs w:val="15"/>
          <w:u w:val="single" w:color="auto"/>
          <w:color w:val="auto"/>
        </w:rPr>
        <w:t>Office</w:t>
      </w:r>
      <w:r>
        <w:rPr>
          <w:sz w:val="20"/>
          <w:szCs w:val="20"/>
          <w:color w:val="auto"/>
        </w:rPr>
        <w:tab/>
      </w:r>
      <w:r>
        <w:rPr>
          <w:rFonts w:ascii="Arial" w:cs="Arial" w:eastAsia="Arial" w:hAnsi="Arial"/>
          <w:sz w:val="13"/>
          <w:szCs w:val="13"/>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0780"/>
          </w:cols>
          <w:pgMar w:left="220" w:top="1368" w:right="899" w:bottom="1440" w:gutter="0" w:footer="0" w:header="0"/>
        </w:sectPr>
      </w:pPr>
    </w:p>
    <w:bookmarkStart w:id="345" w:name="page346"/>
    <w:bookmarkEnd w:id="345"/>
    <w:p>
      <w:pPr>
        <w:jc w:val="center"/>
        <w:ind w:left="9240"/>
        <w:spacing w:after="0"/>
        <w:rPr>
          <w:sz w:val="20"/>
          <w:szCs w:val="20"/>
          <w:color w:val="auto"/>
        </w:rPr>
      </w:pPr>
      <w:r>
        <w:rPr>
          <w:rFonts w:ascii="Arial" w:cs="Arial" w:eastAsia="Arial" w:hAnsi="Arial"/>
          <w:sz w:val="18"/>
          <w:szCs w:val="18"/>
          <w:b w:val="1"/>
          <w:bCs w:val="1"/>
          <w:color w:val="auto"/>
        </w:rPr>
        <w:t>EXHIBIT I</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ASSIGNMENT AND ASSUMPTION, dated as of _____________, 20__ (as amended, supplemented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between [NAME OF ASSIGNOR], a Lender under the Credit Agreement referred to below (the “</w:t>
      </w:r>
      <w:r>
        <w:rPr>
          <w:rFonts w:ascii="Arial" w:cs="Arial" w:eastAsia="Arial" w:hAnsi="Arial"/>
          <w:sz w:val="16"/>
          <w:szCs w:val="16"/>
          <w:u w:val="single" w:color="auto"/>
          <w:color w:val="auto"/>
        </w:rPr>
        <w:t>Assignor</w:t>
      </w:r>
      <w:r>
        <w:rPr>
          <w:rFonts w:ascii="Arial" w:cs="Arial" w:eastAsia="Arial" w:hAnsi="Arial"/>
          <w:sz w:val="16"/>
          <w:szCs w:val="16"/>
          <w:color w:val="auto"/>
        </w:rPr>
        <w:t>”), and [NAME OF ASSIGNEE] (the “</w:t>
      </w:r>
      <w:r>
        <w:rPr>
          <w:rFonts w:ascii="Arial" w:cs="Arial" w:eastAsia="Arial" w:hAnsi="Arial"/>
          <w:sz w:val="16"/>
          <w:szCs w:val="16"/>
          <w:u w:val="single" w:color="auto"/>
          <w:color w:val="auto"/>
        </w:rPr>
        <w:t>Assignee</w:t>
      </w:r>
      <w:r>
        <w:rPr>
          <w:rFonts w:ascii="Arial" w:cs="Arial" w:eastAsia="Arial" w:hAnsi="Arial"/>
          <w:sz w:val="16"/>
          <w:szCs w:val="16"/>
          <w:color w:val="auto"/>
        </w:rPr>
        <w:t>”).</w:t>
      </w:r>
    </w:p>
    <w:p>
      <w:pPr>
        <w:spacing w:after="0" w:line="190" w:lineRule="exact"/>
        <w:rPr>
          <w:sz w:val="20"/>
          <w:szCs w:val="20"/>
          <w:color w:val="auto"/>
        </w:rPr>
      </w:pPr>
    </w:p>
    <w:p>
      <w:pPr>
        <w:jc w:val="both"/>
        <w:ind w:firstLine="532"/>
        <w:spacing w:after="0" w:line="247" w:lineRule="auto"/>
        <w:rPr>
          <w:sz w:val="20"/>
          <w:szCs w:val="20"/>
          <w:color w:val="auto"/>
        </w:rPr>
      </w:pPr>
      <w:r>
        <w:rPr>
          <w:rFonts w:ascii="Arial" w:cs="Arial" w:eastAsia="Arial" w:hAnsi="Arial"/>
          <w:sz w:val="18"/>
          <w:szCs w:val="18"/>
          <w:color w:val="auto"/>
        </w:rPr>
        <w:t>Reference is made to the Amended and Restated Five Year Revolving Credit Agreement, dated as of October 17, 2014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General Motors do Brasil Ltda., a Brazilian limited liability company, the Subsidiary Borrowers from time to time party thereto, the lenders from time to time party thereto (together with their respective successors and permitted assigns,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Banco do Brasil S.A., as Brazilian administrative agent, and the other agents party thereto. Unless otherwise defined herein, terms used herein have the meanings assigned to such terms in the Credit Agreement.</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Assignor and the Assignee hereby agree as follows:</w:t>
      </w:r>
    </w:p>
    <w:p>
      <w:pPr>
        <w:spacing w:after="0" w:line="181" w:lineRule="exact"/>
        <w:rPr>
          <w:sz w:val="20"/>
          <w:szCs w:val="20"/>
          <w:color w:val="auto"/>
        </w:rPr>
      </w:pPr>
    </w:p>
    <w:p>
      <w:pPr>
        <w:jc w:val="both"/>
        <w:ind w:firstLine="540"/>
        <w:spacing w:after="0" w:line="256" w:lineRule="auto"/>
        <w:tabs>
          <w:tab w:leader="none" w:pos="823"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For an agreed consideration, the Assignor hereby irrevocably sells and assigns to the Assignee,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as of the Trade Date (as defined below), the interest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in and to the Assignor’s rights and obligations under the Credit Agreement with respect to its [Commitment [and all outstanding Letters of Credit issued by an Issuing Lender other than the Assignor]</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172" w:lineRule="exact"/>
        <w:rPr>
          <w:sz w:val="20"/>
          <w:szCs w:val="20"/>
          <w:color w:val="auto"/>
        </w:rPr>
      </w:pPr>
    </w:p>
    <w:p>
      <w:pPr>
        <w:ind w:left="260" w:hanging="229"/>
        <w:spacing w:after="0"/>
        <w:tabs>
          <w:tab w:leader="none" w:pos="260" w:val="left"/>
        </w:tabs>
        <w:numPr>
          <w:ilvl w:val="0"/>
          <w:numId w:val="313"/>
        </w:numPr>
        <w:rPr>
          <w:rFonts w:ascii="Arial" w:cs="Arial" w:eastAsia="Arial" w:hAnsi="Arial"/>
          <w:sz w:val="24"/>
          <w:szCs w:val="24"/>
          <w:color w:val="auto"/>
          <w:vertAlign w:val="superscript"/>
        </w:rPr>
      </w:pPr>
      <w:r>
        <w:rPr>
          <w:rFonts w:ascii="Arial" w:cs="Arial" w:eastAsia="Arial" w:hAnsi="Arial"/>
          <w:sz w:val="18"/>
          <w:szCs w:val="18"/>
          <w:color w:val="auto"/>
        </w:rPr>
        <w:t>Insert bracketed text if the Assignor is an L/C Participant and Letters of Credit issued by another Issuing Lender 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626" w:right="219" w:bottom="1440" w:gutter="0" w:footer="0" w:header="0"/>
        </w:sectPr>
      </w:pPr>
    </w:p>
    <w:bookmarkStart w:id="346" w:name="page347"/>
    <w:bookmarkEnd w:id="346"/>
    <w:p>
      <w:pPr>
        <w:jc w:val="both"/>
        <w:spacing w:after="0" w:line="278" w:lineRule="auto"/>
        <w:rPr>
          <w:sz w:val="20"/>
          <w:szCs w:val="20"/>
          <w:color w:val="auto"/>
        </w:rPr>
      </w:pPr>
      <w:r>
        <w:rPr>
          <w:rFonts w:ascii="Arial" w:cs="Arial" w:eastAsia="Arial" w:hAnsi="Arial"/>
          <w:sz w:val="16"/>
          <w:szCs w:val="16"/>
          <w:color w:val="auto"/>
        </w:rPr>
        <w:t xml:space="preserve">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it is expressly understood and agreed that</w:t>
      </w:r>
    </w:p>
    <w:p>
      <w:pPr>
        <w:spacing w:after="0" w:line="3" w:lineRule="exact"/>
        <w:rPr>
          <w:sz w:val="20"/>
          <w:szCs w:val="20"/>
          <w:color w:val="auto"/>
        </w:rPr>
      </w:pPr>
    </w:p>
    <w:p>
      <w:pPr>
        <w:jc w:val="both"/>
        <w:ind w:firstLine="9"/>
        <w:spacing w:after="0" w:line="245" w:lineRule="auto"/>
        <w:tabs>
          <w:tab w:leader="none" w:pos="2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Assignor is not assigning to the Assignee and the Assignor shall retain (A) all of the Assignor’s rights under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from and after the Trade Date.</w:t>
      </w:r>
    </w:p>
    <w:p>
      <w:pPr>
        <w:spacing w:after="0" w:line="160" w:lineRule="exact"/>
        <w:rPr>
          <w:rFonts w:ascii="Arial" w:cs="Arial" w:eastAsia="Arial" w:hAnsi="Arial"/>
          <w:sz w:val="18"/>
          <w:szCs w:val="18"/>
          <w:color w:val="auto"/>
        </w:rPr>
      </w:pPr>
    </w:p>
    <w:p>
      <w:pPr>
        <w:jc w:val="both"/>
        <w:ind w:firstLine="540"/>
        <w:spacing w:after="0" w:line="280" w:lineRule="auto"/>
        <w:tabs>
          <w:tab w:leader="none" w:pos="856" w:val="left"/>
        </w:tabs>
        <w:numPr>
          <w:ilvl w:val="1"/>
          <w:numId w:val="314"/>
        </w:numPr>
        <w:rPr>
          <w:rFonts w:ascii="Arial" w:cs="Arial" w:eastAsia="Arial" w:hAnsi="Arial"/>
          <w:sz w:val="16"/>
          <w:szCs w:val="16"/>
          <w:color w:val="auto"/>
        </w:rPr>
      </w:pPr>
      <w:r>
        <w:rPr>
          <w:rFonts w:ascii="Arial" w:cs="Arial" w:eastAsia="Arial" w:hAnsi="Arial"/>
          <w:sz w:val="16"/>
          <w:szCs w:val="16"/>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33" w:lineRule="exact"/>
        <w:rPr>
          <w:rFonts w:ascii="Arial" w:cs="Arial" w:eastAsia="Arial" w:hAnsi="Arial"/>
          <w:sz w:val="16"/>
          <w:szCs w:val="16"/>
          <w:color w:val="auto"/>
        </w:rPr>
      </w:pPr>
    </w:p>
    <w:p>
      <w:pPr>
        <w:jc w:val="both"/>
        <w:ind w:firstLine="540"/>
        <w:spacing w:after="0" w:line="326" w:lineRule="auto"/>
        <w:tabs>
          <w:tab w:leader="none" w:pos="856" w:val="left"/>
        </w:tabs>
        <w:numPr>
          <w:ilvl w:val="1"/>
          <w:numId w:val="314"/>
        </w:numPr>
        <w:rPr>
          <w:rFonts w:ascii="Arial" w:cs="Arial" w:eastAsia="Arial" w:hAnsi="Arial"/>
          <w:sz w:val="14"/>
          <w:szCs w:val="14"/>
          <w:color w:val="auto"/>
        </w:rPr>
      </w:pPr>
      <w:r>
        <w:rPr>
          <w:rFonts w:ascii="Arial" w:cs="Arial" w:eastAsia="Arial" w:hAnsi="Arial"/>
          <w:sz w:val="14"/>
          <w:szCs w:val="14"/>
          <w:color w:val="auto"/>
        </w:rPr>
        <w:t xml:space="preserve">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 statements delivered or deemed delivered pursuant to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thereof (or, if none of such financial statements shall have then been delivered or deemed delivered, then copies of the financial statements referred to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thereof)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876" w:right="219" w:bottom="1440" w:gutter="0" w:footer="0" w:header="0"/>
        </w:sectPr>
      </w:pPr>
    </w:p>
    <w:bookmarkStart w:id="347" w:name="page348"/>
    <w:bookmarkEnd w:id="347"/>
    <w:p>
      <w:pPr>
        <w:jc w:val="both"/>
        <w:spacing w:after="0" w:line="247" w:lineRule="auto"/>
        <w:rPr>
          <w:sz w:val="20"/>
          <w:szCs w:val="20"/>
          <w:color w:val="auto"/>
        </w:rPr>
      </w:pPr>
      <w:r>
        <w:rPr>
          <w:rFonts w:ascii="Arial" w:cs="Arial" w:eastAsia="Arial" w:hAnsi="Arial"/>
          <w:sz w:val="18"/>
          <w:szCs w:val="18"/>
          <w:color w:val="auto"/>
        </w:rPr>
        <w:t>behalf and to exercise such powers and discretion under the Loan Documents or any other instrument or document furnished pursuant hereto or thereto as are delegated to the Administrative Agent by the terms thereof, together with such powers as are incidental thereto; and (e) agrees that it will be bound by the provisions of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2.22(d) of the Credit Agreement, duly completed and executed by the Assignee.</w:t>
      </w:r>
    </w:p>
    <w:p>
      <w:pPr>
        <w:spacing w:after="0" w:line="162" w:lineRule="exact"/>
        <w:rPr>
          <w:sz w:val="20"/>
          <w:szCs w:val="20"/>
          <w:color w:val="auto"/>
        </w:rPr>
      </w:pPr>
    </w:p>
    <w:p>
      <w:pPr>
        <w:jc w:val="both"/>
        <w:ind w:firstLine="540"/>
        <w:spacing w:after="0" w:line="287" w:lineRule="auto"/>
        <w:tabs>
          <w:tab w:leader="none" w:pos="91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The effective date of this Agreement shall be the Trade Date of assignment described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Trade Date</w:t>
      </w:r>
      <w:r>
        <w:rPr>
          <w:rFonts w:ascii="Arial" w:cs="Arial" w:eastAsia="Arial" w:hAnsi="Arial"/>
          <w:sz w:val="16"/>
          <w:szCs w:val="16"/>
          <w:color w:val="auto"/>
        </w:rPr>
        <w:t xml:space="preserve">”). Following the 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30" w:lineRule="exact"/>
        <w:rPr>
          <w:rFonts w:ascii="Arial" w:cs="Arial" w:eastAsia="Arial" w:hAnsi="Arial"/>
          <w:sz w:val="16"/>
          <w:szCs w:val="16"/>
          <w:color w:val="auto"/>
        </w:rPr>
      </w:pPr>
    </w:p>
    <w:p>
      <w:pPr>
        <w:jc w:val="both"/>
        <w:ind w:firstLine="540"/>
        <w:spacing w:after="0" w:line="260" w:lineRule="auto"/>
        <w:tabs>
          <w:tab w:leader="none" w:pos="85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46" w:lineRule="exact"/>
        <w:rPr>
          <w:rFonts w:ascii="Arial" w:cs="Arial" w:eastAsia="Arial" w:hAnsi="Arial"/>
          <w:sz w:val="18"/>
          <w:szCs w:val="18"/>
          <w:color w:val="auto"/>
        </w:rPr>
      </w:pPr>
    </w:p>
    <w:p>
      <w:pPr>
        <w:jc w:val="both"/>
        <w:ind w:firstLine="540"/>
        <w:spacing w:after="0" w:line="274" w:lineRule="auto"/>
        <w:tabs>
          <w:tab w:leader="none" w:pos="867" w:val="left"/>
        </w:tabs>
        <w:numPr>
          <w:ilvl w:val="0"/>
          <w:numId w:val="315"/>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37" w:lineRule="exact"/>
        <w:rPr>
          <w:rFonts w:ascii="Arial" w:cs="Arial" w:eastAsia="Arial" w:hAnsi="Arial"/>
          <w:sz w:val="17"/>
          <w:szCs w:val="17"/>
          <w:color w:val="auto"/>
        </w:rPr>
      </w:pPr>
    </w:p>
    <w:p>
      <w:pPr>
        <w:ind w:right="20" w:firstLine="540"/>
        <w:spacing w:after="0" w:line="276" w:lineRule="auto"/>
        <w:tabs>
          <w:tab w:leader="none" w:pos="83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33" w:lineRule="exact"/>
        <w:rPr>
          <w:rFonts w:ascii="Arial" w:cs="Arial" w:eastAsia="Arial" w:hAnsi="Arial"/>
          <w:sz w:val="18"/>
          <w:szCs w:val="18"/>
          <w:color w:val="auto"/>
        </w:rPr>
      </w:pPr>
    </w:p>
    <w:p>
      <w:pPr>
        <w:jc w:val="both"/>
        <w:ind w:firstLine="540"/>
        <w:spacing w:after="0" w:line="260" w:lineRule="auto"/>
        <w:tabs>
          <w:tab w:leader="none" w:pos="81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340"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510" w:right="219" w:bottom="1440" w:gutter="0" w:footer="0" w:header="0"/>
        </w:sectPr>
      </w:pPr>
    </w:p>
    <w:bookmarkStart w:id="348" w:name="page349"/>
    <w:bookmarkEnd w:id="348"/>
    <w:p>
      <w:pPr>
        <w:ind w:firstLine="532"/>
        <w:spacing w:after="0" w:line="263" w:lineRule="auto"/>
        <w:rPr>
          <w:sz w:val="20"/>
          <w:szCs w:val="20"/>
          <w:color w:val="auto"/>
        </w:rPr>
      </w:pPr>
      <w:r>
        <w:rPr>
          <w:rFonts w:ascii="Arial" w:cs="Arial" w:eastAsia="Arial" w:hAnsi="Arial"/>
          <w:sz w:val="18"/>
          <w:szCs w:val="18"/>
          <w:color w:val="auto"/>
        </w:rPr>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390525</wp:posOffset>
            </wp:positionV>
            <wp:extent cx="6793230" cy="11322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93230"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_________________________, as Assignor</w:t>
      </w:r>
    </w:p>
    <w:p>
      <w:pPr>
        <w:spacing w:after="0" w:line="5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By:___________________________________</w:t>
      </w:r>
    </w:p>
    <w:p>
      <w:pPr>
        <w:ind w:left="5780"/>
        <w:spacing w:after="0" w:line="238" w:lineRule="auto"/>
        <w:rPr>
          <w:sz w:val="20"/>
          <w:szCs w:val="20"/>
          <w:color w:val="auto"/>
        </w:rPr>
      </w:pPr>
      <w:r>
        <w:rPr>
          <w:rFonts w:ascii="Arial" w:cs="Arial" w:eastAsia="Arial" w:hAnsi="Arial"/>
          <w:sz w:val="18"/>
          <w:szCs w:val="18"/>
          <w:color w:val="auto"/>
        </w:rPr>
        <w:t>Name:</w:t>
      </w:r>
    </w:p>
    <w:p>
      <w:pPr>
        <w:ind w:left="5780"/>
        <w:spacing w:after="0"/>
        <w:rPr>
          <w:sz w:val="20"/>
          <w:szCs w:val="20"/>
          <w:color w:val="auto"/>
        </w:rPr>
      </w:pPr>
      <w:r>
        <w:rPr>
          <w:rFonts w:ascii="Arial" w:cs="Arial" w:eastAsia="Arial" w:hAnsi="Arial"/>
          <w:sz w:val="18"/>
          <w:szCs w:val="18"/>
          <w:color w:val="auto"/>
        </w:rPr>
        <w:t>Title:</w:t>
      </w:r>
    </w:p>
    <w:p>
      <w:pPr>
        <w:spacing w:after="0" w:line="40"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________________________, as Assignee</w:t>
      </w:r>
    </w:p>
    <w:p>
      <w:pPr>
        <w:spacing w:after="0" w:line="5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By:___________________________________</w:t>
      </w:r>
    </w:p>
    <w:p>
      <w:pPr>
        <w:ind w:left="5780"/>
        <w:spacing w:after="0" w:line="238" w:lineRule="auto"/>
        <w:rPr>
          <w:sz w:val="20"/>
          <w:szCs w:val="20"/>
          <w:color w:val="auto"/>
        </w:rPr>
      </w:pPr>
      <w:r>
        <w:rPr>
          <w:rFonts w:ascii="Arial" w:cs="Arial" w:eastAsia="Arial" w:hAnsi="Arial"/>
          <w:sz w:val="18"/>
          <w:szCs w:val="18"/>
          <w:color w:val="auto"/>
        </w:rPr>
        <w:t>Name:</w:t>
      </w:r>
    </w:p>
    <w:p>
      <w:pPr>
        <w:jc w:val="center"/>
        <w:ind w:left="5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510" w:right="21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u w:val="single" w:color="auto"/>
          <w:color w:val="auto"/>
        </w:rPr>
        <w:t>Accepted and Consented to</w:t>
      </w:r>
      <w:r>
        <w:rPr>
          <w:rFonts w:ascii="Arial" w:cs="Arial" w:eastAsia="Arial" w:hAnsi="Arial"/>
          <w:sz w:val="18"/>
          <w:szCs w:val="18"/>
          <w:color w:val="auto"/>
        </w:rPr>
        <w:t>:</w:t>
      </w:r>
      <w:r>
        <w:rPr>
          <w:rFonts w:ascii="Arial" w:cs="Arial" w:eastAsia="Arial" w:hAnsi="Arial"/>
          <w:sz w:val="23"/>
          <w:szCs w:val="23"/>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[JPMORGAN CHASE BANK, N.A.], as Administrative Agent</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By:___________________________________</w:t>
      </w:r>
    </w:p>
    <w:p>
      <w:pPr>
        <w:ind w:left="420"/>
        <w:spacing w:after="0" w:line="238" w:lineRule="auto"/>
        <w:rPr>
          <w:sz w:val="20"/>
          <w:szCs w:val="20"/>
          <w:color w:val="auto"/>
        </w:rPr>
      </w:pPr>
      <w:r>
        <w:rPr>
          <w:rFonts w:ascii="Arial" w:cs="Arial" w:eastAsia="Arial" w:hAnsi="Arial"/>
          <w:sz w:val="18"/>
          <w:szCs w:val="18"/>
          <w:color w:val="auto"/>
        </w:rPr>
        <w:t>Name:</w:t>
      </w:r>
    </w:p>
    <w:p>
      <w:pPr>
        <w:ind w:left="420"/>
        <w:spacing w:after="0"/>
        <w:rPr>
          <w:sz w:val="20"/>
          <w:szCs w:val="20"/>
          <w:color w:val="auto"/>
        </w:rPr>
      </w:pPr>
      <w:r>
        <w:rPr>
          <w:rFonts w:ascii="Arial" w:cs="Arial" w:eastAsia="Arial" w:hAnsi="Arial"/>
          <w:sz w:val="18"/>
          <w:szCs w:val="18"/>
          <w:color w:val="auto"/>
        </w:rPr>
        <w:t>Title:</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[BANCO DO BRASIL S.A., as Brazilian Administrative Agent</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By:___________________________________</w:t>
      </w:r>
    </w:p>
    <w:p>
      <w:pPr>
        <w:ind w:left="420"/>
        <w:spacing w:after="0" w:line="238" w:lineRule="auto"/>
        <w:rPr>
          <w:sz w:val="20"/>
          <w:szCs w:val="20"/>
          <w:color w:val="auto"/>
        </w:rPr>
      </w:pPr>
      <w:r>
        <w:rPr>
          <w:rFonts w:ascii="Arial" w:cs="Arial" w:eastAsia="Arial" w:hAnsi="Arial"/>
          <w:sz w:val="18"/>
          <w:szCs w:val="18"/>
          <w:color w:val="auto"/>
        </w:rPr>
        <w:t>Name:</w:t>
      </w:r>
    </w:p>
    <w:p>
      <w:pPr>
        <w:ind w:left="420"/>
        <w:spacing w:after="0"/>
        <w:rPr>
          <w:sz w:val="20"/>
          <w:szCs w:val="20"/>
          <w:color w:val="auto"/>
        </w:rPr>
      </w:pPr>
      <w:r>
        <w:rPr>
          <w:rFonts w:ascii="Arial" w:cs="Arial" w:eastAsia="Arial" w:hAnsi="Arial"/>
          <w:sz w:val="18"/>
          <w:szCs w:val="18"/>
          <w:color w:val="auto"/>
        </w:rPr>
        <w:t>Title:]</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Consented to:</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GENERAL MOTORS COMPANY</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By:___________________________________</w:t>
      </w:r>
    </w:p>
    <w:p>
      <w:pPr>
        <w:ind w:left="420"/>
        <w:spacing w:after="0" w:line="238" w:lineRule="auto"/>
        <w:rPr>
          <w:sz w:val="20"/>
          <w:szCs w:val="20"/>
          <w:color w:val="auto"/>
        </w:rPr>
      </w:pPr>
      <w:r>
        <w:rPr>
          <w:rFonts w:ascii="Arial" w:cs="Arial" w:eastAsia="Arial" w:hAnsi="Arial"/>
          <w:sz w:val="18"/>
          <w:szCs w:val="18"/>
          <w:color w:val="auto"/>
        </w:rPr>
        <w:t>Name:</w:t>
      </w:r>
    </w:p>
    <w:p>
      <w:pPr>
        <w:ind w:left="420"/>
        <w:spacing w:after="0"/>
        <w:rPr>
          <w:sz w:val="20"/>
          <w:szCs w:val="20"/>
          <w:color w:val="auto"/>
        </w:rPr>
      </w:pPr>
      <w:r>
        <w:rPr>
          <w:rFonts w:ascii="Arial" w:cs="Arial" w:eastAsia="Arial" w:hAnsi="Arial"/>
          <w:sz w:val="18"/>
          <w:szCs w:val="18"/>
          <w:color w:val="auto"/>
        </w:rPr>
        <w:t>Title:</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[Each Material Issuing Lender]</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By:___________________________________</w:t>
      </w:r>
    </w:p>
    <w:p>
      <w:pPr>
        <w:ind w:left="420"/>
        <w:spacing w:after="0" w:line="238" w:lineRule="auto"/>
        <w:rPr>
          <w:sz w:val="20"/>
          <w:szCs w:val="20"/>
          <w:color w:val="auto"/>
        </w:rPr>
      </w:pPr>
      <w:r>
        <w:rPr>
          <w:rFonts w:ascii="Arial" w:cs="Arial" w:eastAsia="Arial" w:hAnsi="Arial"/>
          <w:sz w:val="18"/>
          <w:szCs w:val="18"/>
          <w:color w:val="auto"/>
        </w:rPr>
        <w:t>Name:</w:t>
      </w:r>
    </w:p>
    <w:p>
      <w:pPr>
        <w:ind w:left="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23" w:lineRule="exact"/>
        <w:rPr>
          <w:sz w:val="20"/>
          <w:szCs w:val="20"/>
          <w:color w:val="auto"/>
        </w:rPr>
      </w:pPr>
    </w:p>
    <w:p>
      <w:pPr>
        <w:ind w:left="1220" w:hanging="1189"/>
        <w:spacing w:after="0" w:line="235" w:lineRule="auto"/>
        <w:tabs>
          <w:tab w:leader="none" w:pos="1220" w:val="left"/>
        </w:tabs>
        <w:numPr>
          <w:ilvl w:val="0"/>
          <w:numId w:val="316"/>
        </w:numPr>
        <w:rPr>
          <w:rFonts w:ascii="Arial" w:cs="Arial" w:eastAsia="Arial" w:hAnsi="Arial"/>
          <w:sz w:val="21"/>
          <w:szCs w:val="21"/>
          <w:color w:val="auto"/>
          <w:vertAlign w:val="superscript"/>
        </w:rPr>
      </w:pPr>
      <w:r>
        <w:rPr>
          <w:rFonts w:ascii="Arial" w:cs="Arial" w:eastAsia="Arial" w:hAnsi="Arial"/>
          <w:sz w:val="16"/>
          <w:szCs w:val="16"/>
          <w:color w:val="auto"/>
        </w:rPr>
        <w:t xml:space="preserve">Prior written consent of the Company, the Administrative Agent, and the Brazilian Administrative Agent (in the case of any assignment of Brazilian commitments only) is required unless, (x) in the case of the Administrative Agent, the Assignee is a Lender or affiliate thereof, and (y) in the case of the Company only, (i) an Event of Default under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120"/>
          </w:cols>
          <w:pgMar w:left="220" w:top="855" w:right="559" w:bottom="1440" w:gutter="0" w:footer="0" w:header="0"/>
        </w:sectPr>
      </w:pPr>
    </w:p>
    <w:bookmarkStart w:id="350" w:name="page351"/>
    <w:bookmarkEnd w:id="350"/>
    <w:p>
      <w:pPr>
        <w:jc w:val="center"/>
        <w:ind w:left="7980"/>
        <w:spacing w:after="0"/>
        <w:rPr>
          <w:sz w:val="20"/>
          <w:szCs w:val="20"/>
          <w:color w:val="auto"/>
        </w:rPr>
      </w:pPr>
      <w:r>
        <w:rPr>
          <w:rFonts w:ascii="Arial" w:cs="Arial" w:eastAsia="Arial" w:hAnsi="Arial"/>
          <w:sz w:val="18"/>
          <w:szCs w:val="18"/>
          <w:b w:val="1"/>
          <w:bCs w:val="1"/>
          <w:color w:val="auto"/>
        </w:rPr>
        <w:t>SCHEDULE 1</w:t>
      </w:r>
    </w:p>
    <w:p>
      <w:pPr>
        <w:spacing w:after="0" w:line="37"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Assignment and Assumption</w:t>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is attached to and incorporated in the Assignment and Assumption, dated as of ________________, 20__ (as amended, supplemented or</w:t>
      </w:r>
    </w:p>
    <w:p>
      <w:pPr>
        <w:spacing w:after="0" w:line="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59" w:lineRule="exact"/>
        <w:rPr>
          <w:sz w:val="20"/>
          <w:szCs w:val="20"/>
          <w:color w:val="auto"/>
        </w:rPr>
      </w:pPr>
    </w:p>
    <w:p>
      <w:pPr>
        <w:jc w:val="both"/>
        <w:ind w:firstLine="532"/>
        <w:spacing w:after="0" w:line="247" w:lineRule="auto"/>
        <w:rPr>
          <w:sz w:val="20"/>
          <w:szCs w:val="20"/>
          <w:color w:val="auto"/>
        </w:rPr>
      </w:pPr>
      <w:r>
        <w:rPr>
          <w:rFonts w:ascii="Arial" w:cs="Arial" w:eastAsia="Arial" w:hAnsi="Arial"/>
          <w:sz w:val="18"/>
          <w:szCs w:val="18"/>
          <w:color w:val="auto"/>
        </w:rPr>
        <w:t>Reference is made to the Amended and Restated Five Year Revolving Credit Agreement, dated as of October 17, 2014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General Motors do Brasil Ltda., a Brazilian limited liability company, the Subsidiary Guarantors from time to time party thereto, the lenders from time to time party thereto (together with their respective successors and permitted assigns,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Banco do Brasil S.A., as Brazilian administrative agent, and the other agents party thereto. Unless otherwise defined herein, terms used herein have the meanings assigned to such terms in the Credit Agreement.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Assignor: ______________________</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Assignee: ______________________</w:t>
      </w:r>
    </w:p>
    <w:p>
      <w:pPr>
        <w:spacing w:after="0" w:line="181" w:lineRule="exact"/>
        <w:rPr>
          <w:sz w:val="20"/>
          <w:szCs w:val="20"/>
          <w:color w:val="auto"/>
        </w:rPr>
      </w:pPr>
    </w:p>
    <w:p>
      <w:pPr>
        <w:ind w:left="1600" w:hanging="528"/>
        <w:spacing w:after="0"/>
        <w:tabs>
          <w:tab w:leader="none" w:pos="16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80" w:lineRule="exact"/>
        <w:rPr>
          <w:rFonts w:ascii="Arial" w:cs="Arial" w:eastAsia="Arial" w:hAnsi="Arial"/>
          <w:sz w:val="18"/>
          <w:szCs w:val="18"/>
          <w:color w:val="auto"/>
        </w:rPr>
      </w:pPr>
    </w:p>
    <w:p>
      <w:pPr>
        <w:ind w:left="1600" w:right="400" w:hanging="528"/>
        <w:spacing w:after="0" w:line="263" w:lineRule="auto"/>
        <w:tabs>
          <w:tab w:leader="none" w:pos="16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144" w:lineRule="exact"/>
        <w:rPr>
          <w:rFonts w:ascii="Arial" w:cs="Arial" w:eastAsia="Arial" w:hAnsi="Arial"/>
          <w:sz w:val="18"/>
          <w:szCs w:val="18"/>
          <w:color w:val="auto"/>
        </w:rPr>
      </w:pPr>
    </w:p>
    <w:p>
      <w:pPr>
        <w:ind w:left="1600" w:right="40" w:hanging="528"/>
        <w:spacing w:after="0" w:line="263" w:lineRule="auto"/>
        <w:tabs>
          <w:tab w:leader="none" w:pos="16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241" w:lineRule="exact"/>
        <w:rPr>
          <w:sz w:val="20"/>
          <w:szCs w:val="20"/>
          <w:color w:val="auto"/>
        </w:rPr>
      </w:pPr>
    </w:p>
    <w:tbl>
      <w:tblPr>
        <w:tblLayout w:type="fixed"/>
        <w:tblInd w:w="810" w:type="dxa"/>
        <w:tblCellMar>
          <w:top w:w="0" w:type="dxa"/>
          <w:left w:w="0" w:type="dxa"/>
          <w:bottom w:w="0" w:type="dxa"/>
          <w:right w:w="0" w:type="dxa"/>
        </w:tblCellMar>
      </w:tblPr>
      <w:tr>
        <w:trPr>
          <w:trHeight w:val="200"/>
        </w:trPr>
        <w:tc>
          <w:tcPr>
            <w:tcW w:w="2360" w:type="dxa"/>
            <w:vAlign w:val="bottom"/>
            <w:tcBorders>
              <w:top w:val="single" w:sz="8" w:color="auto"/>
              <w:left w:val="single" w:sz="8" w:color="auto"/>
              <w:right w:val="single" w:sz="8" w:color="auto"/>
            </w:tcBorders>
          </w:tcPr>
          <w:p>
            <w:pPr>
              <w:spacing w:after="0"/>
              <w:rPr>
                <w:sz w:val="17"/>
                <w:szCs w:val="17"/>
                <w:color w:val="auto"/>
              </w:rPr>
            </w:pP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Aggregate Amount of</w:t>
            </w:r>
          </w:p>
        </w:tc>
        <w:tc>
          <w:tcPr>
            <w:tcW w:w="2380" w:type="dxa"/>
            <w:vAlign w:val="bottom"/>
            <w:tcBorders>
              <w:top w:val="single" w:sz="8" w:color="auto"/>
              <w:right w:val="single" w:sz="8" w:color="auto"/>
            </w:tcBorders>
          </w:tcPr>
          <w:p>
            <w:pPr>
              <w:spacing w:after="0"/>
              <w:rPr>
                <w:sz w:val="17"/>
                <w:szCs w:val="17"/>
                <w:color w:val="auto"/>
              </w:rPr>
            </w:pPr>
          </w:p>
        </w:tc>
        <w:tc>
          <w:tcPr>
            <w:tcW w:w="2780" w:type="dxa"/>
            <w:vAlign w:val="bottom"/>
            <w:tcBorders>
              <w:top w:val="single" w:sz="8" w:color="auto"/>
              <w:right w:val="single" w:sz="8" w:color="auto"/>
            </w:tcBorders>
          </w:tcPr>
          <w:p>
            <w:pPr>
              <w:spacing w:after="0"/>
              <w:rPr>
                <w:sz w:val="17"/>
                <w:szCs w:val="17"/>
                <w:color w:val="auto"/>
              </w:rPr>
            </w:pPr>
          </w:p>
        </w:tc>
      </w:tr>
      <w:tr>
        <w:trPr>
          <w:trHeight w:val="177"/>
        </w:trPr>
        <w:tc>
          <w:tcPr>
            <w:tcW w:w="2360" w:type="dxa"/>
            <w:vAlign w:val="bottom"/>
            <w:tcBorders>
              <w:left w:val="single" w:sz="8" w:color="auto"/>
              <w:right w:val="single" w:sz="8" w:color="auto"/>
            </w:tcBorders>
          </w:tcPr>
          <w:p>
            <w:pPr>
              <w:spacing w:after="0"/>
              <w:rPr>
                <w:sz w:val="15"/>
                <w:szCs w:val="15"/>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Commitment/Loans for all Lenders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Amount of Commitment/Loans</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5"/>
              </w:rPr>
              <w:t>Percentage</w:t>
            </w:r>
          </w:p>
        </w:tc>
      </w:tr>
      <w:tr>
        <w:trPr>
          <w:trHeight w:val="188"/>
        </w:trPr>
        <w:tc>
          <w:tcPr>
            <w:tcW w:w="236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5"/>
                <w:szCs w:val="15"/>
                <w:color w:val="auto"/>
              </w:rPr>
              <w:t>Facility Assigned</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under such Facility</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Assigned</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Assigned of Commitment/Loans</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622"/>
        </w:trPr>
        <w:tc>
          <w:tcPr>
            <w:tcW w:w="236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992" w:right="219" w:bottom="1440" w:gutter="0" w:footer="0" w:header="0"/>
        </w:sectPr>
      </w:pPr>
    </w:p>
    <w:bookmarkStart w:id="351" w:name="page352"/>
    <w:bookmarkEnd w:id="351"/>
    <w:p>
      <w:pPr>
        <w:ind w:left="540" w:hanging="531"/>
        <w:spacing w:after="0"/>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Trade Date of Assignment (the “</w:t>
      </w:r>
      <w:r>
        <w:rPr>
          <w:rFonts w:ascii="Arial" w:cs="Arial" w:eastAsia="Arial" w:hAnsi="Arial"/>
          <w:sz w:val="18"/>
          <w:szCs w:val="18"/>
          <w:u w:val="single" w:color="auto"/>
          <w:color w:val="auto"/>
        </w:rPr>
        <w:t>Trade Date</w:t>
      </w:r>
      <w:r>
        <w:rPr>
          <w:rFonts w:ascii="Arial" w:cs="Arial" w:eastAsia="Arial" w:hAnsi="Arial"/>
          <w:sz w:val="18"/>
          <w:szCs w:val="18"/>
          <w:color w:val="auto"/>
        </w:rPr>
        <w:t>”): __________, 20_.</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98" w:lineRule="exact"/>
        <w:rPr>
          <w:sz w:val="20"/>
          <w:szCs w:val="20"/>
          <w:color w:val="auto"/>
        </w:rPr>
      </w:pPr>
    </w:p>
    <w:p>
      <w:pPr>
        <w:jc w:val="both"/>
        <w:ind w:firstLine="532"/>
        <w:spacing w:after="0" w:line="269" w:lineRule="auto"/>
        <w:rPr>
          <w:sz w:val="20"/>
          <w:szCs w:val="20"/>
          <w:color w:val="auto"/>
        </w:rPr>
      </w:pPr>
      <w:r>
        <w:rPr>
          <w:rFonts w:ascii="Arial" w:cs="Arial" w:eastAsia="Arial" w:hAnsi="Arial"/>
          <w:sz w:val="17"/>
          <w:szCs w:val="17"/>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70" w:lineRule="exact"/>
        <w:rPr>
          <w:sz w:val="20"/>
          <w:szCs w:val="20"/>
          <w:color w:val="auto"/>
        </w:rPr>
      </w:pPr>
    </w:p>
    <w:p>
      <w:pPr>
        <w:ind w:left="1160" w:hanging="1129"/>
        <w:spacing w:after="0"/>
        <w:tabs>
          <w:tab w:leader="none" w:pos="1160" w:val="left"/>
        </w:tabs>
        <w:numPr>
          <w:ilvl w:val="0"/>
          <w:numId w:val="319"/>
        </w:numPr>
        <w:rPr>
          <w:rFonts w:ascii="Arial" w:cs="Arial" w:eastAsia="Arial" w:hAnsi="Arial"/>
          <w:sz w:val="21"/>
          <w:szCs w:val="21"/>
          <w:color w:val="auto"/>
          <w:vertAlign w:val="superscript"/>
        </w:rPr>
      </w:pPr>
      <w:r>
        <w:rPr>
          <w:rFonts w:ascii="Arial" w:cs="Arial" w:eastAsia="Arial" w:hAnsi="Arial"/>
          <w:sz w:val="16"/>
          <w:szCs w:val="16"/>
          <w:color w:val="auto"/>
        </w:rPr>
        <w:t>To be inserted by Administrative Agent and which shall be the effective date of recordation of transfer in the Register therefor.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855" w:right="219" w:bottom="1440" w:gutter="0" w:footer="0" w:header="0"/>
        </w:sectPr>
      </w:pPr>
    </w:p>
    <w:bookmarkStart w:id="352" w:name="page353"/>
    <w:bookmarkEnd w:id="352"/>
    <w:p>
      <w:pPr>
        <w:jc w:val="center"/>
        <w:ind w:left="8860"/>
        <w:spacing w:after="0"/>
        <w:rPr>
          <w:sz w:val="20"/>
          <w:szCs w:val="20"/>
          <w:color w:val="auto"/>
        </w:rPr>
      </w:pPr>
      <w:r>
        <w:rPr>
          <w:rFonts w:ascii="Arial" w:cs="Arial" w:eastAsia="Arial" w:hAnsi="Arial"/>
          <w:sz w:val="18"/>
          <w:szCs w:val="18"/>
          <w:b w:val="1"/>
          <w:bCs w:val="1"/>
          <w:color w:val="auto"/>
        </w:rPr>
        <w:t>Exhibit J</w:t>
      </w:r>
    </w:p>
    <w:p>
      <w:pPr>
        <w:spacing w:after="0" w:line="37" w:lineRule="exact"/>
        <w:rPr>
          <w:sz w:val="20"/>
          <w:szCs w:val="20"/>
          <w:color w:val="auto"/>
        </w:rPr>
      </w:pPr>
    </w:p>
    <w:p>
      <w:pPr>
        <w:jc w:val="center"/>
        <w:ind w:left="886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8860"/>
        <w:spacing w:after="0"/>
        <w:rPr>
          <w:sz w:val="20"/>
          <w:szCs w:val="20"/>
          <w:color w:val="auto"/>
        </w:rPr>
      </w:pPr>
      <w:r>
        <w:rPr>
          <w:rFonts w:ascii="Arial" w:cs="Arial" w:eastAsia="Arial" w:hAnsi="Arial"/>
          <w:sz w:val="18"/>
          <w:szCs w:val="18"/>
          <w:b w:val="1"/>
          <w:bCs w:val="1"/>
          <w:color w:val="auto"/>
        </w:rPr>
        <w:t>Credit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364" w:lineRule="exact"/>
        <w:rPr>
          <w:sz w:val="20"/>
          <w:szCs w:val="20"/>
          <w:color w:val="auto"/>
        </w:rPr>
      </w:pPr>
    </w:p>
    <w:p>
      <w:pPr>
        <w:jc w:val="both"/>
        <w:ind w:firstLine="1063"/>
        <w:spacing w:after="0" w:line="281" w:lineRule="auto"/>
        <w:rPr>
          <w:sz w:val="20"/>
          <w:szCs w:val="20"/>
          <w:color w:val="auto"/>
        </w:rPr>
      </w:pPr>
      <w:r>
        <w:rPr>
          <w:rFonts w:ascii="Arial" w:cs="Arial" w:eastAsia="Arial" w:hAnsi="Arial"/>
          <w:sz w:val="16"/>
          <w:szCs w:val="16"/>
          <w:color w:val="auto"/>
        </w:rPr>
        <w:t>JOINDER AGREEMENT, dated as of ___, 20__, made by each signatory hereto (each a “</w:t>
      </w:r>
      <w:r>
        <w:rPr>
          <w:rFonts w:ascii="Arial" w:cs="Arial" w:eastAsia="Arial" w:hAnsi="Arial"/>
          <w:sz w:val="16"/>
          <w:szCs w:val="16"/>
          <w:u w:val="single" w:color="auto"/>
          <w:color w:val="auto"/>
        </w:rPr>
        <w:t>Subsidiary Borrower</w:t>
      </w:r>
      <w:r>
        <w:rPr>
          <w:rFonts w:ascii="Arial" w:cs="Arial" w:eastAsia="Arial" w:hAnsi="Arial"/>
          <w:sz w:val="16"/>
          <w:szCs w:val="16"/>
          <w:color w:val="auto"/>
        </w:rPr>
        <w:t>”), in favor of JPMorgan Chase Bank, N.A., as administrative agent for the Lenders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or, in the case of any additional Brazilian Subsidiary Borrower, Banco do Brasil S.A., as administrative agent for the Brazilian Lenders (in such capacity, the “</w:t>
      </w:r>
      <w:r>
        <w:rPr>
          <w:rFonts w:ascii="Arial" w:cs="Arial" w:eastAsia="Arial" w:hAnsi="Arial"/>
          <w:sz w:val="16"/>
          <w:szCs w:val="16"/>
          <w:u w:val="single" w:color="auto"/>
          <w:color w:val="auto"/>
        </w:rPr>
        <w:t>Brazilian Administrative Agent</w:t>
      </w:r>
      <w:r>
        <w:rPr>
          <w:rFonts w:ascii="Arial" w:cs="Arial" w:eastAsia="Arial" w:hAnsi="Arial"/>
          <w:sz w:val="16"/>
          <w:szCs w:val="16"/>
          <w:color w:val="auto"/>
        </w:rPr>
        <w:t>”) referred to in the Amended and Restated Five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General Motors do Brasil Ltda., a Brazilian limited liability company, the Subsidiary Borrowers from time to time party thereto, the Lenders referred to therein, the Administrative Agent, the Brazilian Administrative Agent and the other agents party thereto. Unless otherwise defined herein, terms used but not defined herein shall have the meanings given to them in the Credit Agreement.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WHEREAS, the parties to this Joinder Agreement wish to add the Subsidiary Borrower to the Credit Agreement in the manner hereinafter set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forth; and</w:t>
      </w:r>
    </w:p>
    <w:p>
      <w:pPr>
        <w:spacing w:after="0" w:line="167" w:lineRule="exact"/>
        <w:rPr>
          <w:sz w:val="20"/>
          <w:szCs w:val="20"/>
          <w:color w:val="auto"/>
        </w:rPr>
      </w:pPr>
    </w:p>
    <w:p>
      <w:pPr>
        <w:ind w:left="1080" w:right="2780"/>
        <w:spacing w:after="0" w:line="505" w:lineRule="auto"/>
        <w:rPr>
          <w:sz w:val="20"/>
          <w:szCs w:val="20"/>
          <w:color w:val="auto"/>
        </w:rPr>
      </w:pPr>
      <w:r>
        <w:rPr>
          <w:rFonts w:ascii="Arial" w:cs="Arial" w:eastAsia="Arial" w:hAnsi="Arial"/>
          <w:sz w:val="16"/>
          <w:szCs w:val="16"/>
          <w:color w:val="auto"/>
        </w:rPr>
        <w:t>WHEREAS, this Joinder Agreement is entered into pursuant to Section 10.1(d)(i) of the Credit Agreement; NOW, THEREFORE, in consideration of the premises, the parties hereto hereby agree as follows:</w:t>
      </w:r>
    </w:p>
    <w:p>
      <w:pPr>
        <w:spacing w:after="0" w:line="1" w:lineRule="exact"/>
        <w:rPr>
          <w:sz w:val="20"/>
          <w:szCs w:val="20"/>
          <w:color w:val="auto"/>
        </w:rPr>
      </w:pPr>
    </w:p>
    <w:p>
      <w:pPr>
        <w:jc w:val="both"/>
        <w:ind w:firstLine="1072"/>
        <w:spacing w:after="0" w:line="300" w:lineRule="auto"/>
        <w:tabs>
          <w:tab w:leader="none" w:pos="126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Subsidiary Borrower, hereby acknowledges that it has received and reviewed a copy of the Credit Agreement, and acknowledges and agrees to: join the Credit Agreement as a Subsidiary Borrower, as indicated with its signature below; be bound by all covenants, agreements and acknowledgments attributable to a Subsidiary Borrower in the Credit Agreement; and perform all obligations and duties required of it by the Credit Agreement.</w:t>
      </w:r>
    </w:p>
    <w:p>
      <w:pPr>
        <w:spacing w:after="0" w:line="118" w:lineRule="exact"/>
        <w:rPr>
          <w:rFonts w:ascii="Arial" w:cs="Arial" w:eastAsia="Arial" w:hAnsi="Arial"/>
          <w:sz w:val="16"/>
          <w:szCs w:val="16"/>
          <w:color w:val="auto"/>
        </w:rPr>
      </w:pPr>
    </w:p>
    <w:p>
      <w:pPr>
        <w:ind w:firstLine="1072"/>
        <w:spacing w:after="0" w:line="263" w:lineRule="auto"/>
        <w:tabs>
          <w:tab w:leader="none" w:pos="12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address, taxpayer identification number (if any) and jurisdiction of organization of the Subsidiary Borrower is set forth in Annex I to this Joinder Agreement.</w:t>
      </w:r>
    </w:p>
    <w:p>
      <w:pPr>
        <w:spacing w:after="0" w:line="138" w:lineRule="exact"/>
        <w:rPr>
          <w:rFonts w:ascii="Arial" w:cs="Arial" w:eastAsia="Arial" w:hAnsi="Arial"/>
          <w:sz w:val="18"/>
          <w:szCs w:val="18"/>
          <w:color w:val="auto"/>
        </w:rPr>
      </w:pPr>
    </w:p>
    <w:p>
      <w:pPr>
        <w:ind w:firstLine="1072"/>
        <w:spacing w:after="0" w:line="270" w:lineRule="auto"/>
        <w:tabs>
          <w:tab w:leader="none" w:pos="1251"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AND THE RIGHTS AND OBLIGATIONS OF THE PARTIES HEREUNDER SHALL BE GOVERNED BY, AND CONSTRUED AND INTERPRETED IN ACCORDANCE WITH, THE LAW OF THE STATE OF NEW YORK.</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803" w:right="219" w:bottom="1440" w:gutter="0" w:footer="0" w:header="0"/>
        </w:sectPr>
      </w:pPr>
    </w:p>
    <w:bookmarkStart w:id="353" w:name="page354"/>
    <w:bookmarkEnd w:id="353"/>
    <w:p>
      <w:pPr>
        <w:ind w:firstLine="1063"/>
        <w:spacing w:after="0" w:line="263" w:lineRule="auto"/>
        <w:rPr>
          <w:sz w:val="20"/>
          <w:szCs w:val="20"/>
          <w:color w:val="auto"/>
        </w:rPr>
      </w:pPr>
      <w:r>
        <w:rPr>
          <w:rFonts w:ascii="Arial" w:cs="Arial" w:eastAsia="Arial" w:hAnsi="Arial"/>
          <w:sz w:val="18"/>
          <w:szCs w:val="18"/>
          <w:color w:val="auto"/>
        </w:rPr>
        <w:t>IN WITNESS WHEREOF, each of the undersigned has caused this Joinder Agreement to be duly executed and delivered by its proper and duly authorized officer as of the day and year first above written.</w:t>
      </w:r>
    </w:p>
    <w:p>
      <w:pPr>
        <w:spacing w:after="0" w:line="26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[EACH SUBSIDIARY BORROWER].</w:t>
      </w:r>
    </w:p>
    <w:p>
      <w:pPr>
        <w:spacing w:after="0" w:line="3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86"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By:___________________________________</w:t>
      </w:r>
    </w:p>
    <w:p>
      <w:pPr>
        <w:spacing w:after="0" w:line="49"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Name:</w:t>
      </w:r>
    </w:p>
    <w:p>
      <w:pPr>
        <w:spacing w:after="0" w:line="49"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Brazilian Administrative Agent] </w:t>
      </w:r>
      <w:r>
        <w:rPr>
          <w:rFonts w:ascii="Arial" w:cs="Arial" w:eastAsia="Arial" w:hAnsi="Arial"/>
          <w:sz w:val="20"/>
          <w:szCs w:val="20"/>
          <w:color w:val="auto"/>
          <w:vertAlign w:val="superscript"/>
        </w:rPr>
        <w:t>18</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18</w:t>
      </w:r>
      <w:r>
        <w:rPr>
          <w:rFonts w:ascii="Arial" w:cs="Arial" w:eastAsia="Arial" w:hAnsi="Arial"/>
          <w:sz w:val="16"/>
          <w:szCs w:val="16"/>
          <w:color w:val="auto"/>
        </w:rPr>
        <w:t>Only if for a Brazilian Borrower.</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260"/>
          </w:cols>
          <w:pgMar w:left="220" w:top="510" w:right="419" w:bottom="1440" w:gutter="0" w:footer="0" w:header="0"/>
        </w:sectPr>
      </w:pPr>
    </w:p>
    <w:bookmarkStart w:id="354" w:name="page355"/>
    <w:bookmarkEnd w:id="354"/>
    <w:p>
      <w:pPr>
        <w:jc w:val="center"/>
        <w:ind w:left="8980"/>
        <w:spacing w:after="0"/>
        <w:rPr>
          <w:sz w:val="20"/>
          <w:szCs w:val="20"/>
          <w:color w:val="auto"/>
        </w:rPr>
      </w:pPr>
      <w:r>
        <w:rPr>
          <w:rFonts w:ascii="Arial" w:cs="Arial" w:eastAsia="Arial" w:hAnsi="Arial"/>
          <w:sz w:val="18"/>
          <w:szCs w:val="18"/>
          <w:b w:val="1"/>
          <w:bCs w:val="1"/>
          <w:color w:val="auto"/>
        </w:rPr>
        <w:t>Exhibit K-1</w:t>
      </w:r>
    </w:p>
    <w:p>
      <w:pPr>
        <w:spacing w:after="0" w:line="37"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Credit Agreement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 TAX COMPLIANCE CERTIFICATE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Non-U.S. Lenders That Are Not Partnerships For U.S. Federal Income Tax Purposes)</w:t>
      </w:r>
    </w:p>
    <w:p>
      <w:pPr>
        <w:spacing w:after="0" w:line="168" w:lineRule="exact"/>
        <w:rPr>
          <w:sz w:val="20"/>
          <w:szCs w:val="20"/>
          <w:color w:val="auto"/>
        </w:rPr>
      </w:pPr>
    </w:p>
    <w:p>
      <w:pPr>
        <w:jc w:val="both"/>
        <w:ind w:firstLine="532"/>
        <w:spacing w:after="0" w:line="284" w:lineRule="auto"/>
        <w:rPr>
          <w:sz w:val="20"/>
          <w:szCs w:val="20"/>
          <w:color w:val="auto"/>
        </w:rPr>
      </w:pPr>
      <w:r>
        <w:rPr>
          <w:rFonts w:ascii="Arial" w:cs="Arial" w:eastAsia="Arial" w:hAnsi="Arial"/>
          <w:sz w:val="16"/>
          <w:szCs w:val="16"/>
          <w:color w:val="auto"/>
        </w:rPr>
        <w:t>Reference is hereby made to the Amended and Restated Five Year Revolving Credit Agreement dated as of October 17, 2014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33" w:lineRule="exact"/>
        <w:rPr>
          <w:sz w:val="20"/>
          <w:szCs w:val="20"/>
          <w:color w:val="auto"/>
        </w:rPr>
      </w:pPr>
    </w:p>
    <w:p>
      <w:pPr>
        <w:jc w:val="both"/>
        <w:ind w:firstLine="532"/>
        <w:spacing w:after="0" w:line="267" w:lineRule="auto"/>
        <w:rPr>
          <w:sz w:val="20"/>
          <w:szCs w:val="20"/>
          <w:color w:val="auto"/>
        </w:rPr>
      </w:pPr>
      <w:r>
        <w:rPr>
          <w:rFonts w:ascii="Arial" w:cs="Arial" w:eastAsia="Arial" w:hAnsi="Arial"/>
          <w:sz w:val="17"/>
          <w:szCs w:val="17"/>
          <w:color w:val="auto"/>
        </w:rPr>
        <w:t>Pursuant to the provisions of Section 2.22 of the Credit Agreement, the undersigned hereby certifies that (i) it is the sole record and beneficial owner of the Commitment, the Loan(s) (as well as any Note(s) evidencing such Loan(s)), and the L/C Obligations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42" w:lineRule="exact"/>
        <w:rPr>
          <w:sz w:val="20"/>
          <w:szCs w:val="20"/>
          <w:color w:val="auto"/>
        </w:rPr>
      </w:pPr>
    </w:p>
    <w:p>
      <w:pPr>
        <w:jc w:val="both"/>
        <w:ind w:firstLine="532"/>
        <w:spacing w:after="0" w:line="280" w:lineRule="auto"/>
        <w:rPr>
          <w:sz w:val="20"/>
          <w:szCs w:val="20"/>
          <w:color w:val="auto"/>
        </w:rPr>
      </w:pPr>
      <w:r>
        <w:rPr>
          <w:rFonts w:ascii="Arial" w:cs="Arial" w:eastAsia="Arial" w:hAnsi="Arial"/>
          <w:sz w:val="16"/>
          <w:szCs w:val="16"/>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w:t>
      </w:r>
    </w:p>
    <w:p>
      <w:pPr>
        <w:spacing w:after="0" w:line="1" w:lineRule="exact"/>
        <w:rPr>
          <w:sz w:val="20"/>
          <w:szCs w:val="20"/>
          <w:color w:val="auto"/>
        </w:rPr>
      </w:pPr>
    </w:p>
    <w:p>
      <w:pPr>
        <w:jc w:val="both"/>
        <w:ind w:firstLine="9"/>
        <w:spacing w:after="0" w:line="245" w:lineRule="auto"/>
        <w:tabs>
          <w:tab w:leader="none" w:pos="25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[NAME OF LENDER]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Name:</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Title: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 20__</w:t>
      </w:r>
    </w:p>
    <w:p>
      <w:pPr>
        <w:spacing w:after="0" w:line="362"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626" w:right="219" w:bottom="1440" w:gutter="0" w:footer="0" w:header="0"/>
        </w:sectPr>
      </w:pPr>
    </w:p>
    <w:bookmarkStart w:id="355" w:name="page356"/>
    <w:bookmarkEnd w:id="355"/>
    <w:p>
      <w:pPr>
        <w:jc w:val="center"/>
        <w:ind w:left="8900"/>
        <w:spacing w:after="0"/>
        <w:rPr>
          <w:sz w:val="20"/>
          <w:szCs w:val="20"/>
          <w:color w:val="auto"/>
        </w:rPr>
      </w:pPr>
      <w:r>
        <w:rPr>
          <w:rFonts w:ascii="Arial" w:cs="Arial" w:eastAsia="Arial" w:hAnsi="Arial"/>
          <w:sz w:val="18"/>
          <w:szCs w:val="18"/>
          <w:b w:val="1"/>
          <w:bCs w:val="1"/>
          <w:color w:val="auto"/>
        </w:rPr>
        <w:t>Exhibit K-2</w:t>
      </w:r>
    </w:p>
    <w:p>
      <w:pPr>
        <w:spacing w:after="0" w:line="37" w:lineRule="exact"/>
        <w:rPr>
          <w:sz w:val="20"/>
          <w:szCs w:val="20"/>
          <w:color w:val="auto"/>
        </w:rPr>
      </w:pPr>
    </w:p>
    <w:p>
      <w:pPr>
        <w:jc w:val="center"/>
        <w:ind w:left="890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8900"/>
        <w:spacing w:after="0"/>
        <w:rPr>
          <w:sz w:val="20"/>
          <w:szCs w:val="20"/>
          <w:color w:val="auto"/>
        </w:rPr>
      </w:pPr>
      <w:r>
        <w:rPr>
          <w:rFonts w:ascii="Arial" w:cs="Arial" w:eastAsia="Arial" w:hAnsi="Arial"/>
          <w:sz w:val="18"/>
          <w:szCs w:val="18"/>
          <w:b w:val="1"/>
          <w:bCs w:val="1"/>
          <w:color w:val="auto"/>
        </w:rPr>
        <w:t>Credit Agreement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 TAX COMPLIANCE CERTIFICATE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Non-U.S. Lenders That Are Partnerships For U.S. Federal Income Tax Purposes)</w:t>
      </w:r>
    </w:p>
    <w:p>
      <w:pPr>
        <w:spacing w:after="0" w:line="168" w:lineRule="exact"/>
        <w:rPr>
          <w:sz w:val="20"/>
          <w:szCs w:val="20"/>
          <w:color w:val="auto"/>
        </w:rPr>
      </w:pPr>
    </w:p>
    <w:p>
      <w:pPr>
        <w:jc w:val="both"/>
        <w:ind w:firstLine="532"/>
        <w:spacing w:after="0" w:line="284" w:lineRule="auto"/>
        <w:rPr>
          <w:sz w:val="20"/>
          <w:szCs w:val="20"/>
          <w:color w:val="auto"/>
        </w:rPr>
      </w:pPr>
      <w:r>
        <w:rPr>
          <w:rFonts w:ascii="Arial" w:cs="Arial" w:eastAsia="Arial" w:hAnsi="Arial"/>
          <w:sz w:val="16"/>
          <w:szCs w:val="16"/>
          <w:color w:val="auto"/>
        </w:rPr>
        <w:t>Reference is hereby made to the Amended and Restated Five Year Revolving Credit Agreement dated as of October 17, 2014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33" w:lineRule="exact"/>
        <w:rPr>
          <w:sz w:val="20"/>
          <w:szCs w:val="20"/>
          <w:color w:val="auto"/>
        </w:rPr>
      </w:pPr>
    </w:p>
    <w:p>
      <w:pPr>
        <w:jc w:val="both"/>
        <w:ind w:firstLine="532"/>
        <w:spacing w:after="0" w:line="265" w:lineRule="auto"/>
        <w:rPr>
          <w:sz w:val="20"/>
          <w:szCs w:val="20"/>
          <w:color w:val="auto"/>
        </w:rPr>
      </w:pPr>
      <w:r>
        <w:rPr>
          <w:rFonts w:ascii="Arial" w:cs="Arial" w:eastAsia="Arial" w:hAnsi="Arial"/>
          <w:sz w:val="17"/>
          <w:szCs w:val="17"/>
          <w:color w:val="auto"/>
        </w:rPr>
        <w:t>Pursuant to the provisions of Section 2.22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45" w:lineRule="exact"/>
        <w:rPr>
          <w:sz w:val="20"/>
          <w:szCs w:val="20"/>
          <w:color w:val="auto"/>
        </w:rPr>
      </w:pPr>
    </w:p>
    <w:p>
      <w:pPr>
        <w:jc w:val="both"/>
        <w:ind w:firstLine="532"/>
        <w:spacing w:after="0" w:line="281" w:lineRule="auto"/>
        <w:rPr>
          <w:sz w:val="20"/>
          <w:szCs w:val="20"/>
          <w:color w:val="auto"/>
        </w:rPr>
      </w:pPr>
      <w:r>
        <w:rPr>
          <w:rFonts w:ascii="Arial" w:cs="Arial" w:eastAsia="Arial" w:hAnsi="Arial"/>
          <w:sz w:val="16"/>
          <w:szCs w:val="16"/>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626" w:right="219" w:bottom="1440" w:gutter="0" w:footer="0" w:header="0"/>
        </w:sectPr>
      </w:pPr>
    </w:p>
    <w:bookmarkStart w:id="356" w:name="page357"/>
    <w:bookmarkEnd w:id="356"/>
    <w:p>
      <w:pPr>
        <w:spacing w:after="0"/>
        <w:rPr>
          <w:sz w:val="20"/>
          <w:szCs w:val="20"/>
          <w:color w:val="auto"/>
        </w:rPr>
      </w:pPr>
      <w:r>
        <w:rPr>
          <w:rFonts w:ascii="Arial" w:cs="Arial" w:eastAsia="Arial" w:hAnsi="Arial"/>
          <w:sz w:val="16"/>
          <w:szCs w:val="16"/>
          <w:color w:val="auto"/>
        </w:rPr>
        <w:t>[NAME OF LENDER]</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By:______________________________________</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Name:</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Title:</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 20__</w:t>
      </w:r>
    </w:p>
    <w:p>
      <w:pPr>
        <w:spacing w:after="0" w:line="362"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0239"/>
          </w:cols>
          <w:pgMar w:left="220" w:top="502" w:right="1440" w:bottom="1440" w:gutter="0" w:footer="0" w:header="0"/>
        </w:sectPr>
      </w:pPr>
    </w:p>
    <w:bookmarkStart w:id="357" w:name="page358"/>
    <w:bookmarkEnd w:id="357"/>
    <w:p>
      <w:pPr>
        <w:jc w:val="center"/>
        <w:ind w:left="9100"/>
        <w:spacing w:after="0"/>
        <w:rPr>
          <w:sz w:val="20"/>
          <w:szCs w:val="20"/>
          <w:color w:val="auto"/>
        </w:rPr>
      </w:pPr>
      <w:r>
        <w:rPr>
          <w:rFonts w:ascii="Arial" w:cs="Arial" w:eastAsia="Arial" w:hAnsi="Arial"/>
          <w:sz w:val="18"/>
          <w:szCs w:val="18"/>
          <w:b w:val="1"/>
          <w:bCs w:val="1"/>
          <w:color w:val="auto"/>
        </w:rPr>
        <w:t>Exhibit K-3</w:t>
      </w:r>
    </w:p>
    <w:p>
      <w:pPr>
        <w:spacing w:after="0" w:line="37" w:lineRule="exact"/>
        <w:rPr>
          <w:sz w:val="20"/>
          <w:szCs w:val="20"/>
          <w:color w:val="auto"/>
        </w:rPr>
      </w:pPr>
    </w:p>
    <w:p>
      <w:pPr>
        <w:jc w:val="center"/>
        <w:ind w:left="910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100"/>
        <w:spacing w:after="0"/>
        <w:rPr>
          <w:sz w:val="20"/>
          <w:szCs w:val="20"/>
          <w:color w:val="auto"/>
        </w:rPr>
      </w:pPr>
      <w:r>
        <w:rPr>
          <w:rFonts w:ascii="Arial" w:cs="Arial" w:eastAsia="Arial" w:hAnsi="Arial"/>
          <w:sz w:val="18"/>
          <w:szCs w:val="18"/>
          <w:b w:val="1"/>
          <w:bCs w:val="1"/>
          <w:color w:val="auto"/>
        </w:rPr>
        <w:t>Credit Agreement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U.S. TAX COMPLIANCE CERTIFICATE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 Non-U.S. Participants That Are Not Partnerships For U.S. Federal Income Tax Purposes)</w:t>
      </w:r>
    </w:p>
    <w:p>
      <w:pPr>
        <w:spacing w:after="0" w:line="168" w:lineRule="exact"/>
        <w:rPr>
          <w:sz w:val="20"/>
          <w:szCs w:val="20"/>
          <w:color w:val="auto"/>
        </w:rPr>
      </w:pPr>
    </w:p>
    <w:p>
      <w:pPr>
        <w:jc w:val="both"/>
        <w:ind w:firstLine="532"/>
        <w:spacing w:after="0" w:line="284" w:lineRule="auto"/>
        <w:rPr>
          <w:sz w:val="20"/>
          <w:szCs w:val="20"/>
          <w:color w:val="auto"/>
        </w:rPr>
      </w:pPr>
      <w:r>
        <w:rPr>
          <w:rFonts w:ascii="Arial" w:cs="Arial" w:eastAsia="Arial" w:hAnsi="Arial"/>
          <w:sz w:val="16"/>
          <w:szCs w:val="16"/>
          <w:color w:val="auto"/>
        </w:rPr>
        <w:t>Reference is hereby made to the Amended and Restated Five Year Revolving Credit Agreement dated as of October 17, 2014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33" w:lineRule="exact"/>
        <w:rPr>
          <w:sz w:val="20"/>
          <w:szCs w:val="20"/>
          <w:color w:val="auto"/>
        </w:rPr>
      </w:pPr>
    </w:p>
    <w:p>
      <w:pPr>
        <w:jc w:val="both"/>
        <w:ind w:firstLine="532"/>
        <w:spacing w:after="0" w:line="248" w:lineRule="auto"/>
        <w:rPr>
          <w:sz w:val="20"/>
          <w:szCs w:val="20"/>
          <w:color w:val="auto"/>
        </w:rPr>
      </w:pPr>
      <w:r>
        <w:rPr>
          <w:rFonts w:ascii="Arial" w:cs="Arial" w:eastAsia="Arial" w:hAnsi="Arial"/>
          <w:sz w:val="18"/>
          <w:szCs w:val="18"/>
          <w:color w:val="auto"/>
        </w:rPr>
        <w:t>Pursuant to the provisions of Section 2.22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0" w:lineRule="exact"/>
        <w:rPr>
          <w:sz w:val="20"/>
          <w:szCs w:val="20"/>
          <w:color w:val="auto"/>
        </w:rPr>
      </w:pPr>
    </w:p>
    <w:p>
      <w:pPr>
        <w:jc w:val="both"/>
        <w:ind w:firstLine="532"/>
        <w:spacing w:after="0" w:line="267" w:lineRule="auto"/>
        <w:rPr>
          <w:sz w:val="20"/>
          <w:szCs w:val="20"/>
          <w:color w:val="auto"/>
        </w:rPr>
      </w:pPr>
      <w:r>
        <w:rPr>
          <w:rFonts w:ascii="Arial" w:cs="Arial" w:eastAsia="Arial" w:hAnsi="Arial"/>
          <w:sz w:val="17"/>
          <w:szCs w:val="17"/>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[NAME OF PARTICIPANT]</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Name:</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Title: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 20__</w:t>
      </w:r>
    </w:p>
    <w:p>
      <w:pPr>
        <w:spacing w:after="0" w:line="362"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958" w:right="219" w:bottom="1440" w:gutter="0" w:footer="0" w:header="0"/>
        </w:sectPr>
      </w:pPr>
    </w:p>
    <w:bookmarkStart w:id="358" w:name="page359"/>
    <w:bookmarkEnd w:id="358"/>
    <w:p>
      <w:pPr>
        <w:jc w:val="center"/>
        <w:ind w:left="8980"/>
        <w:spacing w:after="0"/>
        <w:rPr>
          <w:sz w:val="20"/>
          <w:szCs w:val="20"/>
          <w:color w:val="auto"/>
        </w:rPr>
      </w:pPr>
      <w:r>
        <w:rPr>
          <w:rFonts w:ascii="Arial" w:cs="Arial" w:eastAsia="Arial" w:hAnsi="Arial"/>
          <w:sz w:val="18"/>
          <w:szCs w:val="18"/>
          <w:b w:val="1"/>
          <w:bCs w:val="1"/>
          <w:color w:val="auto"/>
        </w:rPr>
        <w:t>Exhibit K-4</w:t>
      </w:r>
    </w:p>
    <w:p>
      <w:pPr>
        <w:spacing w:after="0" w:line="37"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Credit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 TAX COMPLIANCE CERTIFICATE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Non-U.S. Participants That Are Partnerships For U.S. Federal Income Tax Purposes)</w:t>
      </w:r>
    </w:p>
    <w:p>
      <w:pPr>
        <w:spacing w:after="0" w:line="168" w:lineRule="exact"/>
        <w:rPr>
          <w:sz w:val="20"/>
          <w:szCs w:val="20"/>
          <w:color w:val="auto"/>
        </w:rPr>
      </w:pPr>
    </w:p>
    <w:p>
      <w:pPr>
        <w:jc w:val="both"/>
        <w:ind w:firstLine="532"/>
        <w:spacing w:after="0" w:line="284" w:lineRule="auto"/>
        <w:rPr>
          <w:sz w:val="20"/>
          <w:szCs w:val="20"/>
          <w:color w:val="auto"/>
        </w:rPr>
      </w:pPr>
      <w:r>
        <w:rPr>
          <w:rFonts w:ascii="Arial" w:cs="Arial" w:eastAsia="Arial" w:hAnsi="Arial"/>
          <w:sz w:val="16"/>
          <w:szCs w:val="16"/>
          <w:color w:val="auto"/>
        </w:rPr>
        <w:t>Reference is hereby made to the Amended and Restated Five Year Revolving Credit Agreement dated as of October 17, 2014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33" w:lineRule="exact"/>
        <w:rPr>
          <w:sz w:val="20"/>
          <w:szCs w:val="20"/>
          <w:color w:val="auto"/>
        </w:rPr>
      </w:pPr>
    </w:p>
    <w:p>
      <w:pPr>
        <w:jc w:val="both"/>
        <w:ind w:firstLine="532"/>
        <w:spacing w:after="0" w:line="278" w:lineRule="auto"/>
        <w:rPr>
          <w:sz w:val="20"/>
          <w:szCs w:val="20"/>
          <w:color w:val="auto"/>
        </w:rPr>
      </w:pPr>
      <w:r>
        <w:rPr>
          <w:rFonts w:ascii="Arial" w:cs="Arial" w:eastAsia="Arial" w:hAnsi="Arial"/>
          <w:sz w:val="16"/>
          <w:szCs w:val="16"/>
          <w:color w:val="auto"/>
        </w:rPr>
        <w:t>Pursuant to the provisions of Section 2.22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w:t>
      </w:r>
    </w:p>
    <w:p>
      <w:pPr>
        <w:spacing w:after="0" w:line="3" w:lineRule="exact"/>
        <w:rPr>
          <w:sz w:val="20"/>
          <w:szCs w:val="20"/>
          <w:color w:val="auto"/>
        </w:rPr>
      </w:pPr>
    </w:p>
    <w:p>
      <w:pPr>
        <w:jc w:val="both"/>
        <w:ind w:firstLine="9"/>
        <w:spacing w:after="0" w:line="258" w:lineRule="auto"/>
        <w:tabs>
          <w:tab w:leader="none" w:pos="25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50" w:lineRule="exact"/>
        <w:rPr>
          <w:sz w:val="20"/>
          <w:szCs w:val="20"/>
          <w:color w:val="auto"/>
        </w:rPr>
      </w:pPr>
    </w:p>
    <w:p>
      <w:pPr>
        <w:jc w:val="both"/>
        <w:ind w:firstLine="532"/>
        <w:spacing w:after="0" w:line="246"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39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626" w:right="219" w:bottom="1440" w:gutter="0" w:footer="0" w:header="0"/>
        </w:sectPr>
      </w:pPr>
    </w:p>
    <w:bookmarkStart w:id="359" w:name="page360"/>
    <w:bookmarkEnd w:id="359"/>
    <w:p>
      <w:pPr>
        <w:spacing w:after="0"/>
        <w:rPr>
          <w:sz w:val="20"/>
          <w:szCs w:val="20"/>
          <w:color w:val="auto"/>
        </w:rPr>
      </w:pPr>
      <w:r>
        <w:rPr>
          <w:rFonts w:ascii="Arial" w:cs="Arial" w:eastAsia="Arial" w:hAnsi="Arial"/>
          <w:sz w:val="16"/>
          <w:szCs w:val="16"/>
          <w:color w:val="auto"/>
        </w:rPr>
        <w:t>[NAME OF PARTICIPANT]</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By:______________________________________</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Name:</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Title: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 20__</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0239"/>
          </w:cols>
          <w:pgMar w:left="220" w:top="501" w:right="1440" w:bottom="1440" w:gutter="0" w:footer="0" w:header="0"/>
        </w:sectPr>
      </w:pPr>
    </w:p>
    <w:bookmarkStart w:id="360" w:name="page361"/>
    <w:bookmarkEnd w:id="360"/>
    <w:p>
      <w:pPr>
        <w:jc w:val="center"/>
        <w:ind w:left="8940"/>
        <w:spacing w:after="0"/>
        <w:rPr>
          <w:sz w:val="20"/>
          <w:szCs w:val="20"/>
          <w:color w:val="auto"/>
        </w:rPr>
      </w:pPr>
      <w:r>
        <w:rPr>
          <w:rFonts w:ascii="Arial" w:cs="Arial" w:eastAsia="Arial" w:hAnsi="Arial"/>
          <w:sz w:val="18"/>
          <w:szCs w:val="18"/>
          <w:b w:val="1"/>
          <w:bCs w:val="1"/>
          <w:color w:val="auto"/>
        </w:rPr>
        <w:t>Exhibit L</w:t>
      </w:r>
    </w:p>
    <w:p>
      <w:pPr>
        <w:spacing w:after="0" w:line="37" w:lineRule="exact"/>
        <w:rPr>
          <w:sz w:val="20"/>
          <w:szCs w:val="20"/>
          <w:color w:val="auto"/>
        </w:rPr>
      </w:pPr>
    </w:p>
    <w:p>
      <w:pPr>
        <w:jc w:val="center"/>
        <w:ind w:left="89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8940"/>
        <w:spacing w:after="0"/>
        <w:rPr>
          <w:sz w:val="20"/>
          <w:szCs w:val="20"/>
          <w:color w:val="auto"/>
        </w:rPr>
      </w:pPr>
      <w:r>
        <w:rPr>
          <w:rFonts w:ascii="Arial" w:cs="Arial" w:eastAsia="Arial" w:hAnsi="Arial"/>
          <w:sz w:val="18"/>
          <w:szCs w:val="18"/>
          <w:b w:val="1"/>
          <w:bCs w:val="1"/>
          <w:color w:val="auto"/>
        </w:rPr>
        <w:t>Credit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364" w:lineRule="exact"/>
        <w:rPr>
          <w:sz w:val="20"/>
          <w:szCs w:val="20"/>
          <w:color w:val="auto"/>
        </w:rPr>
      </w:pPr>
    </w:p>
    <w:p>
      <w:pPr>
        <w:ind w:left="9860"/>
        <w:spacing w:after="0"/>
        <w:rPr>
          <w:sz w:val="20"/>
          <w:szCs w:val="20"/>
          <w:color w:val="auto"/>
        </w:rPr>
      </w:pPr>
      <w:r>
        <w:rPr>
          <w:rFonts w:ascii="Arial" w:cs="Arial" w:eastAsia="Arial" w:hAnsi="Arial"/>
          <w:sz w:val="14"/>
          <w:szCs w:val="14"/>
          <w:color w:val="auto"/>
        </w:rPr>
        <w:t>_____________, 20__</w:t>
      </w:r>
    </w:p>
    <w:p>
      <w:pPr>
        <w:spacing w:after="0" w:line="227"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JPMorgan Chase Bank, N.A., as Administrative Agent under the Credit Agreements referred to below</w:t>
      </w:r>
    </w:p>
    <w:p>
      <w:pPr>
        <w:spacing w:after="0" w:line="181" w:lineRule="exact"/>
        <w:rPr>
          <w:sz w:val="20"/>
          <w:szCs w:val="20"/>
          <w:color w:val="auto"/>
        </w:rPr>
      </w:pPr>
    </w:p>
    <w:p>
      <w:pPr>
        <w:jc w:val="both"/>
        <w:ind w:left="560" w:hanging="539"/>
        <w:spacing w:after="0" w:line="278" w:lineRule="auto"/>
        <w:tabs>
          <w:tab w:leader="none" w:pos="54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(i) the Amended and Restated Three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3-Year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Europe Treasury Company AB, a Swedish corporation, General Motors do Brasil Ltda., a Brazilian limited liability company (“</w:t>
      </w:r>
      <w:r>
        <w:rPr>
          <w:rFonts w:ascii="Arial" w:cs="Arial" w:eastAsia="Arial" w:hAnsi="Arial"/>
          <w:sz w:val="16"/>
          <w:szCs w:val="16"/>
          <w:u w:val="single" w:color="auto"/>
          <w:color w:val="auto"/>
        </w:rPr>
        <w:t>GM Brazil</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and the other agents party thereto and (ii) the Amended and Restated Five Year Revolving Credit Agreement, dated as of October 17, 2014 (as amended, restated, amended and restated, renewed, supplemented or modified from time to time, the “</w:t>
      </w:r>
      <w:r>
        <w:rPr>
          <w:rFonts w:ascii="Arial" w:cs="Arial" w:eastAsia="Arial" w:hAnsi="Arial"/>
          <w:sz w:val="16"/>
          <w:szCs w:val="16"/>
          <w:u w:val="single" w:color="auto"/>
          <w:color w:val="auto"/>
        </w:rPr>
        <w:t>5-Year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 together with the 3 Year Credit Agreement, the “</w:t>
      </w:r>
      <w:r>
        <w:rPr>
          <w:rFonts w:ascii="Arial" w:cs="Arial" w:eastAsia="Arial" w:hAnsi="Arial"/>
          <w:sz w:val="16"/>
          <w:szCs w:val="16"/>
          <w:u w:val="single" w:color="auto"/>
          <w:color w:val="auto"/>
        </w:rPr>
        <w:t>Credit 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 Brazil, the Subsidiary Borrowers from time to time party thereto, the lenders from time to 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and together with the 3-Year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administrative agent for the 5-Year Lenders (in such capacity, together with any successor thereto in such capacity,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and together with the 3-Year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as Brazilian administrative agent, and the other agents party thereto.</w:t>
      </w:r>
    </w:p>
    <w:p>
      <w:pPr>
        <w:spacing w:after="0" w:line="142" w:lineRule="exact"/>
        <w:rPr>
          <w:sz w:val="20"/>
          <w:szCs w:val="20"/>
          <w:color w:val="auto"/>
        </w:rPr>
      </w:pPr>
    </w:p>
    <w:p>
      <w:pPr>
        <w:jc w:val="both"/>
        <w:ind w:firstLine="532"/>
        <w:spacing w:after="0" w:line="275" w:lineRule="auto"/>
        <w:rPr>
          <w:sz w:val="20"/>
          <w:szCs w:val="20"/>
          <w:color w:val="auto"/>
        </w:rPr>
      </w:pPr>
      <w:r>
        <w:rPr>
          <w:rFonts w:ascii="Arial" w:cs="Arial" w:eastAsia="Arial" w:hAnsi="Arial"/>
          <w:sz w:val="17"/>
          <w:szCs w:val="17"/>
          <w:color w:val="auto"/>
        </w:rPr>
        <w:t>This Compliance Certificate (this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is furnished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36" w:lineRule="exact"/>
        <w:rPr>
          <w:sz w:val="20"/>
          <w:szCs w:val="20"/>
          <w:color w:val="auto"/>
        </w:rPr>
      </w:pPr>
    </w:p>
    <w:p>
      <w:pPr>
        <w:ind w:left="820" w:hanging="280"/>
        <w:spacing w:after="0"/>
        <w:tabs>
          <w:tab w:leader="none" w:pos="8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191" w:lineRule="exact"/>
        <w:rPr>
          <w:rFonts w:ascii="Arial" w:cs="Arial" w:eastAsia="Arial" w:hAnsi="Arial"/>
          <w:sz w:val="18"/>
          <w:szCs w:val="18"/>
          <w:color w:val="auto"/>
        </w:rPr>
      </w:pPr>
    </w:p>
    <w:p>
      <w:pPr>
        <w:ind w:left="820" w:hanging="280"/>
        <w:spacing w:after="0"/>
        <w:tabs>
          <w:tab w:leader="none" w:pos="8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the best of my knowledge, no Default or Event of Default has occurred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and is continuing as of the date hereof [, except as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w:t>
      </w:r>
    </w:p>
    <w:p>
      <w:pPr>
        <w:spacing w:after="0" w:line="181" w:lineRule="exact"/>
        <w:rPr>
          <w:sz w:val="20"/>
          <w:szCs w:val="20"/>
          <w:color w:val="auto"/>
        </w:rPr>
      </w:pPr>
    </w:p>
    <w:p>
      <w:pPr>
        <w:ind w:firstLine="540"/>
        <w:spacing w:after="0" w:line="276" w:lineRule="auto"/>
        <w:tabs>
          <w:tab w:leader="none" w:pos="82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 and</w:t>
      </w:r>
    </w:p>
    <w:p>
      <w:pPr>
        <w:spacing w:after="0" w:line="327"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980" w:right="219" w:bottom="1440" w:gutter="0" w:footer="0" w:header="0"/>
        </w:sectPr>
      </w:pPr>
    </w:p>
    <w:bookmarkStart w:id="361" w:name="page362"/>
    <w:bookmarkEnd w:id="361"/>
    <w:p>
      <w:pPr>
        <w:ind w:firstLine="540"/>
        <w:spacing w:after="0" w:line="276" w:lineRule="auto"/>
        <w:tabs>
          <w:tab w:leader="none" w:pos="84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511" w:right="219" w:bottom="1440" w:gutter="0" w:footer="0" w:header="0"/>
        </w:sectPr>
      </w:pPr>
    </w:p>
    <w:bookmarkStart w:id="362" w:name="page363"/>
    <w:bookmarkEnd w:id="362"/>
    <w:p>
      <w:pPr>
        <w:ind w:firstLine="532"/>
        <w:spacing w:after="0" w:line="263" w:lineRule="auto"/>
        <w:rPr>
          <w:sz w:val="20"/>
          <w:szCs w:val="20"/>
          <w:color w:val="auto"/>
        </w:rPr>
      </w:pPr>
      <w:r>
        <w:rPr>
          <w:rFonts w:ascii="Arial" w:cs="Arial" w:eastAsia="Arial" w:hAnsi="Arial"/>
          <w:sz w:val="18"/>
          <w:szCs w:val="18"/>
          <w:color w:val="auto"/>
        </w:rPr>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200" w:lineRule="exact"/>
        <w:rPr>
          <w:sz w:val="20"/>
          <w:szCs w:val="20"/>
          <w:color w:val="auto"/>
        </w:rPr>
      </w:pPr>
    </w:p>
    <w:p>
      <w:pPr>
        <w:spacing w:after="0" w:line="283"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GENERAL MOTORS COMPANY</w:t>
      </w:r>
    </w:p>
    <w:p>
      <w:pPr>
        <w:spacing w:after="0" w:line="315"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By:______________________________</w:t>
      </w:r>
    </w:p>
    <w:p>
      <w:pPr>
        <w:spacing w:after="0" w:line="49"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Name:____________________________</w:t>
      </w:r>
    </w:p>
    <w:p>
      <w:pPr>
        <w:spacing w:after="0" w:line="49"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Title:_____________________________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898" w:right="219" w:bottom="1440" w:gutter="0" w:footer="0" w:header="0"/>
        </w:sectPr>
      </w:pPr>
    </w:p>
    <w:bookmarkStart w:id="363" w:name="page364"/>
    <w:bookmarkEnd w:id="363"/>
    <w:p>
      <w:pPr>
        <w:jc w:val="center"/>
        <w:ind w:left="4260"/>
        <w:spacing w:after="0"/>
        <w:rPr>
          <w:sz w:val="20"/>
          <w:szCs w:val="20"/>
          <w:color w:val="auto"/>
        </w:rPr>
      </w:pPr>
      <w:r>
        <w:rPr>
          <w:rFonts w:ascii="Arial" w:cs="Arial" w:eastAsia="Arial" w:hAnsi="Arial"/>
          <w:sz w:val="18"/>
          <w:szCs w:val="18"/>
          <w:b w:val="1"/>
          <w:bCs w:val="1"/>
          <w:color w:val="auto"/>
        </w:rPr>
        <w:t>Schedule I</w:t>
      </w:r>
    </w:p>
    <w:p>
      <w:pPr>
        <w:spacing w:after="0" w:line="37" w:lineRule="exact"/>
        <w:rPr>
          <w:sz w:val="20"/>
          <w:szCs w:val="20"/>
          <w:color w:val="auto"/>
        </w:rPr>
      </w:pPr>
    </w:p>
    <w:p>
      <w:pPr>
        <w:jc w:val="center"/>
        <w:ind w:left="426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4260"/>
        <w:spacing w:after="0"/>
        <w:rPr>
          <w:sz w:val="20"/>
          <w:szCs w:val="20"/>
          <w:color w:val="auto"/>
        </w:rPr>
      </w:pPr>
      <w:r>
        <w:rPr>
          <w:rFonts w:ascii="Arial" w:cs="Arial" w:eastAsia="Arial" w:hAnsi="Arial"/>
          <w:sz w:val="18"/>
          <w:szCs w:val="18"/>
          <w:b w:val="1"/>
          <w:bCs w:val="1"/>
          <w:color w:val="auto"/>
        </w:rPr>
        <w:t>Compliance Certificate</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Consolidated Domestic Liquidity as of _____________, 20__(the “Calculation Date”)</w:t>
      </w:r>
      <w:r>
        <w:rPr>
          <w:rFonts w:ascii="Arial" w:cs="Arial" w:eastAsia="Arial" w:hAnsi="Arial"/>
          <w:sz w:val="23"/>
          <w:szCs w:val="23"/>
          <w:u w:val="single" w:color="auto"/>
          <w:color w:val="auto"/>
          <w:vertAlign w:val="superscript"/>
        </w:rPr>
        <w:t>1</w:t>
      </w:r>
    </w:p>
    <w:p>
      <w:pPr>
        <w:spacing w:after="0" w:line="200" w:lineRule="exact"/>
        <w:rPr>
          <w:sz w:val="20"/>
          <w:szCs w:val="20"/>
          <w:color w:val="auto"/>
        </w:rPr>
      </w:pPr>
    </w:p>
    <w:p>
      <w:pPr>
        <w:spacing w:after="0" w:line="249" w:lineRule="exact"/>
        <w:rPr>
          <w:sz w:val="20"/>
          <w:szCs w:val="20"/>
          <w:color w:val="auto"/>
        </w:rPr>
      </w:pPr>
    </w:p>
    <w:p>
      <w:pPr>
        <w:ind w:left="660" w:hanging="247"/>
        <w:spacing w:after="0"/>
        <w:tabs>
          <w:tab w:leader="none" w:pos="66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The Total Available Commitments under the 5-Year Revolving Credit Agreement as of the Calculation Date</w:t>
      </w:r>
    </w:p>
    <w:p>
      <w:pPr>
        <w:spacing w:after="0" w:line="359"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5"/>
          <w:szCs w:val="15"/>
          <w:u w:val="single" w:color="auto"/>
          <w:color w:val="auto"/>
        </w:rPr>
        <w:t>PLUS</w:t>
      </w:r>
    </w:p>
    <w:p>
      <w:pPr>
        <w:spacing w:after="0" w:line="359" w:lineRule="exact"/>
        <w:rPr>
          <w:rFonts w:ascii="Arial" w:cs="Arial" w:eastAsia="Arial" w:hAnsi="Arial"/>
          <w:sz w:val="15"/>
          <w:szCs w:val="15"/>
          <w:color w:val="auto"/>
        </w:rPr>
      </w:pPr>
    </w:p>
    <w:p>
      <w:pPr>
        <w:ind w:left="640" w:hanging="227"/>
        <w:spacing w:after="0"/>
        <w:tabs>
          <w:tab w:leader="none" w:pos="64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The Total Available Commitments under the 3-Year Revolving Credit Agreement as of the Calculation Date</w:t>
      </w:r>
    </w:p>
    <w:p>
      <w:pPr>
        <w:spacing w:after="0" w:line="359"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5"/>
          <w:szCs w:val="15"/>
          <w:u w:val="single" w:color="auto"/>
          <w:color w:val="auto"/>
        </w:rPr>
        <w:t>PLUS</w:t>
      </w:r>
    </w:p>
    <w:p>
      <w:pPr>
        <w:spacing w:after="0" w:line="359" w:lineRule="exact"/>
        <w:rPr>
          <w:rFonts w:ascii="Arial" w:cs="Arial" w:eastAsia="Arial" w:hAnsi="Arial"/>
          <w:sz w:val="15"/>
          <w:szCs w:val="15"/>
          <w:color w:val="auto"/>
        </w:rPr>
      </w:pPr>
    </w:p>
    <w:p>
      <w:pPr>
        <w:ind w:left="420" w:right="3139" w:hanging="7"/>
        <w:spacing w:after="0" w:line="345" w:lineRule="auto"/>
        <w:tabs>
          <w:tab w:leader="none" w:pos="654" w:val="left"/>
        </w:tabs>
        <w:numPr>
          <w:ilvl w:val="0"/>
          <w:numId w:val="326"/>
        </w:numPr>
        <w:rPr>
          <w:rFonts w:ascii="Arial" w:cs="Arial" w:eastAsia="Arial" w:hAnsi="Arial"/>
          <w:sz w:val="13"/>
          <w:szCs w:val="13"/>
          <w:color w:val="auto"/>
        </w:rPr>
      </w:pPr>
      <w:r>
        <w:rPr>
          <w:rFonts w:ascii="Arial" w:cs="Arial" w:eastAsia="Arial" w:hAnsi="Arial"/>
          <w:sz w:val="13"/>
          <w:szCs w:val="13"/>
          <w:color w:val="auto"/>
        </w:rPr>
        <w:t>The total available commitments (after giving effect to any applicable borrowing base limitations) under other effective committed credit facilities of the Company or any Domestic Subsidiary as of the Calculation Date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5"/>
          <w:szCs w:val="15"/>
          <w:u w:val="single" w:color="auto"/>
          <w:color w:val="auto"/>
        </w:rPr>
        <w:t>PLUS</w:t>
      </w:r>
    </w:p>
    <w:p>
      <w:pPr>
        <w:spacing w:after="0" w:line="359" w:lineRule="exact"/>
        <w:rPr>
          <w:sz w:val="20"/>
          <w:szCs w:val="20"/>
          <w:color w:val="auto"/>
        </w:rPr>
      </w:pPr>
    </w:p>
    <w:p>
      <w:pPr>
        <w:ind w:left="420" w:right="3179" w:hanging="7"/>
        <w:spacing w:after="0" w:line="299" w:lineRule="auto"/>
        <w:tabs>
          <w:tab w:leader="none" w:pos="662" w:val="left"/>
        </w:tabs>
        <w:numPr>
          <w:ilvl w:val="0"/>
          <w:numId w:val="327"/>
        </w:numPr>
        <w:rPr>
          <w:rFonts w:ascii="Arial" w:cs="Arial" w:eastAsia="Arial" w:hAnsi="Arial"/>
          <w:sz w:val="13"/>
          <w:szCs w:val="13"/>
          <w:color w:val="auto"/>
        </w:rPr>
      </w:pPr>
      <w:r>
        <w:rPr>
          <w:rFonts w:ascii="Arial" w:cs="Arial" w:eastAsia="Arial" w:hAnsi="Arial"/>
          <w:sz w:val="13"/>
          <w:szCs w:val="13"/>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spacing w:after="0"/>
              <w:rPr>
                <w:sz w:val="15"/>
                <w:szCs w:val="15"/>
                <w:color w:val="auto"/>
              </w:rPr>
            </w:pPr>
          </w:p>
        </w:tc>
        <w:tc>
          <w:tcPr>
            <w:tcW w:w="5520" w:type="dxa"/>
            <w:vAlign w:val="bottom"/>
            <w:gridSpan w:val="2"/>
          </w:tcPr>
          <w:p>
            <w:pPr>
              <w:spacing w:after="0"/>
              <w:rPr>
                <w:sz w:val="20"/>
                <w:szCs w:val="20"/>
                <w:color w:val="auto"/>
              </w:rPr>
            </w:pPr>
            <w:r>
              <w:rPr>
                <w:rFonts w:ascii="Arial" w:cs="Arial" w:eastAsia="Arial" w:hAnsi="Arial"/>
                <w:sz w:val="15"/>
                <w:szCs w:val="15"/>
                <w:color w:val="auto"/>
              </w:rPr>
              <w:t>Sum of (A) plus (B) plus (C) plus (D): Consolidated Domestic Liquidity:</w:t>
            </w:r>
          </w:p>
        </w:tc>
        <w:tc>
          <w:tcPr>
            <w:tcW w:w="2920" w:type="dxa"/>
            <w:vAlign w:val="bottom"/>
          </w:tcPr>
          <w:p>
            <w:pPr>
              <w:jc w:val="right"/>
              <w:spacing w:after="0"/>
              <w:rPr>
                <w:sz w:val="20"/>
                <w:szCs w:val="20"/>
                <w:color w:val="auto"/>
              </w:rPr>
            </w:pPr>
            <w:r>
              <w:rPr>
                <w:rFonts w:ascii="Arial" w:cs="Arial" w:eastAsia="Arial" w:hAnsi="Arial"/>
                <w:sz w:val="15"/>
                <w:szCs w:val="15"/>
                <w:color w:val="auto"/>
              </w:rPr>
              <w:t>$______________________</w:t>
            </w:r>
          </w:p>
        </w:tc>
      </w:tr>
      <w:tr>
        <w:trPr>
          <w:trHeight w:val="20"/>
        </w:trPr>
        <w:tc>
          <w:tcPr>
            <w:tcW w:w="42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89"/>
        </w:trPr>
        <w:tc>
          <w:tcPr>
            <w:tcW w:w="4680" w:type="dxa"/>
            <w:vAlign w:val="bottom"/>
            <w:gridSpan w:val="2"/>
          </w:tcPr>
          <w:p>
            <w:pPr>
              <w:jc w:val="right"/>
              <w:ind w:right="2166"/>
              <w:spacing w:after="0"/>
              <w:rPr>
                <w:sz w:val="20"/>
                <w:szCs w:val="20"/>
                <w:color w:val="auto"/>
              </w:rPr>
            </w:pPr>
            <w:r>
              <w:rPr>
                <w:rFonts w:ascii="Arial" w:cs="Arial" w:eastAsia="Arial" w:hAnsi="Arial"/>
                <w:sz w:val="15"/>
                <w:szCs w:val="15"/>
                <w:color w:val="auto"/>
                <w:w w:val="87"/>
              </w:rPr>
              <w:t>_________________________________</w:t>
            </w: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pacing w:after="0" w:line="119" w:lineRule="exact"/>
        <w:rPr>
          <w:sz w:val="20"/>
          <w:szCs w:val="20"/>
          <w:color w:val="auto"/>
        </w:rPr>
      </w:pPr>
    </w:p>
    <w:p>
      <w:pPr>
        <w:ind w:left="1100" w:right="279" w:hanging="606"/>
        <w:spacing w:after="0" w:line="222" w:lineRule="auto"/>
        <w:tabs>
          <w:tab w:leader="none" w:pos="1100" w:val="left"/>
        </w:tabs>
        <w:numPr>
          <w:ilvl w:val="0"/>
          <w:numId w:val="328"/>
        </w:numPr>
        <w:rPr>
          <w:rFonts w:ascii="Arial" w:cs="Arial" w:eastAsia="Arial" w:hAnsi="Arial"/>
          <w:sz w:val="21"/>
          <w:szCs w:val="21"/>
          <w:color w:val="auto"/>
          <w:vertAlign w:val="superscript"/>
        </w:rPr>
      </w:pPr>
      <w:r>
        <w:rPr>
          <w:rFonts w:ascii="Arial" w:cs="Arial" w:eastAsia="Arial" w:hAnsi="Arial"/>
          <w:sz w:val="16"/>
          <w:szCs w:val="16"/>
          <w:color w:val="auto"/>
        </w:rPr>
        <w:t>The last day of the most recent fiscal period covered by the financial statements of the Company delivered or deemed delivered pursuant to Section 6.1 of each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0239"/>
          </w:cols>
          <w:pgMar w:left="220" w:top="803" w:right="1440" w:bottom="1440" w:gutter="0" w:footer="0" w:header="0"/>
        </w:sectPr>
      </w:pPr>
    </w:p>
    <w:bookmarkStart w:id="364" w:name="page365"/>
    <w:bookmarkEnd w:id="364"/>
    <w:p>
      <w:pPr>
        <w:jc w:val="center"/>
        <w:ind w:left="4260"/>
        <w:spacing w:after="0"/>
        <w:rPr>
          <w:sz w:val="20"/>
          <w:szCs w:val="20"/>
          <w:color w:val="auto"/>
        </w:rPr>
      </w:pPr>
      <w:r>
        <w:rPr>
          <w:rFonts w:ascii="Arial" w:cs="Arial" w:eastAsia="Arial" w:hAnsi="Arial"/>
          <w:sz w:val="18"/>
          <w:szCs w:val="18"/>
          <w:b w:val="1"/>
          <w:bCs w:val="1"/>
          <w:color w:val="auto"/>
        </w:rPr>
        <w:t>Schedule II</w:t>
      </w:r>
    </w:p>
    <w:p>
      <w:pPr>
        <w:spacing w:after="0" w:line="37" w:lineRule="exact"/>
        <w:rPr>
          <w:sz w:val="20"/>
          <w:szCs w:val="20"/>
          <w:color w:val="auto"/>
        </w:rPr>
      </w:pPr>
    </w:p>
    <w:p>
      <w:pPr>
        <w:jc w:val="center"/>
        <w:ind w:left="426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4260"/>
        <w:spacing w:after="0"/>
        <w:rPr>
          <w:sz w:val="20"/>
          <w:szCs w:val="20"/>
          <w:color w:val="auto"/>
        </w:rPr>
      </w:pPr>
      <w:r>
        <w:rPr>
          <w:rFonts w:ascii="Arial" w:cs="Arial" w:eastAsia="Arial" w:hAnsi="Arial"/>
          <w:sz w:val="18"/>
          <w:szCs w:val="18"/>
          <w:b w:val="1"/>
          <w:bCs w:val="1"/>
          <w:color w:val="auto"/>
        </w:rPr>
        <w:t>Compliance Certificate</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Consolidated Global Liquidity as of _____________, 20__(the “Calculation Date”)</w:t>
      </w:r>
      <w:r>
        <w:rPr>
          <w:rFonts w:ascii="Arial" w:cs="Arial" w:eastAsia="Arial" w:hAnsi="Arial"/>
          <w:sz w:val="23"/>
          <w:szCs w:val="23"/>
          <w:u w:val="single" w:color="auto"/>
          <w:color w:val="auto"/>
          <w:vertAlign w:val="superscript"/>
        </w:rPr>
        <w:t>1</w:t>
      </w:r>
    </w:p>
    <w:p>
      <w:pPr>
        <w:spacing w:after="0" w:line="200" w:lineRule="exact"/>
        <w:rPr>
          <w:sz w:val="20"/>
          <w:szCs w:val="20"/>
          <w:color w:val="auto"/>
        </w:rPr>
      </w:pPr>
    </w:p>
    <w:p>
      <w:pPr>
        <w:spacing w:after="0" w:line="249" w:lineRule="exact"/>
        <w:rPr>
          <w:sz w:val="20"/>
          <w:szCs w:val="20"/>
          <w:color w:val="auto"/>
        </w:rPr>
      </w:pPr>
    </w:p>
    <w:p>
      <w:pPr>
        <w:ind w:left="660" w:hanging="247"/>
        <w:spacing w:after="0"/>
        <w:tabs>
          <w:tab w:leader="none" w:pos="660" w:val="left"/>
        </w:tabs>
        <w:numPr>
          <w:ilvl w:val="0"/>
          <w:numId w:val="329"/>
        </w:numPr>
        <w:rPr>
          <w:rFonts w:ascii="Arial" w:cs="Arial" w:eastAsia="Arial" w:hAnsi="Arial"/>
          <w:sz w:val="15"/>
          <w:szCs w:val="15"/>
          <w:color w:val="auto"/>
        </w:rPr>
      </w:pPr>
      <w:r>
        <w:rPr>
          <w:rFonts w:ascii="Arial" w:cs="Arial" w:eastAsia="Arial" w:hAnsi="Arial"/>
          <w:sz w:val="15"/>
          <w:szCs w:val="15"/>
          <w:color w:val="auto"/>
        </w:rPr>
        <w:t>The Total Available Commitments under the 5-Year Revolving Credit Agreement as of the Calculation Date</w:t>
      </w:r>
    </w:p>
    <w:p>
      <w:pPr>
        <w:spacing w:after="0" w:line="370"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5"/>
          <w:szCs w:val="15"/>
          <w:u w:val="single" w:color="auto"/>
          <w:color w:val="auto"/>
        </w:rPr>
        <w:t>PLUS</w:t>
      </w:r>
    </w:p>
    <w:p>
      <w:pPr>
        <w:spacing w:after="0" w:line="370" w:lineRule="exact"/>
        <w:rPr>
          <w:rFonts w:ascii="Arial" w:cs="Arial" w:eastAsia="Arial" w:hAnsi="Arial"/>
          <w:sz w:val="15"/>
          <w:szCs w:val="15"/>
          <w:color w:val="auto"/>
        </w:rPr>
      </w:pPr>
    </w:p>
    <w:p>
      <w:pPr>
        <w:ind w:left="640" w:hanging="227"/>
        <w:spacing w:after="0"/>
        <w:tabs>
          <w:tab w:leader="none" w:pos="640" w:val="left"/>
        </w:tabs>
        <w:numPr>
          <w:ilvl w:val="0"/>
          <w:numId w:val="329"/>
        </w:numPr>
        <w:rPr>
          <w:rFonts w:ascii="Arial" w:cs="Arial" w:eastAsia="Arial" w:hAnsi="Arial"/>
          <w:sz w:val="15"/>
          <w:szCs w:val="15"/>
          <w:color w:val="auto"/>
        </w:rPr>
      </w:pPr>
      <w:r>
        <w:rPr>
          <w:rFonts w:ascii="Arial" w:cs="Arial" w:eastAsia="Arial" w:hAnsi="Arial"/>
          <w:sz w:val="15"/>
          <w:szCs w:val="15"/>
          <w:color w:val="auto"/>
        </w:rPr>
        <w:t>The Total Available Commitments under the 3-Year Revolving Credit Agreement as of the Calculation Date</w:t>
      </w:r>
    </w:p>
    <w:p>
      <w:pPr>
        <w:spacing w:after="0" w:line="370"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5"/>
          <w:szCs w:val="15"/>
          <w:u w:val="single" w:color="auto"/>
          <w:color w:val="auto"/>
        </w:rPr>
        <w:t>PLUS</w:t>
      </w:r>
    </w:p>
    <w:p>
      <w:pPr>
        <w:spacing w:after="0" w:line="370" w:lineRule="exact"/>
        <w:rPr>
          <w:rFonts w:ascii="Arial" w:cs="Arial" w:eastAsia="Arial" w:hAnsi="Arial"/>
          <w:sz w:val="15"/>
          <w:szCs w:val="15"/>
          <w:color w:val="auto"/>
        </w:rPr>
      </w:pPr>
    </w:p>
    <w:p>
      <w:pPr>
        <w:ind w:left="420" w:right="3760" w:hanging="7"/>
        <w:spacing w:after="0" w:line="345" w:lineRule="auto"/>
        <w:tabs>
          <w:tab w:leader="none" w:pos="654" w:val="left"/>
        </w:tabs>
        <w:numPr>
          <w:ilvl w:val="0"/>
          <w:numId w:val="329"/>
        </w:numPr>
        <w:rPr>
          <w:rFonts w:ascii="Arial" w:cs="Arial" w:eastAsia="Arial" w:hAnsi="Arial"/>
          <w:sz w:val="13"/>
          <w:szCs w:val="13"/>
          <w:color w:val="auto"/>
        </w:rPr>
      </w:pPr>
      <w:r>
        <w:rPr>
          <w:rFonts w:ascii="Arial" w:cs="Arial" w:eastAsia="Arial" w:hAnsi="Arial"/>
          <w:sz w:val="13"/>
          <w:szCs w:val="13"/>
          <w:color w:val="auto"/>
        </w:rPr>
        <w:t>The total available commitments (after giving effect to any applicable borrowing base limitations) under other effective committed credit facilities of the Company or any of its Subsidiaries as of the Calculation Date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5"/>
          <w:szCs w:val="15"/>
          <w:u w:val="single" w:color="auto"/>
          <w:color w:val="auto"/>
        </w:rPr>
        <w:t>PLUS</w:t>
      </w:r>
    </w:p>
    <w:p>
      <w:pPr>
        <w:spacing w:after="0" w:line="370" w:lineRule="exact"/>
        <w:rPr>
          <w:sz w:val="20"/>
          <w:szCs w:val="20"/>
          <w:color w:val="auto"/>
        </w:rPr>
      </w:pPr>
    </w:p>
    <w:p>
      <w:pPr>
        <w:ind w:left="420" w:right="3620" w:hanging="7"/>
        <w:spacing w:after="0" w:line="253" w:lineRule="auto"/>
        <w:tabs>
          <w:tab w:leader="none" w:pos="662" w:val="left"/>
        </w:tabs>
        <w:numPr>
          <w:ilvl w:val="0"/>
          <w:numId w:val="330"/>
        </w:numPr>
        <w:rPr>
          <w:rFonts w:ascii="Arial" w:cs="Arial" w:eastAsia="Arial" w:hAnsi="Arial"/>
          <w:sz w:val="15"/>
          <w:szCs w:val="15"/>
          <w:color w:val="auto"/>
        </w:rPr>
      </w:pPr>
      <w:r>
        <w:rPr>
          <w:rFonts w:ascii="Arial" w:cs="Arial" w:eastAsia="Arial" w:hAnsi="Arial"/>
          <w:sz w:val="15"/>
          <w:szCs w:val="15"/>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347" w:lineRule="exact"/>
        <w:rPr>
          <w:sz w:val="20"/>
          <w:szCs w:val="20"/>
          <w:color w:val="auto"/>
        </w:rPr>
      </w:pPr>
    </w:p>
    <w:p>
      <w:pPr>
        <w:ind w:left="420"/>
        <w:spacing w:after="0"/>
        <w:tabs>
          <w:tab w:leader="none" w:pos="7140" w:val="left"/>
        </w:tabs>
        <w:rPr>
          <w:sz w:val="20"/>
          <w:szCs w:val="20"/>
          <w:color w:val="auto"/>
        </w:rPr>
      </w:pPr>
      <w:r>
        <w:rPr>
          <w:rFonts w:ascii="Arial" w:cs="Arial" w:eastAsia="Arial" w:hAnsi="Arial"/>
          <w:sz w:val="15"/>
          <w:szCs w:val="15"/>
          <w:u w:val="single" w:color="auto"/>
          <w:color w:val="auto"/>
        </w:rPr>
        <w:t>Sum of (A) plus (B) plus (C) plus (D): Consolidated Global Liquidity</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w:t>
      </w:r>
    </w:p>
    <w:p>
      <w:pPr>
        <w:spacing w:after="0" w:line="134" w:lineRule="exact"/>
        <w:rPr>
          <w:sz w:val="20"/>
          <w:szCs w:val="20"/>
          <w:color w:val="auto"/>
        </w:rPr>
      </w:pPr>
    </w:p>
    <w:p>
      <w:pPr>
        <w:ind w:left="680" w:hanging="389"/>
        <w:spacing w:after="0" w:line="222" w:lineRule="auto"/>
        <w:tabs>
          <w:tab w:leader="none" w:pos="680" w:val="left"/>
        </w:tabs>
        <w:numPr>
          <w:ilvl w:val="0"/>
          <w:numId w:val="331"/>
        </w:numPr>
        <w:rPr>
          <w:rFonts w:ascii="Arial" w:cs="Arial" w:eastAsia="Arial" w:hAnsi="Arial"/>
          <w:sz w:val="21"/>
          <w:szCs w:val="21"/>
          <w:color w:val="auto"/>
          <w:vertAlign w:val="superscript"/>
        </w:rPr>
      </w:pPr>
      <w:r>
        <w:rPr>
          <w:rFonts w:ascii="Arial" w:cs="Arial" w:eastAsia="Arial" w:hAnsi="Arial"/>
          <w:sz w:val="16"/>
          <w:szCs w:val="16"/>
          <w:color w:val="auto"/>
        </w:rPr>
        <w:t xml:space="preserve">The last day of the most recent fiscal period covered by the financial statements of the Company delivered or deemed delivered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each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0680"/>
          </w:cols>
          <w:pgMar w:left="220" w:top="804" w:right="999" w:bottom="1440" w:gutter="0" w:footer="0" w:header="0"/>
        </w:sectPr>
      </w:pPr>
    </w:p>
    <w:bookmarkStart w:id="365" w:name="page366"/>
    <w:bookmarkEnd w:id="365"/>
    <w:p>
      <w:pPr>
        <w:jc w:val="center"/>
        <w:ind w:left="7860"/>
        <w:spacing w:after="0"/>
        <w:rPr>
          <w:sz w:val="20"/>
          <w:szCs w:val="20"/>
          <w:color w:val="auto"/>
        </w:rPr>
      </w:pPr>
      <w:r>
        <w:rPr>
          <w:rFonts w:ascii="Arial" w:cs="Arial" w:eastAsia="Arial" w:hAnsi="Arial"/>
          <w:sz w:val="18"/>
          <w:szCs w:val="18"/>
          <w:b w:val="1"/>
          <w:bCs w:val="1"/>
          <w:color w:val="auto"/>
        </w:rPr>
        <w:t>ANNEX 1</w:t>
      </w:r>
    </w:p>
    <w:p>
      <w:pPr>
        <w:spacing w:after="0" w:line="37" w:lineRule="exact"/>
        <w:rPr>
          <w:sz w:val="20"/>
          <w:szCs w:val="20"/>
          <w:color w:val="auto"/>
        </w:rPr>
      </w:pPr>
    </w:p>
    <w:p>
      <w:pPr>
        <w:jc w:val="center"/>
        <w:ind w:left="786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7860"/>
        <w:spacing w:after="0"/>
        <w:rPr>
          <w:sz w:val="20"/>
          <w:szCs w:val="20"/>
          <w:color w:val="auto"/>
        </w:rPr>
      </w:pPr>
      <w:r>
        <w:rPr>
          <w:rFonts w:ascii="Arial" w:cs="Arial" w:eastAsia="Arial" w:hAnsi="Arial"/>
          <w:sz w:val="16"/>
          <w:szCs w:val="16"/>
          <w:b w:val="1"/>
          <w:bCs w:val="1"/>
          <w:color w:val="auto"/>
        </w:rPr>
        <w:t>Compliance Certificate</w:t>
      </w:r>
    </w:p>
    <w:p>
      <w:pPr>
        <w:spacing w:after="0" w:line="200" w:lineRule="exact"/>
        <w:rPr>
          <w:sz w:val="20"/>
          <w:szCs w:val="20"/>
          <w:color w:val="auto"/>
        </w:rPr>
      </w:pPr>
    </w:p>
    <w:p>
      <w:pPr>
        <w:spacing w:after="0" w:line="242"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[Defaults/Events of Default that have occurred and are continuing]</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0540"/>
          </w:cols>
          <w:pgMar w:left="220" w:top="981" w:right="1139" w:bottom="1440" w:gutter="0" w:footer="0" w:header="0"/>
        </w:sectPr>
      </w:pPr>
    </w:p>
    <w:bookmarkStart w:id="366" w:name="page367"/>
    <w:bookmarkEnd w:id="366"/>
    <w:p>
      <w:pPr>
        <w:jc w:val="center"/>
        <w:ind w:left="9240"/>
        <w:spacing w:after="0"/>
        <w:rPr>
          <w:sz w:val="20"/>
          <w:szCs w:val="20"/>
          <w:color w:val="auto"/>
        </w:rPr>
      </w:pPr>
      <w:r>
        <w:rPr>
          <w:rFonts w:ascii="Arial" w:cs="Arial" w:eastAsia="Arial" w:hAnsi="Arial"/>
          <w:sz w:val="18"/>
          <w:szCs w:val="18"/>
          <w:b w:val="1"/>
          <w:bCs w:val="1"/>
          <w:color w:val="auto"/>
        </w:rPr>
        <w:t>EXHIBIT M</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17"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$_____________</w:t>
      </w:r>
      <w:r>
        <w:rPr>
          <w:sz w:val="20"/>
          <w:szCs w:val="20"/>
          <w:color w:val="auto"/>
        </w:rPr>
        <w:tab/>
      </w:r>
      <w:r>
        <w:rPr>
          <w:rFonts w:ascii="Arial" w:cs="Arial" w:eastAsia="Arial" w:hAnsi="Arial"/>
          <w:sz w:val="14"/>
          <w:szCs w:val="14"/>
          <w:color w:val="auto"/>
        </w:rPr>
        <w:t>______________, 20__</w:t>
      </w:r>
    </w:p>
    <w:p>
      <w:pPr>
        <w:spacing w:after="0" w:line="178" w:lineRule="exact"/>
        <w:rPr>
          <w:sz w:val="20"/>
          <w:szCs w:val="20"/>
          <w:color w:val="auto"/>
        </w:rPr>
      </w:pPr>
    </w:p>
    <w:p>
      <w:pPr>
        <w:jc w:val="both"/>
        <w:ind w:firstLine="532"/>
        <w:spacing w:after="0" w:line="283" w:lineRule="auto"/>
        <w:rPr>
          <w:sz w:val="20"/>
          <w:szCs w:val="20"/>
          <w:color w:val="auto"/>
        </w:rPr>
      </w:pPr>
      <w:r>
        <w:rPr>
          <w:rFonts w:ascii="Arial" w:cs="Arial" w:eastAsia="Arial" w:hAnsi="Arial"/>
          <w:sz w:val="16"/>
          <w:szCs w:val="16"/>
          <w:color w:val="auto"/>
        </w:rPr>
        <w:t>FOR VALUE RECEIVED, the undersigned, [NAME OF BORROWER], [JURISDICTION OF INCORPORATION/FORMATION], [TYPE OF ORGANIZATION] (together with its successors and permitted assigns,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hereby unconditionally promises to pay to ______________</w:t>
      </w:r>
    </w:p>
    <w:p>
      <w:pPr>
        <w:jc w:val="both"/>
        <w:spacing w:after="0" w:line="274"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on the Lender’s Termination Date specified in the Credit Agreement (as hereinafter defined) at the Funding Office specified in such Credit Agreement, in the currency of such Loans and in immediately available funds, the principal amount of (a) 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 or, if less, (b) the unpaid principal amount of the Loans of the Lender outstanding under the Credit Agreement. The Applicable Borrower further</w:t>
      </w:r>
    </w:p>
    <w:p>
      <w:pPr>
        <w:spacing w:after="0" w:line="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the Credit Agreement.</w:t>
      </w:r>
    </w:p>
    <w:p>
      <w:pPr>
        <w:spacing w:after="0" w:line="159" w:lineRule="exact"/>
        <w:rPr>
          <w:sz w:val="20"/>
          <w:szCs w:val="20"/>
          <w:color w:val="auto"/>
        </w:rPr>
      </w:pPr>
    </w:p>
    <w:p>
      <w:pPr>
        <w:jc w:val="both"/>
        <w:ind w:firstLine="532"/>
        <w:spacing w:after="0" w:line="284" w:lineRule="auto"/>
        <w:rPr>
          <w:sz w:val="20"/>
          <w:szCs w:val="20"/>
          <w:color w:val="auto"/>
        </w:rPr>
      </w:pPr>
      <w:r>
        <w:rPr>
          <w:rFonts w:ascii="Arial" w:cs="Arial" w:eastAsia="Arial" w:hAnsi="Arial"/>
          <w:sz w:val="16"/>
          <w:szCs w:val="16"/>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6"/>
          <w:szCs w:val="16"/>
          <w:u w:val="single" w:color="auto"/>
          <w:color w:val="auto"/>
        </w:rPr>
        <w:t>Section 10.6(b)</w:t>
      </w:r>
      <w:r>
        <w:rPr>
          <w:rFonts w:ascii="Arial" w:cs="Arial" w:eastAsia="Arial" w:hAnsi="Arial"/>
          <w:sz w:val="16"/>
          <w:szCs w:val="16"/>
          <w:color w:val="auto"/>
        </w:rPr>
        <w:t xml:space="preserve"> of the Credit Agreement, each such endorsement shall constitute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33" w:lineRule="exact"/>
        <w:rPr>
          <w:sz w:val="20"/>
          <w:szCs w:val="20"/>
          <w:color w:val="auto"/>
        </w:rPr>
      </w:pPr>
    </w:p>
    <w:p>
      <w:pPr>
        <w:jc w:val="both"/>
        <w:ind w:firstLine="532"/>
        <w:spacing w:after="0" w:line="264" w:lineRule="auto"/>
        <w:rPr>
          <w:sz w:val="20"/>
          <w:szCs w:val="20"/>
          <w:color w:val="auto"/>
        </w:rPr>
      </w:pPr>
      <w:r>
        <w:rPr>
          <w:rFonts w:ascii="Arial" w:cs="Arial" w:eastAsia="Arial" w:hAnsi="Arial"/>
          <w:sz w:val="17"/>
          <w:szCs w:val="17"/>
          <w:color w:val="auto"/>
        </w:rPr>
        <w:t>This Note (a) is one of the Notes referred to in the Amended and Restated Five Year Revolving Credit Agreement, dated as of October 17, 2014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General Motors Financial Company, Inc., a Texas corporation, General Motors do Brasil Ltda., a Brazilian limited liability company, the Subsidiary Borrowers from time to time party thereto, the Lender, the other lenders from time to time party thereto, JPMorgan Chase Bank, N.A., as Administrative Agent, Banco do Brasil S.A., as Brazilian Administrative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250" w:right="219" w:bottom="1440" w:gutter="0" w:footer="0" w:header="0"/>
        </w:sectPr>
      </w:pPr>
    </w:p>
    <w:bookmarkStart w:id="367" w:name="page368"/>
    <w:bookmarkEnd w:id="367"/>
    <w:p>
      <w:pPr>
        <w:jc w:val="both"/>
        <w:ind w:firstLine="532"/>
        <w:spacing w:after="0" w:line="263" w:lineRule="auto"/>
        <w:rPr>
          <w:sz w:val="20"/>
          <w:szCs w:val="20"/>
          <w:color w:val="auto"/>
        </w:rPr>
      </w:pPr>
      <w:r>
        <w:rPr>
          <w:rFonts w:ascii="Arial" w:cs="Arial" w:eastAsia="Arial" w:hAnsi="Arial"/>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181" w:lineRule="exact"/>
        <w:rPr>
          <w:sz w:val="20"/>
          <w:szCs w:val="20"/>
          <w:color w:val="auto"/>
        </w:rPr>
      </w:pPr>
    </w:p>
    <w:p>
      <w:pPr>
        <w:jc w:val="both"/>
        <w:ind w:firstLine="532"/>
        <w:spacing w:after="0" w:line="253"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54" w:lineRule="exact"/>
        <w:rPr>
          <w:sz w:val="20"/>
          <w:szCs w:val="20"/>
          <w:color w:val="auto"/>
        </w:rPr>
      </w:pPr>
    </w:p>
    <w:p>
      <w:pPr>
        <w:jc w:val="both"/>
        <w:ind w:right="20" w:firstLine="532"/>
        <w:spacing w:after="0" w:line="263"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200" w:lineRule="exact"/>
        <w:rPr>
          <w:sz w:val="20"/>
          <w:szCs w:val="20"/>
          <w:color w:val="auto"/>
        </w:rPr>
      </w:pPr>
    </w:p>
    <w:p>
      <w:pPr>
        <w:spacing w:after="0" w:line="283" w:lineRule="exact"/>
        <w:rPr>
          <w:sz w:val="20"/>
          <w:szCs w:val="20"/>
          <w:color w:val="auto"/>
        </w:rPr>
      </w:pPr>
    </w:p>
    <w:p>
      <w:pPr>
        <w:ind w:left="7060"/>
        <w:spacing w:after="0"/>
        <w:rPr>
          <w:sz w:val="20"/>
          <w:szCs w:val="20"/>
          <w:color w:val="auto"/>
        </w:rPr>
      </w:pPr>
      <w:r>
        <w:rPr>
          <w:rFonts w:ascii="Arial" w:cs="Arial" w:eastAsia="Arial" w:hAnsi="Arial"/>
          <w:sz w:val="15"/>
          <w:szCs w:val="15"/>
          <w:color w:val="auto"/>
        </w:rPr>
        <w:t>[NAME OF APPLICABLE BORROWER].</w:t>
      </w:r>
    </w:p>
    <w:p>
      <w:pPr>
        <w:spacing w:after="0" w:line="315" w:lineRule="exact"/>
        <w:rPr>
          <w:sz w:val="20"/>
          <w:szCs w:val="20"/>
          <w:color w:val="auto"/>
        </w:rPr>
      </w:pPr>
    </w:p>
    <w:p>
      <w:pPr>
        <w:ind w:left="7060"/>
        <w:spacing w:after="0"/>
        <w:rPr>
          <w:sz w:val="20"/>
          <w:szCs w:val="20"/>
          <w:color w:val="auto"/>
        </w:rPr>
      </w:pPr>
      <w:r>
        <w:rPr>
          <w:rFonts w:ascii="Arial" w:cs="Arial" w:eastAsia="Arial" w:hAnsi="Arial"/>
          <w:sz w:val="15"/>
          <w:szCs w:val="15"/>
          <w:color w:val="auto"/>
        </w:rPr>
        <w:t>By:______________________________</w:t>
      </w:r>
    </w:p>
    <w:p>
      <w:pPr>
        <w:spacing w:after="0" w:line="49" w:lineRule="exact"/>
        <w:rPr>
          <w:sz w:val="20"/>
          <w:szCs w:val="20"/>
          <w:color w:val="auto"/>
        </w:rPr>
      </w:pPr>
    </w:p>
    <w:p>
      <w:pPr>
        <w:ind w:left="7060"/>
        <w:spacing w:after="0"/>
        <w:rPr>
          <w:sz w:val="20"/>
          <w:szCs w:val="20"/>
          <w:color w:val="auto"/>
        </w:rPr>
      </w:pPr>
      <w:r>
        <w:rPr>
          <w:rFonts w:ascii="Arial" w:cs="Arial" w:eastAsia="Arial" w:hAnsi="Arial"/>
          <w:sz w:val="15"/>
          <w:szCs w:val="15"/>
          <w:color w:val="auto"/>
        </w:rPr>
        <w:t>Name:____________________________</w:t>
      </w:r>
    </w:p>
    <w:p>
      <w:pPr>
        <w:spacing w:after="0" w:line="49" w:lineRule="exact"/>
        <w:rPr>
          <w:sz w:val="20"/>
          <w:szCs w:val="20"/>
          <w:color w:val="auto"/>
        </w:rPr>
      </w:pPr>
    </w:p>
    <w:p>
      <w:pPr>
        <w:ind w:left="7060"/>
        <w:spacing w:after="0"/>
        <w:rPr>
          <w:sz w:val="20"/>
          <w:szCs w:val="20"/>
          <w:color w:val="auto"/>
        </w:rPr>
      </w:pPr>
      <w:r>
        <w:rPr>
          <w:rFonts w:ascii="Arial" w:cs="Arial" w:eastAsia="Arial" w:hAnsi="Arial"/>
          <w:sz w:val="15"/>
          <w:szCs w:val="15"/>
          <w:color w:val="auto"/>
        </w:rPr>
        <w:t>Title:_____________________________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134" w:right="219" w:bottom="1440" w:gutter="0" w:footer="0" w:header="0"/>
        </w:sectPr>
      </w:pPr>
    </w:p>
    <w:bookmarkStart w:id="368" w:name="page369"/>
    <w:bookmarkEnd w:id="368"/>
    <w:p>
      <w:pPr>
        <w:jc w:val="center"/>
        <w:ind w:left="9240"/>
        <w:spacing w:after="0"/>
        <w:rPr>
          <w:sz w:val="20"/>
          <w:szCs w:val="20"/>
          <w:color w:val="auto"/>
        </w:rPr>
      </w:pPr>
      <w:r>
        <w:rPr>
          <w:rFonts w:ascii="Arial" w:cs="Arial" w:eastAsia="Arial" w:hAnsi="Arial"/>
          <w:sz w:val="18"/>
          <w:szCs w:val="18"/>
          <w:b w:val="1"/>
          <w:bCs w:val="1"/>
          <w:color w:val="auto"/>
        </w:rPr>
        <w:t>SCHEDULE A</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Note</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LOANS, CONVERSIONS AND REPAYMENTS OF ABR LOANS</w:t>
      </w:r>
    </w:p>
    <w:p>
      <w:pPr>
        <w:spacing w:after="0" w:line="233" w:lineRule="exact"/>
        <w:rPr>
          <w:sz w:val="20"/>
          <w:szCs w:val="20"/>
          <w:color w:val="auto"/>
        </w:rPr>
      </w:pPr>
    </w:p>
    <w:tbl>
      <w:tblPr>
        <w:tblLayout w:type="fixed"/>
        <w:tblInd w:w="70" w:type="dxa"/>
        <w:tblCellMar>
          <w:top w:w="0" w:type="dxa"/>
          <w:left w:w="0" w:type="dxa"/>
          <w:bottom w:w="0" w:type="dxa"/>
          <w:right w:w="0" w:type="dxa"/>
        </w:tblCellMar>
      </w:tblPr>
      <w:tr>
        <w:trPr>
          <w:trHeight w:val="140"/>
        </w:trPr>
        <w:tc>
          <w:tcPr>
            <w:tcW w:w="1080" w:type="dxa"/>
            <w:vAlign w:val="bottom"/>
            <w:tcBorders>
              <w:top w:val="single" w:sz="8" w:color="auto"/>
              <w:left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Amount of Principal</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Amount of ABR</w:t>
            </w:r>
          </w:p>
        </w:tc>
        <w:tc>
          <w:tcPr>
            <w:tcW w:w="130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r>
      <w:tr>
        <w:trPr>
          <w:trHeight w:val="122"/>
        </w:trPr>
        <w:tc>
          <w:tcPr>
            <w:tcW w:w="1080" w:type="dxa"/>
            <w:vAlign w:val="bottom"/>
            <w:tcBorders>
              <w:left w:val="single" w:sz="8" w:color="auto"/>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89"/>
              </w:rPr>
              <w:t>Amount Converted to</w:t>
            </w:r>
          </w:p>
        </w:tc>
        <w:tc>
          <w:tcPr>
            <w:tcW w:w="13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94"/>
              </w:rPr>
              <w:t>of ABR Loans</w:t>
            </w:r>
          </w:p>
        </w:tc>
        <w:tc>
          <w:tcPr>
            <w:tcW w:w="14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87"/>
              </w:rPr>
              <w:t>Loans Converted to</w:t>
            </w:r>
          </w:p>
        </w:tc>
        <w:tc>
          <w:tcPr>
            <w:tcW w:w="13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89"/>
              </w:rPr>
              <w:t>Unpaid Principal Balance</w:t>
            </w:r>
          </w:p>
        </w:tc>
        <w:tc>
          <w:tcPr>
            <w:tcW w:w="1120" w:type="dxa"/>
            <w:vAlign w:val="bottom"/>
            <w:tcBorders>
              <w:right w:val="single" w:sz="8" w:color="auto"/>
            </w:tcBorders>
          </w:tcPr>
          <w:p>
            <w:pPr>
              <w:spacing w:after="0"/>
              <w:rPr>
                <w:sz w:val="10"/>
                <w:szCs w:val="10"/>
                <w:color w:val="auto"/>
              </w:rPr>
            </w:pPr>
          </w:p>
        </w:tc>
      </w:tr>
      <w:tr>
        <w:trPr>
          <w:trHeight w:val="154"/>
        </w:trPr>
        <w:tc>
          <w:tcPr>
            <w:tcW w:w="108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2"/>
                <w:szCs w:val="12"/>
                <w:color w:val="auto"/>
              </w:rPr>
              <w:t>Date</w:t>
            </w:r>
          </w:p>
        </w:tc>
        <w:tc>
          <w:tcPr>
            <w:tcW w:w="13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2"/>
                <w:szCs w:val="12"/>
                <w:color w:val="auto"/>
              </w:rPr>
              <w:t>Facility</w:t>
            </w:r>
          </w:p>
        </w:tc>
        <w:tc>
          <w:tcPr>
            <w:tcW w:w="12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2"/>
                <w:szCs w:val="12"/>
                <w:color w:val="auto"/>
              </w:rPr>
              <w:t>Currency</w:t>
            </w:r>
          </w:p>
        </w:tc>
        <w:tc>
          <w:tcPr>
            <w:tcW w:w="1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w w:val="97"/>
              </w:rPr>
              <w:t>Amount of ABR Loans</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ABR Loans</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Repaid</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Eurocurrency Loans</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of ABR Loans</w:t>
            </w:r>
          </w:p>
        </w:tc>
        <w:tc>
          <w:tcPr>
            <w:tcW w:w="11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Made By</w:t>
            </w:r>
          </w:p>
        </w:tc>
      </w:tr>
      <w:tr>
        <w:trPr>
          <w:trHeight w:val="362"/>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357"/>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20"/>
          </w:cols>
          <w:pgMar w:left="220" w:top="250" w:right="259" w:bottom="1440" w:gutter="0" w:footer="0" w:header="0"/>
        </w:sectPr>
      </w:pPr>
    </w:p>
    <w:bookmarkStart w:id="369" w:name="page370"/>
    <w:bookmarkEnd w:id="369"/>
    <w:p>
      <w:pPr>
        <w:jc w:val="center"/>
        <w:ind w:left="9240"/>
        <w:spacing w:after="0"/>
        <w:rPr>
          <w:sz w:val="20"/>
          <w:szCs w:val="20"/>
          <w:color w:val="auto"/>
        </w:rPr>
      </w:pPr>
      <w:r>
        <w:rPr>
          <w:rFonts w:ascii="Arial" w:cs="Arial" w:eastAsia="Arial" w:hAnsi="Arial"/>
          <w:sz w:val="18"/>
          <w:szCs w:val="18"/>
          <w:b w:val="1"/>
          <w:bCs w:val="1"/>
          <w:color w:val="auto"/>
        </w:rPr>
        <w:t>SCHEDULE B</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Note</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LOANS, CONVERSIONS AND REPAYMENTS OF EUROCURRENCY LOANS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680" w:type="dxa"/>
            <w:vAlign w:val="bottom"/>
            <w:tcBorders>
              <w:top w:val="single" w:sz="8" w:color="auto"/>
              <w:left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Amount of Principal</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Amount of Eurocurrency</w:t>
            </w:r>
          </w:p>
        </w:tc>
        <w:tc>
          <w:tcPr>
            <w:tcW w:w="15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r>
      <w:tr>
        <w:trPr>
          <w:trHeight w:val="122"/>
        </w:trPr>
        <w:tc>
          <w:tcPr>
            <w:tcW w:w="68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94"/>
              </w:rPr>
              <w:t>Amount of</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91"/>
              </w:rPr>
              <w:t>Amount Converted to</w:t>
            </w:r>
          </w:p>
        </w:tc>
        <w:tc>
          <w:tcPr>
            <w:tcW w:w="15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91"/>
              </w:rPr>
              <w:t>of Eurocurrency Loans</w:t>
            </w:r>
          </w:p>
        </w:tc>
        <w:tc>
          <w:tcPr>
            <w:tcW w:w="15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89"/>
              </w:rPr>
              <w:t>Loans Converted to</w:t>
            </w:r>
          </w:p>
        </w:tc>
        <w:tc>
          <w:tcPr>
            <w:tcW w:w="15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90"/>
              </w:rPr>
              <w:t>Unpaid Principal Balance</w:t>
            </w:r>
          </w:p>
        </w:tc>
        <w:tc>
          <w:tcPr>
            <w:tcW w:w="820" w:type="dxa"/>
            <w:vAlign w:val="bottom"/>
            <w:tcBorders>
              <w:right w:val="single" w:sz="8" w:color="auto"/>
            </w:tcBorders>
          </w:tcPr>
          <w:p>
            <w:pPr>
              <w:spacing w:after="0"/>
              <w:rPr>
                <w:sz w:val="10"/>
                <w:szCs w:val="10"/>
                <w:color w:val="auto"/>
              </w:rPr>
            </w:pPr>
          </w:p>
        </w:tc>
      </w:tr>
      <w:tr>
        <w:trPr>
          <w:trHeight w:val="154"/>
        </w:trPr>
        <w:tc>
          <w:tcPr>
            <w:tcW w:w="68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2"/>
                <w:szCs w:val="12"/>
                <w:color w:val="auto"/>
              </w:rPr>
              <w:t>Date</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Facility</w:t>
            </w:r>
          </w:p>
        </w:tc>
        <w:tc>
          <w:tcPr>
            <w:tcW w:w="9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2"/>
                <w:szCs w:val="12"/>
                <w:color w:val="auto"/>
              </w:rPr>
              <w:t>Currency</w:t>
            </w:r>
          </w:p>
        </w:tc>
        <w:tc>
          <w:tcPr>
            <w:tcW w:w="10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2"/>
                <w:szCs w:val="12"/>
                <w:color w:val="auto"/>
              </w:rPr>
              <w:t>Interest Period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Eurocurrency Loans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Eurocurrency Loans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Repaid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ABR Loans</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of Eurocurrency Loans</w:t>
            </w:r>
          </w:p>
        </w:tc>
        <w:tc>
          <w:tcPr>
            <w:tcW w:w="8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2"/>
                <w:szCs w:val="12"/>
                <w:color w:val="auto"/>
              </w:rPr>
              <w:t>Made By</w:t>
            </w:r>
          </w:p>
        </w:tc>
      </w:tr>
      <w:tr>
        <w:trPr>
          <w:trHeight w:val="373"/>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r>
        <w:trPr>
          <w:trHeight w:val="368"/>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80"/>
          </w:cols>
          <w:pgMar w:left="220" w:top="249" w:right="199" w:bottom="1440" w:gutter="0" w:footer="0" w:header="0"/>
        </w:sectPr>
      </w:pPr>
    </w:p>
    <w:bookmarkStart w:id="370" w:name="page371"/>
    <w:bookmarkEnd w:id="370"/>
    <w:p>
      <w:pPr>
        <w:jc w:val="center"/>
        <w:ind w:left="9240"/>
        <w:spacing w:after="0"/>
        <w:rPr>
          <w:sz w:val="20"/>
          <w:szCs w:val="20"/>
          <w:color w:val="auto"/>
        </w:rPr>
      </w:pPr>
      <w:r>
        <w:rPr>
          <w:rFonts w:ascii="Arial" w:cs="Arial" w:eastAsia="Arial" w:hAnsi="Arial"/>
          <w:sz w:val="18"/>
          <w:szCs w:val="18"/>
          <w:b w:val="1"/>
          <w:bCs w:val="1"/>
          <w:color w:val="auto"/>
        </w:rPr>
        <w:t>EXHIBIT N</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3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OF BORROWING REQUEST</w:t>
      </w:r>
    </w:p>
    <w:p>
      <w:pPr>
        <w:spacing w:after="0" w:line="364" w:lineRule="exact"/>
        <w:rPr>
          <w:sz w:val="20"/>
          <w:szCs w:val="20"/>
          <w:color w:val="auto"/>
        </w:rPr>
      </w:pPr>
    </w:p>
    <w:p>
      <w:pPr>
        <w:ind w:right="5300"/>
        <w:spacing w:after="0" w:line="249" w:lineRule="auto"/>
        <w:rPr>
          <w:sz w:val="20"/>
          <w:szCs w:val="20"/>
          <w:color w:val="auto"/>
        </w:rPr>
      </w:pPr>
      <w:r>
        <w:rPr>
          <w:rFonts w:ascii="Arial" w:cs="Arial" w:eastAsia="Arial" w:hAnsi="Arial"/>
          <w:sz w:val="18"/>
          <w:szCs w:val="18"/>
          <w:color w:val="auto"/>
        </w:rPr>
        <w:t>JPMorgan Chase Bank, N.A., as Administrative Agent for the lenders referred to below, Investment Bank Loan Operations - North America 500 Stanton Christiana Road, Ops 2, Floor 03</w:t>
      </w:r>
    </w:p>
    <w:p>
      <w:pPr>
        <w:spacing w:after="0"/>
        <w:rPr>
          <w:sz w:val="20"/>
          <w:szCs w:val="20"/>
          <w:color w:val="auto"/>
        </w:rPr>
      </w:pPr>
      <w:r>
        <w:rPr>
          <w:rFonts w:ascii="Arial" w:cs="Arial" w:eastAsia="Arial" w:hAnsi="Arial"/>
          <w:sz w:val="18"/>
          <w:szCs w:val="18"/>
          <w:color w:val="auto"/>
        </w:rPr>
        <w:t>Newark, DE, 19713-2107, United States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Emily.cousineau@jpmorgan.com</w:t>
      </w:r>
    </w:p>
    <w:p>
      <w:pPr>
        <w:spacing w:after="0" w:line="3" w:lineRule="exact"/>
        <w:rPr>
          <w:sz w:val="20"/>
          <w:szCs w:val="20"/>
          <w:color w:val="auto"/>
        </w:rPr>
      </w:pPr>
    </w:p>
    <w:p>
      <w:pPr>
        <w:ind w:right="9580" w:firstLine="9"/>
        <w:spacing w:after="0" w:line="274" w:lineRule="auto"/>
        <w:tabs>
          <w:tab w:leader="none" w:pos="428" w:val="left"/>
        </w:tabs>
        <w:numPr>
          <w:ilvl w:val="0"/>
          <w:numId w:val="332"/>
        </w:numPr>
        <w:rPr>
          <w:rFonts w:ascii="Arial" w:cs="Arial" w:eastAsia="Arial" w:hAnsi="Arial"/>
          <w:sz w:val="16"/>
          <w:szCs w:val="16"/>
          <w:color w:val="auto"/>
        </w:rPr>
      </w:pPr>
      <w:r>
        <w:rPr>
          <w:rFonts w:ascii="Arial" w:cs="Arial" w:eastAsia="Arial" w:hAnsi="Arial"/>
          <w:sz w:val="16"/>
          <w:szCs w:val="16"/>
          <w:color w:val="auto"/>
        </w:rPr>
        <w:t>634-8612 (telephone) Attn: Emily Cousineau</w:t>
      </w:r>
    </w:p>
    <w:p>
      <w:pPr>
        <w:spacing w:after="0" w:line="1" w:lineRule="exact"/>
        <w:rPr>
          <w:sz w:val="20"/>
          <w:szCs w:val="20"/>
          <w:color w:val="auto"/>
        </w:rPr>
      </w:pPr>
    </w:p>
    <w:p>
      <w:pPr>
        <w:ind w:left="10700"/>
        <w:spacing w:after="0"/>
        <w:rPr>
          <w:sz w:val="20"/>
          <w:szCs w:val="20"/>
          <w:color w:val="auto"/>
        </w:rPr>
      </w:pPr>
      <w:r>
        <w:rPr>
          <w:rFonts w:ascii="Arial" w:cs="Arial" w:eastAsia="Arial" w:hAnsi="Arial"/>
          <w:sz w:val="14"/>
          <w:szCs w:val="14"/>
          <w:color w:val="auto"/>
        </w:rPr>
        <w:t>_________,</w:t>
      </w:r>
    </w:p>
    <w:p>
      <w:pPr>
        <w:spacing w:after="0" w:line="4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20__</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81" w:lineRule="exact"/>
        <w:rPr>
          <w:sz w:val="20"/>
          <w:szCs w:val="20"/>
          <w:color w:val="auto"/>
        </w:rPr>
      </w:pPr>
    </w:p>
    <w:p>
      <w:pPr>
        <w:jc w:val="both"/>
        <w:ind w:right="80" w:firstLine="1063"/>
        <w:spacing w:after="0" w:line="246"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w:t>
      </w:r>
      <w:r>
        <w:rPr>
          <w:rFonts w:ascii="Arial" w:cs="Arial" w:eastAsia="Arial" w:hAnsi="Arial"/>
          <w:sz w:val="17"/>
          <w:szCs w:val="17"/>
          <w:u w:val="single" w:color="auto"/>
          <w:color w:val="auto"/>
        </w:rPr>
        <w:t>Company/Applicable Borrower”)]</w:t>
      </w:r>
      <w:r>
        <w:rPr>
          <w:rFonts w:ascii="Arial" w:cs="Arial" w:eastAsia="Arial" w:hAnsi="Arial"/>
          <w:sz w:val="22"/>
          <w:szCs w:val="22"/>
          <w:u w:val="single" w:color="auto"/>
          <w:color w:val="auto"/>
          <w:vertAlign w:val="superscript"/>
        </w:rPr>
        <w:t>1</w:t>
      </w:r>
      <w:r>
        <w:rPr>
          <w:rFonts w:ascii="Arial" w:cs="Arial" w:eastAsia="Arial" w:hAnsi="Arial"/>
          <w:sz w:val="17"/>
          <w:szCs w:val="17"/>
          <w:color w:val="auto"/>
        </w:rPr>
        <w:t xml:space="preserve"> </w:t>
      </w:r>
      <w:r>
        <w:rPr>
          <w:rFonts w:ascii="Arial" w:cs="Arial" w:eastAsia="Arial" w:hAnsi="Arial"/>
          <w:sz w:val="15"/>
          <w:szCs w:val="15"/>
          <w:color w:val="auto"/>
        </w:rPr>
        <w:t>Insert if the Company is not the Applicable Borrower.</w:t>
      </w:r>
      <w:r>
        <w:rPr>
          <w:rFonts w:ascii="Arial" w:cs="Arial" w:eastAsia="Arial" w:hAnsi="Arial"/>
          <w:sz w:val="17"/>
          <w:szCs w:val="17"/>
          <w:color w:val="auto"/>
        </w:rPr>
        <w:t>, refer[s] to the Amended and Restated Five Year Revolving Credit Agreement dated as of October 17, 2014, as amended, restated, amended and restated, renewed, supplemented or modified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Company/the Applicable Borrower]</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w:t>
      </w:r>
      <w:r>
        <w:rPr>
          <w:rFonts w:ascii="Arial" w:cs="Arial" w:eastAsia="Arial" w:hAnsi="Arial"/>
          <w:sz w:val="15"/>
          <w:szCs w:val="15"/>
          <w:color w:val="auto"/>
        </w:rPr>
        <w:t>If Bid Requested from the Company, it is the “Applicable Borrower”.</w:t>
      </w:r>
      <w:r>
        <w:rPr>
          <w:rFonts w:ascii="Arial" w:cs="Arial" w:eastAsia="Arial" w:hAnsi="Arial"/>
          <w:sz w:val="17"/>
          <w:szCs w:val="17"/>
          <w:color w:val="auto"/>
        </w:rPr>
        <w:t>, General Motors Financial Company, Inc., a Texas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named therein. Capitalized terms used herein and not otherwise defined herein shall have the meanings assigned to such terms in the Credit Agreement. The Applicable Borrower and the Company hereby give you notice pursuant to Section[s] [2.2] [and] [2.4,]</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w:t>
      </w:r>
      <w:r>
        <w:rPr>
          <w:rFonts w:ascii="Arial" w:cs="Arial" w:eastAsia="Arial" w:hAnsi="Arial"/>
          <w:sz w:val="15"/>
          <w:szCs w:val="15"/>
          <w:color w:val="auto"/>
        </w:rPr>
        <w:t>Section 2.2 describes the procedure for Domestic Commitments. Section 2.4 describes the procedure for Multicurrency</w:t>
      </w:r>
      <w:r>
        <w:rPr>
          <w:rFonts w:ascii="Arial" w:cs="Arial" w:eastAsia="Arial" w:hAnsi="Arial"/>
          <w:sz w:val="17"/>
          <w:szCs w:val="17"/>
          <w:color w:val="auto"/>
        </w:rPr>
        <w:t xml:space="preserve"> </w:t>
      </w:r>
      <w:r>
        <w:rPr>
          <w:rFonts w:ascii="Arial" w:cs="Arial" w:eastAsia="Arial" w:hAnsi="Arial"/>
          <w:sz w:val="15"/>
          <w:szCs w:val="15"/>
          <w:color w:val="auto"/>
        </w:rPr>
        <w:t xml:space="preserve">Commitments. </w:t>
      </w:r>
      <w:r>
        <w:rPr>
          <w:rFonts w:ascii="Arial" w:cs="Arial" w:eastAsia="Arial" w:hAnsi="Arial"/>
          <w:sz w:val="16"/>
          <w:szCs w:val="16"/>
          <w:color w:val="auto"/>
        </w:rPr>
        <w:t>of the Credit Agreement that it requests an Extension of Credit under the Credit Agreement, and in connection sets forth below the terms on which</w:t>
      </w:r>
      <w:r>
        <w:rPr>
          <w:rFonts w:ascii="Arial" w:cs="Arial" w:eastAsia="Arial" w:hAnsi="Arial"/>
          <w:sz w:val="15"/>
          <w:szCs w:val="15"/>
          <w:color w:val="auto"/>
        </w:rPr>
        <w:t xml:space="preserve"> </w:t>
      </w:r>
      <w:r>
        <w:rPr>
          <w:rFonts w:ascii="Arial" w:cs="Arial" w:eastAsia="Arial" w:hAnsi="Arial"/>
          <w:sz w:val="16"/>
          <w:szCs w:val="16"/>
          <w:color w:val="auto"/>
        </w:rPr>
        <w:t>such Extension of Credit is requested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236220</wp:posOffset>
            </wp:positionV>
            <wp:extent cx="692658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6580" cy="6985"/>
                    </a:xfrm>
                    <a:prstGeom prst="rect">
                      <a:avLst/>
                    </a:prstGeom>
                    <a:noFill/>
                  </pic:spPr>
                </pic:pic>
              </a:graphicData>
            </a:graphic>
          </wp:anchor>
        </w:drawing>
      </w:r>
    </w:p>
    <w:p>
      <w:pPr>
        <w:spacing w:after="0" w:line="336" w:lineRule="exact"/>
        <w:rPr>
          <w:sz w:val="20"/>
          <w:szCs w:val="20"/>
          <w:color w:val="auto"/>
        </w:rPr>
      </w:pPr>
    </w:p>
    <w:p>
      <w:pPr>
        <w:ind w:left="660" w:hanging="92"/>
        <w:spacing w:after="0"/>
        <w:tabs>
          <w:tab w:leader="none" w:pos="660" w:val="left"/>
        </w:tabs>
        <w:numPr>
          <w:ilvl w:val="0"/>
          <w:numId w:val="333"/>
        </w:numPr>
        <w:rPr>
          <w:rFonts w:ascii="Arial" w:cs="Arial" w:eastAsia="Arial" w:hAnsi="Arial"/>
          <w:sz w:val="21"/>
          <w:szCs w:val="21"/>
          <w:color w:val="auto"/>
          <w:vertAlign w:val="superscript"/>
        </w:rPr>
      </w:pPr>
      <w:r>
        <w:rPr>
          <w:rFonts w:ascii="Arial" w:cs="Arial" w:eastAsia="Arial" w:hAnsi="Arial"/>
          <w:sz w:val="16"/>
          <w:szCs w:val="16"/>
          <w:color w:val="auto"/>
        </w:rPr>
        <w:t>Insert if the Company is not the Applicable Borrower.</w:t>
      </w:r>
    </w:p>
    <w:p>
      <w:pPr>
        <w:spacing w:after="0" w:line="191" w:lineRule="exact"/>
        <w:rPr>
          <w:sz w:val="20"/>
          <w:szCs w:val="20"/>
          <w:color w:val="auto"/>
        </w:rPr>
      </w:pPr>
    </w:p>
    <w:p>
      <w:pPr>
        <w:ind w:left="640" w:hanging="72"/>
        <w:spacing w:after="0"/>
        <w:tabs>
          <w:tab w:leader="none" w:pos="640" w:val="left"/>
        </w:tabs>
        <w:numPr>
          <w:ilvl w:val="0"/>
          <w:numId w:val="334"/>
        </w:numPr>
        <w:rPr>
          <w:rFonts w:ascii="Arial" w:cs="Arial" w:eastAsia="Arial" w:hAnsi="Arial"/>
          <w:sz w:val="19"/>
          <w:szCs w:val="19"/>
          <w:color w:val="auto"/>
          <w:vertAlign w:val="superscript"/>
        </w:rPr>
      </w:pPr>
      <w:r>
        <w:rPr>
          <w:rFonts w:ascii="Arial" w:cs="Arial" w:eastAsia="Arial" w:hAnsi="Arial"/>
          <w:sz w:val="15"/>
          <w:szCs w:val="15"/>
          <w:color w:val="auto"/>
        </w:rPr>
        <w:t>If Bid Requested from the Company, it is the “Applicable Borrower”.</w:t>
      </w:r>
    </w:p>
    <w:p>
      <w:pPr>
        <w:spacing w:after="0" w:line="168" w:lineRule="exact"/>
        <w:rPr>
          <w:sz w:val="20"/>
          <w:szCs w:val="20"/>
          <w:color w:val="auto"/>
        </w:rPr>
      </w:pPr>
    </w:p>
    <w:p>
      <w:pPr>
        <w:ind w:left="660" w:hanging="92"/>
        <w:spacing w:after="0"/>
        <w:tabs>
          <w:tab w:leader="none" w:pos="660" w:val="left"/>
        </w:tabs>
        <w:numPr>
          <w:ilvl w:val="0"/>
          <w:numId w:val="335"/>
        </w:numPr>
        <w:rPr>
          <w:rFonts w:ascii="Arial" w:cs="Arial" w:eastAsia="Arial" w:hAnsi="Arial"/>
          <w:sz w:val="21"/>
          <w:szCs w:val="21"/>
          <w:color w:val="auto"/>
          <w:vertAlign w:val="superscript"/>
        </w:rPr>
      </w:pPr>
      <w:r>
        <w:rPr>
          <w:rFonts w:ascii="Arial" w:cs="Arial" w:eastAsia="Arial" w:hAnsi="Arial"/>
          <w:sz w:val="16"/>
          <w:szCs w:val="16"/>
          <w:color w:val="auto"/>
        </w:rPr>
        <w:t>Section 2.2 describes the procedure for Domestic Commitments. Section 2.4 describes the procedure for Multicurrency Commitments.</w:t>
      </w:r>
    </w:p>
    <w:p>
      <w:pPr>
        <w:spacing w:after="0" w:line="384"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540"/>
          </w:cols>
          <w:pgMar w:left="220" w:top="626" w:right="139" w:bottom="1440" w:gutter="0" w:footer="0" w:header="0"/>
        </w:sectPr>
      </w:pPr>
    </w:p>
    <w:bookmarkStart w:id="371" w:name="page372"/>
    <w:bookmarkEnd w:id="371"/>
    <w:p>
      <w:pPr>
        <w:ind w:left="860"/>
        <w:spacing w:after="0"/>
        <w:rPr>
          <w:sz w:val="20"/>
          <w:szCs w:val="20"/>
          <w:color w:val="auto"/>
        </w:rPr>
      </w:pPr>
      <w:r>
        <w:rPr>
          <w:rFonts w:ascii="Arial" w:cs="Arial" w:eastAsia="Arial" w:hAnsi="Arial"/>
          <w:sz w:val="16"/>
          <w:szCs w:val="16"/>
          <w:color w:val="auto"/>
        </w:rPr>
        <w:t>Borrowing Date</w:t>
      </w:r>
    </w:p>
    <w:p>
      <w:pPr>
        <w:spacing w:after="0" w:line="15" w:lineRule="exact"/>
        <w:rPr>
          <w:sz w:val="20"/>
          <w:szCs w:val="20"/>
          <w:color w:val="auto"/>
        </w:rPr>
      </w:pPr>
    </w:p>
    <w:p>
      <w:pPr>
        <w:ind w:left="860" w:hanging="818"/>
        <w:spacing w:after="0"/>
        <w:tabs>
          <w:tab w:leader="none" w:pos="8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(which is a Business Day)</w:t>
      </w:r>
      <w:r>
        <w:rPr>
          <w:rFonts w:ascii="Arial" w:cs="Arial" w:eastAsia="Arial" w:hAnsi="Arial"/>
          <w:sz w:val="20"/>
          <w:szCs w:val="20"/>
          <w:color w:val="auto"/>
          <w:vertAlign w:val="superscript"/>
        </w:rPr>
        <w:t>4</w:t>
      </w:r>
    </w:p>
    <w:p>
      <w:pPr>
        <w:spacing w:after="0" w:line="5" w:lineRule="exact"/>
        <w:rPr>
          <w:rFonts w:ascii="Arial" w:cs="Arial" w:eastAsia="Arial" w:hAnsi="Arial"/>
          <w:sz w:val="16"/>
          <w:szCs w:val="16"/>
          <w:color w:val="auto"/>
        </w:rPr>
      </w:pPr>
    </w:p>
    <w:p>
      <w:pPr>
        <w:ind w:left="860" w:hanging="818"/>
        <w:spacing w:after="0"/>
        <w:tabs>
          <w:tab w:leader="none" w:pos="8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Facility</w:t>
      </w:r>
    </w:p>
    <w:p>
      <w:pPr>
        <w:spacing w:after="0" w:line="34" w:lineRule="exact"/>
        <w:rPr>
          <w:rFonts w:ascii="Arial" w:cs="Arial" w:eastAsia="Arial" w:hAnsi="Arial"/>
          <w:sz w:val="16"/>
          <w:szCs w:val="16"/>
          <w:color w:val="auto"/>
        </w:rPr>
      </w:pPr>
    </w:p>
    <w:p>
      <w:pPr>
        <w:ind w:left="860" w:hanging="818"/>
        <w:spacing w:after="0"/>
        <w:tabs>
          <w:tab w:leader="none" w:pos="8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Currency</w:t>
      </w:r>
    </w:p>
    <w:p>
      <w:pPr>
        <w:spacing w:after="0" w:line="48" w:lineRule="exact"/>
        <w:rPr>
          <w:rFonts w:ascii="Arial" w:cs="Arial" w:eastAsia="Arial" w:hAnsi="Arial"/>
          <w:sz w:val="16"/>
          <w:szCs w:val="16"/>
          <w:color w:val="auto"/>
        </w:rPr>
      </w:pPr>
    </w:p>
    <w:p>
      <w:pPr>
        <w:ind w:left="860" w:hanging="818"/>
        <w:spacing w:after="0"/>
        <w:tabs>
          <w:tab w:leader="none" w:pos="8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Aggregate Amount of Extension of Credit</w:t>
      </w:r>
      <w:r>
        <w:rPr>
          <w:rFonts w:ascii="Arial" w:cs="Arial" w:eastAsia="Arial" w:hAnsi="Arial"/>
          <w:sz w:val="20"/>
          <w:szCs w:val="20"/>
          <w:color w:val="auto"/>
          <w:vertAlign w:val="superscript"/>
        </w:rPr>
        <w:t>5</w:t>
      </w:r>
    </w:p>
    <w:p>
      <w:pPr>
        <w:spacing w:after="0" w:line="16" w:lineRule="exact"/>
        <w:rPr>
          <w:rFonts w:ascii="Arial" w:cs="Arial" w:eastAsia="Arial" w:hAnsi="Arial"/>
          <w:sz w:val="16"/>
          <w:szCs w:val="16"/>
          <w:color w:val="auto"/>
        </w:rPr>
      </w:pPr>
    </w:p>
    <w:p>
      <w:pPr>
        <w:ind w:left="860" w:hanging="818"/>
        <w:spacing w:after="0"/>
        <w:tabs>
          <w:tab w:leader="none" w:pos="8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Type of Extension of Credit</w:t>
      </w:r>
      <w:r>
        <w:rPr>
          <w:rFonts w:ascii="Arial" w:cs="Arial" w:eastAsia="Arial" w:hAnsi="Arial"/>
          <w:sz w:val="20"/>
          <w:szCs w:val="20"/>
          <w:color w:val="auto"/>
          <w:vertAlign w:val="superscript"/>
        </w:rPr>
        <w:t>6</w:t>
      </w:r>
    </w:p>
    <w:p>
      <w:pPr>
        <w:spacing w:after="0" w:line="2" w:lineRule="exact"/>
        <w:rPr>
          <w:rFonts w:ascii="Arial" w:cs="Arial" w:eastAsia="Arial" w:hAnsi="Arial"/>
          <w:sz w:val="16"/>
          <w:szCs w:val="16"/>
          <w:color w:val="auto"/>
        </w:rPr>
      </w:pPr>
    </w:p>
    <w:p>
      <w:pPr>
        <w:ind w:left="860" w:hanging="818"/>
        <w:spacing w:after="0"/>
        <w:tabs>
          <w:tab w:leader="none" w:pos="8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Interest Period and the last day thereof </w:t>
      </w:r>
      <w:r>
        <w:rPr>
          <w:rFonts w:ascii="Arial" w:cs="Arial" w:eastAsia="Arial" w:hAnsi="Arial"/>
          <w:sz w:val="20"/>
          <w:szCs w:val="20"/>
          <w:color w:val="auto"/>
          <w:vertAlign w:val="superscript"/>
        </w:rPr>
        <w:t>7</w:t>
      </w:r>
    </w:p>
    <w:p>
      <w:pPr>
        <w:spacing w:after="0" w:line="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Funds are requested to be disbursed to the Borrower’s account with _____________ (Account No.</w:t>
      </w:r>
    </w:p>
    <w:p>
      <w:pPr>
        <w:spacing w:after="0" w:line="4" w:lineRule="exact"/>
        <w:rPr>
          <w:rFonts w:ascii="Arial" w:cs="Arial" w:eastAsia="Arial" w:hAnsi="Arial"/>
          <w:sz w:val="16"/>
          <w:szCs w:val="16"/>
          <w:color w:val="auto"/>
        </w:rPr>
      </w:pPr>
    </w:p>
    <w:p>
      <w:pPr>
        <w:ind w:left="860" w:hanging="818"/>
        <w:spacing w:after="0"/>
        <w:tabs>
          <w:tab w:leader="none" w:pos="8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17145</wp:posOffset>
            </wp:positionV>
            <wp:extent cx="225044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-249555</wp:posOffset>
            </wp:positionV>
            <wp:extent cx="225044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-396875</wp:posOffset>
            </wp:positionV>
            <wp:extent cx="225044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-544830</wp:posOffset>
            </wp:positionV>
            <wp:extent cx="225044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-692150</wp:posOffset>
            </wp:positionV>
            <wp:extent cx="22504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-840105</wp:posOffset>
            </wp:positionV>
            <wp:extent cx="225044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50440" cy="698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-988060</wp:posOffset>
            </wp:positionV>
            <wp:extent cx="22504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50440" cy="6985"/>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83" w:lineRule="exact"/>
        <w:rPr>
          <w:sz w:val="20"/>
          <w:szCs w:val="20"/>
          <w:color w:val="auto"/>
        </w:rPr>
      </w:pPr>
    </w:p>
    <w:p>
      <w:pPr>
        <w:ind w:left="540" w:hanging="531"/>
        <w:spacing w:after="0" w:line="257" w:lineRule="auto"/>
        <w:rPr>
          <w:sz w:val="20"/>
          <w:szCs w:val="20"/>
          <w:color w:val="auto"/>
        </w:rPr>
      </w:pPr>
      <w:r>
        <w:rPr>
          <w:rFonts w:ascii="Arial" w:cs="Arial" w:eastAsia="Arial" w:hAnsi="Arial"/>
          <w:sz w:val="19"/>
          <w:szCs w:val="19"/>
          <w:color w:val="auto"/>
          <w:vertAlign w:val="superscript"/>
        </w:rPr>
        <w:t>4</w:t>
      </w:r>
      <w:r>
        <w:rPr>
          <w:rFonts w:ascii="Arial" w:cs="Arial" w:eastAsia="Arial" w:hAnsi="Arial"/>
          <w:sz w:val="15"/>
          <w:szCs w:val="15"/>
          <w:color w:val="auto"/>
        </w:rPr>
        <w:t>Borrowing Request to be delivered to the Administrative Agent in the case of any Domestic Loan prior to (a) 1:00 P.M., New York City time, three Business Days prior to the requested Borrowing Date, in the case of Eurocurrency Loans, or (b) 1:00 P.M., New York City time, on the date of the proposed borrowing, in the case of ABR Loans). Borrowing Request to be delivered to the Administrative Agent (x) in the case of any Multicurrency Loan denominated in Dollars, written (or telephonic notice promptly confirmed in writing) prior to (a) 1:00 P.M., New York City time, three Business Days prior to the requested Borrowing Date, in the case of Eurocurrency Loans, or (b) 1:00 P.M., New York City time, on the date of the proposed borrowing, in the case of ABR Loans and (y) in the case of any Multicurrency Loan denominated in an Optional Currency, 1:00 P.M., London time, three Business Days prior to the requested Borrowing Date.</w:t>
      </w:r>
    </w:p>
    <w:p>
      <w:pPr>
        <w:spacing w:after="0" w:line="149" w:lineRule="exact"/>
        <w:rPr>
          <w:sz w:val="20"/>
          <w:szCs w:val="20"/>
          <w:color w:val="auto"/>
        </w:rPr>
      </w:pPr>
    </w:p>
    <w:p>
      <w:pPr>
        <w:ind w:left="540" w:right="40" w:hanging="531"/>
        <w:spacing w:after="0" w:line="236" w:lineRule="auto"/>
        <w:rPr>
          <w:sz w:val="20"/>
          <w:szCs w:val="20"/>
          <w:color w:val="auto"/>
        </w:rPr>
      </w:pPr>
      <w:r>
        <w:rPr>
          <w:rFonts w:ascii="Arial" w:cs="Arial" w:eastAsia="Arial" w:hAnsi="Arial"/>
          <w:sz w:val="20"/>
          <w:szCs w:val="20"/>
          <w:color w:val="auto"/>
          <w:vertAlign w:val="superscript"/>
        </w:rPr>
        <w:t>5</w:t>
      </w:r>
      <w:r>
        <w:rPr>
          <w:rFonts w:ascii="Arial" w:cs="Arial" w:eastAsia="Arial" w:hAnsi="Arial"/>
          <w:sz w:val="16"/>
          <w:szCs w:val="16"/>
          <w:color w:val="auto"/>
        </w:rPr>
        <w:t>Each borrowing under the Domestic Commitments shall be in an amount equal to $25 million (or, if the Total Available Domestic Commitments at such time are less than $25 million, such lesser amount) or a whole multiple of $5 million in excess thereof.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6</w:t>
      </w:r>
      <w:r>
        <w:rPr>
          <w:rFonts w:ascii="Arial" w:cs="Arial" w:eastAsia="Arial" w:hAnsi="Arial"/>
          <w:sz w:val="16"/>
          <w:szCs w:val="16"/>
          <w:color w:val="auto"/>
        </w:rPr>
        <w:t>Specify Eurodollar Borrowing or ABR Borrowing.</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7</w:t>
      </w:r>
      <w:r>
        <w:rPr>
          <w:rFonts w:ascii="Arial" w:cs="Arial" w:eastAsia="Arial" w:hAnsi="Arial"/>
          <w:sz w:val="16"/>
          <w:szCs w:val="16"/>
          <w:color w:val="auto"/>
        </w:rPr>
        <w:t>Which shall be subject to the definition of “Interest Period” and end on or before the Termination Date applicable to such Facility for such Lender.</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40"/>
          </w:cols>
          <w:pgMar w:left="220" w:top="812" w:right="239" w:bottom="1440" w:gutter="0" w:footer="0" w:header="0"/>
        </w:sectPr>
      </w:pPr>
    </w:p>
    <w:bookmarkStart w:id="372" w:name="page373"/>
    <w:bookmarkEnd w:id="372"/>
    <w:p>
      <w:pPr>
        <w:ind w:firstLine="1063"/>
        <w:spacing w:after="0" w:line="326" w:lineRule="auto"/>
        <w:rPr>
          <w:sz w:val="20"/>
          <w:szCs w:val="20"/>
          <w:color w:val="auto"/>
        </w:rPr>
      </w:pPr>
      <w:r>
        <w:rPr>
          <w:rFonts w:ascii="Arial" w:cs="Arial" w:eastAsia="Arial" w:hAnsi="Arial"/>
          <w:sz w:val="16"/>
          <w:szCs w:val="16"/>
          <w:color w:val="auto"/>
        </w:rPr>
        <w:t xml:space="preserve">The Applicable Borrower hereby represents and warrants to the Administrative Agent and the Lenders that, on the date of the requested Extension of Credit, the conditions to lending specified in Section[s] 5.1 [and 5.2 </w:t>
      </w:r>
      <w:r>
        <w:rPr>
          <w:rFonts w:ascii="Arial" w:cs="Arial" w:eastAsia="Arial" w:hAnsi="Arial"/>
          <w:sz w:val="14"/>
          <w:szCs w:val="14"/>
          <w:color w:val="auto"/>
        </w:rPr>
        <w:t>[Insert for Borrowing on the Closing Date.]</w:t>
      </w:r>
      <w:r>
        <w:rPr>
          <w:rFonts w:ascii="Arial" w:cs="Arial" w:eastAsia="Arial" w:hAnsi="Arial"/>
          <w:sz w:val="16"/>
          <w:szCs w:val="16"/>
          <w:color w:val="auto"/>
        </w:rPr>
        <w:t>] of the Credit Agreement have been satisfied.</w:t>
      </w:r>
    </w:p>
    <w:p>
      <w:pPr>
        <w:spacing w:after="0" w:line="200" w:lineRule="exact"/>
        <w:rPr>
          <w:sz w:val="20"/>
          <w:szCs w:val="20"/>
          <w:color w:val="auto"/>
        </w:rPr>
      </w:pPr>
    </w:p>
    <w:p>
      <w:pPr>
        <w:spacing w:after="0" w:line="24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[INSERT NAME OF APPLICABLE BORROWER]</w:t>
      </w:r>
    </w:p>
    <w:p>
      <w:pPr>
        <w:spacing w:after="0" w:line="39"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26035</wp:posOffset>
            </wp:positionV>
            <wp:extent cx="392366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923665" cy="6985"/>
                    </a:xfrm>
                    <a:prstGeom prst="rect">
                      <a:avLst/>
                    </a:prstGeom>
                    <a:noFill/>
                  </pic:spPr>
                </pic:pic>
              </a:graphicData>
            </a:graphic>
          </wp:anchor>
        </w:drawing>
      </w:r>
    </w:p>
    <w:p>
      <w:pPr>
        <w:spacing w:after="0" w:line="4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Name:</w:t>
      </w:r>
    </w:p>
    <w:p>
      <w:pPr>
        <w:spacing w:after="0" w:line="23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0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[GENERAL MOTORS COMPANY]</w:t>
      </w:r>
    </w:p>
    <w:p>
      <w:pPr>
        <w:spacing w:after="0" w:line="216"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26035</wp:posOffset>
            </wp:positionV>
            <wp:extent cx="392366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23665" cy="6985"/>
                    </a:xfrm>
                    <a:prstGeom prst="rect">
                      <a:avLst/>
                    </a:prstGeom>
                    <a:noFill/>
                  </pic:spPr>
                </pic:pic>
              </a:graphicData>
            </a:graphic>
          </wp:anchor>
        </w:drawing>
      </w:r>
    </w:p>
    <w:p>
      <w:pPr>
        <w:spacing w:after="0" w:line="4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Name:</w:t>
      </w:r>
    </w:p>
    <w:p>
      <w:pPr>
        <w:spacing w:after="0" w:line="4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0"/>
          <w:szCs w:val="10"/>
          <w:color w:val="auto"/>
        </w:rPr>
        <w:t>509265-1725-14703-Active.16541945</w:t>
      </w:r>
    </w:p>
    <w:p>
      <w:pPr>
        <w:sectPr>
          <w:pgSz w:w="11900" w:h="16838" w:orient="portrait"/>
          <w:cols w:equalWidth="0" w:num="1">
            <w:col w:w="11460"/>
          </w:cols>
          <w:pgMar w:left="220" w:top="875" w:right="219" w:bottom="1440" w:gutter="0" w:footer="0" w:header="0"/>
        </w:sectPr>
      </w:pPr>
    </w:p>
    <w:bookmarkStart w:id="373" w:name="page374"/>
    <w:bookmarkEnd w:id="373"/>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4796155" cy="688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96155"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For Immediate Release: Oct. 17, 2014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GM Announces $12.5 Billion Revolving Credit Facility</w:t>
      </w:r>
    </w:p>
    <w:p>
      <w:pPr>
        <w:spacing w:after="0" w:line="214"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General Motors Co. today announced the execution of an unsecured $12.5 billion revolving credit facility consisting of a $5 billion three-year facility and a $7.5</w:t>
      </w:r>
      <w:r>
        <w:rPr>
          <w:rFonts w:ascii="Arial" w:cs="Arial" w:eastAsia="Arial" w:hAnsi="Arial"/>
          <w:sz w:val="16"/>
          <w:szCs w:val="16"/>
          <w:b w:val="1"/>
          <w:bCs w:val="1"/>
          <w:color w:val="auto"/>
        </w:rPr>
        <w:t xml:space="preserve"> </w:t>
      </w:r>
      <w:r>
        <w:rPr>
          <w:rFonts w:ascii="Arial" w:cs="Arial" w:eastAsia="Arial" w:hAnsi="Arial"/>
          <w:sz w:val="16"/>
          <w:szCs w:val="16"/>
          <w:color w:val="auto"/>
        </w:rPr>
        <w:t>billion five-year facility. The facility amends and extends GM’s existing $11 billion credit facility.</w:t>
      </w:r>
    </w:p>
    <w:p>
      <w:pPr>
        <w:spacing w:after="0" w:line="13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credit facility further strengthens our fortress balance sheet with an appropriate level of liquidity to support the needs of the business,” said Chuck Stevens, GM executive vice president and chief financial officer. “The broad support from our global banking partners is important as we continue to target a capital structure that is consistent with strong investment grade ratings.”</w:t>
      </w:r>
    </w:p>
    <w:p>
      <w:pPr>
        <w:spacing w:after="0" w:line="15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facility offers improved pricing and terms and the ability to borrow in currencies other than U.S. dollars. GM Financial, GM’s captive finance company, will also be able to borrow under the facility.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 total of 40 financial institutions from 14 countries participated in the broadly syndicated transaction, underscoring the global scope of GM’s operations.</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b w:val="1"/>
          <w:bCs w:val="1"/>
          <w:color w:val="auto"/>
        </w:rPr>
        <w:t xml:space="preserve">General Motors Co. </w:t>
      </w:r>
      <w:r>
        <w:rPr>
          <w:rFonts w:ascii="Arial" w:cs="Arial" w:eastAsia="Arial" w:hAnsi="Arial"/>
          <w:sz w:val="14"/>
          <w:szCs w:val="14"/>
          <w:color w:val="auto"/>
        </w:rPr>
        <w:t>(NYSE:GM, TSX: GMM) and its partners produce vehicles in 30 countries, and the company has leadership positions in the world's largest and fastest-growing automotive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4"/>
          <w:szCs w:val="14"/>
          <w:u w:val="single" w:color="auto"/>
          <w:color w:val="0000FF"/>
        </w:rPr>
        <w:t>http://www.gm.com</w:t>
      </w:r>
      <w:r>
        <w:rPr>
          <w:rFonts w:ascii="Arial" w:cs="Arial" w:eastAsia="Arial" w:hAnsi="Arial"/>
          <w:sz w:val="14"/>
          <w:szCs w:val="14"/>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9" w:lineRule="exact"/>
        <w:rPr>
          <w:sz w:val="20"/>
          <w:szCs w:val="20"/>
          <w:color w:val="auto"/>
        </w:rPr>
      </w:pPr>
    </w:p>
    <w:p>
      <w:pPr>
        <w:ind w:right="20"/>
        <w:spacing w:after="0" w:line="289" w:lineRule="auto"/>
        <w:rPr>
          <w:sz w:val="20"/>
          <w:szCs w:val="20"/>
          <w:color w:val="auto"/>
        </w:rPr>
      </w:pPr>
      <w:r>
        <w:rPr>
          <w:rFonts w:ascii="Arial" w:cs="Arial" w:eastAsia="Arial" w:hAnsi="Arial"/>
          <w:sz w:val="13"/>
          <w:szCs w:val="13"/>
          <w:color w:val="auto"/>
        </w:rPr>
        <w:t>In this press release and in related comments by our management, our use of the words “plans,” “expect,” “anticipate,” “possible,” “potential,” “target,” “believe,” “commit,” “intend,” “continue,” “may,” “would,” “could,” “should,” “project,” “appears,” “projected,”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recent recalls; our ability to remain competitive in Korea and our ability to continue to attract new customers, particularly for our new products. GM's most recent annual report on Form 10-K and quarterly report on Form 10-Q provides information about these and other factors, which we may revise or supplement in future reports to the SEC.</w:t>
      </w:r>
    </w:p>
    <w:sectPr>
      <w:pgSz w:w="11900" w:h="16838" w:orient="portrait"/>
      <w:cols w:equalWidth="0" w:num="1">
        <w:col w:w="11460"/>
      </w:cols>
      <w:pgMar w:left="220" w:top="49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94FF7"/>
    <w:multiLevelType w:val="hybridMultilevel"/>
    <w:lvl w:ilvl="0">
      <w:lvlJc w:val="left"/>
      <w:lvlText w:val="o"/>
      <w:numFmt w:val="bullet"/>
      <w:start w:val="1"/>
    </w:lvl>
  </w:abstractNum>
  <w:abstractNum w:abstractNumId="1">
    <w:nsid w:val="5454945E"/>
    <w:multiLevelType w:val="hybridMultilevel"/>
    <w:lvl w:ilvl="0">
      <w:lvlJc w:val="left"/>
      <w:lvlText w:val="†"/>
      <w:numFmt w:val="bullet"/>
      <w:start w:val="1"/>
    </w:lvl>
  </w:abstractNum>
  <w:abstractNum w:abstractNumId="2">
    <w:nsid w:val="4DEFDFA0"/>
    <w:multiLevelType w:val="hybridMultilevel"/>
    <w:lvl w:ilvl="0">
      <w:lvlJc w:val="left"/>
      <w:lvlText w:val="A"/>
      <w:numFmt w:val="bullet"/>
      <w:start w:val="1"/>
    </w:lvl>
  </w:abstractNum>
  <w:abstractNum w:abstractNumId="3">
    <w:nsid w:val="2123D5F2"/>
    <w:multiLevelType w:val="hybridMultilevel"/>
    <w:lvl w:ilvl="0">
      <w:lvlJc w:val="left"/>
      <w:lvlText w:val="1"/>
      <w:numFmt w:val="bullet"/>
      <w:start w:val="1"/>
    </w:lvl>
  </w:abstractNum>
  <w:abstractNum w:abstractNumId="4">
    <w:nsid w:val="135B8110"/>
    <w:multiLevelType w:val="hybridMultilevel"/>
    <w:lvl w:ilvl="0">
      <w:lvlJc w:val="left"/>
      <w:lvlText w:val="(%1)"/>
      <w:numFmt w:val="lowerLetter"/>
      <w:start w:val="25"/>
    </w:lvl>
  </w:abstractNum>
  <w:abstractNum w:abstractNumId="5">
    <w:nsid w:val="94927A8"/>
    <w:multiLevelType w:val="hybridMultilevel"/>
    <w:lvl w:ilvl="0">
      <w:lvlJc w:val="left"/>
      <w:lvlText w:val="(%1)"/>
      <w:numFmt w:val="lowerLetter"/>
      <w:start w:val="2"/>
    </w:lvl>
  </w:abstractNum>
  <w:abstractNum w:abstractNumId="6">
    <w:nsid w:val="DCDF8F6"/>
    <w:multiLevelType w:val="hybridMultilevel"/>
    <w:lvl w:ilvl="0">
      <w:lvlJc w:val="left"/>
      <w:lvlText w:val="(%1)"/>
      <w:numFmt w:val="upperLetter"/>
      <w:start w:val="1"/>
    </w:lvl>
  </w:abstractNum>
  <w:abstractNum w:abstractNumId="7">
    <w:nsid w:val="52D7B105"/>
    <w:multiLevelType w:val="hybridMultilevel"/>
    <w:lvl w:ilvl="0">
      <w:lvlJc w:val="left"/>
      <w:lvlText w:val="(%1)"/>
      <w:numFmt w:val="upperLetter"/>
      <w:start w:val="3"/>
    </w:lvl>
  </w:abstractNum>
  <w:abstractNum w:abstractNumId="8">
    <w:nsid w:val="2E8A6394"/>
    <w:multiLevelType w:val="hybridMultilevel"/>
    <w:lvl w:ilvl="0">
      <w:lvlJc w:val="left"/>
      <w:lvlText w:val="(%1)"/>
      <w:numFmt w:val="lowerLetter"/>
      <w:start w:val="1"/>
    </w:lvl>
  </w:abstractNum>
  <w:abstractNum w:abstractNumId="9">
    <w:nsid w:val="24E60401"/>
    <w:multiLevelType w:val="hybridMultilevel"/>
    <w:lvl w:ilvl="0">
      <w:lvlJc w:val="left"/>
      <w:lvlText w:val="(%1)"/>
      <w:numFmt w:val="lowerLetter"/>
      <w:start w:val="6"/>
    </w:lvl>
  </w:abstractNum>
  <w:abstractNum w:abstractNumId="10">
    <w:nsid w:val="2A6AD9BE"/>
    <w:multiLevelType w:val="hybridMultilevel"/>
    <w:lvl w:ilvl="0">
      <w:lvlJc w:val="left"/>
      <w:lvlText w:val="(%1)"/>
      <w:numFmt w:val="lowerLetter"/>
      <w:start w:val="13"/>
    </w:lvl>
  </w:abstractNum>
  <w:abstractNum w:abstractNumId="11">
    <w:nsid w:val="BAAC1B4"/>
    <w:multiLevelType w:val="hybridMultilevel"/>
    <w:lvl w:ilvl="0">
      <w:lvlJc w:val="left"/>
      <w:lvlText w:val="(%1)"/>
      <w:numFmt w:val="lowerLetter"/>
      <w:start w:val="25"/>
    </w:lvl>
  </w:abstractNum>
  <w:abstractNum w:abstractNumId="12">
    <w:nsid w:val="36B2ACBC"/>
    <w:multiLevelType w:val="hybridMultilevel"/>
    <w:lvl w:ilvl="0">
      <w:lvlJc w:val="left"/>
      <w:lvlText w:val="(%1)"/>
      <w:numFmt w:val="lowerLetter"/>
      <w:start w:val="27"/>
    </w:lvl>
  </w:abstractNum>
  <w:abstractNum w:abstractNumId="13">
    <w:nsid w:val="779D8544"/>
    <w:multiLevelType w:val="hybridMultilevel"/>
    <w:lvl w:ilvl="0">
      <w:lvlJc w:val="left"/>
      <w:lvlText w:val="%1"/>
      <w:numFmt w:val="lowerLetter"/>
      <w:start w:val="1"/>
    </w:lvl>
    <w:lvl w:ilvl="1">
      <w:lvlJc w:val="left"/>
      <w:lvlText w:val="(%2)"/>
      <w:numFmt w:val="lowerLetter"/>
      <w:start w:val="2"/>
    </w:lvl>
  </w:abstractNum>
  <w:abstractNum w:abstractNumId="14">
    <w:nsid w:val="4AB26E78"/>
    <w:multiLevelType w:val="hybridMultilevel"/>
    <w:lvl w:ilvl="0">
      <w:lvlJc w:val="left"/>
      <w:lvlText w:val="(%1)"/>
      <w:numFmt w:val="lowerLetter"/>
      <w:start w:val="9"/>
    </w:lvl>
    <w:lvl w:ilvl="1">
      <w:lvlJc w:val="left"/>
      <w:lvlText w:val="(%2)"/>
      <w:numFmt w:val="lowerLetter"/>
      <w:start w:val="3"/>
    </w:lvl>
  </w:abstractNum>
  <w:abstractNum w:abstractNumId="15">
    <w:nsid w:val="21FAA2FA"/>
    <w:multiLevelType w:val="hybridMultilevel"/>
    <w:lvl w:ilvl="0">
      <w:lvlJc w:val="left"/>
      <w:lvlText w:val="(%1)"/>
      <w:numFmt w:val="lowerLetter"/>
      <w:start w:val="1"/>
    </w:lvl>
  </w:abstractNum>
  <w:abstractNum w:abstractNumId="16">
    <w:nsid w:val="5451CF49"/>
    <w:multiLevelType w:val="hybridMultilevel"/>
    <w:lvl w:ilvl="0">
      <w:lvlJc w:val="left"/>
      <w:lvlText w:val="(%1)"/>
      <w:numFmt w:val="lowerLetter"/>
      <w:start w:val="3"/>
    </w:lvl>
  </w:abstractNum>
  <w:abstractNum w:abstractNumId="17">
    <w:nsid w:val="6181EF69"/>
    <w:multiLevelType w:val="hybridMultilevel"/>
    <w:lvl w:ilvl="0">
      <w:lvlJc w:val="left"/>
      <w:lvlText w:val="(%1)"/>
      <w:numFmt w:val="lowerLetter"/>
      <w:start w:val="61"/>
    </w:lvl>
    <w:lvl w:ilvl="1">
      <w:lvlJc w:val="left"/>
      <w:lvlText w:val="(%2)"/>
      <w:numFmt w:val="lowerLetter"/>
      <w:start w:val="2"/>
    </w:lvl>
  </w:abstractNum>
  <w:abstractNum w:abstractNumId="18">
    <w:nsid w:val="3E6400E6"/>
    <w:multiLevelType w:val="hybridMultilevel"/>
    <w:lvl w:ilvl="0">
      <w:lvlJc w:val="left"/>
      <w:lvlText w:val="(%1)"/>
      <w:numFmt w:val="lowerLetter"/>
      <w:start w:val="2"/>
    </w:lvl>
  </w:abstractNum>
  <w:abstractNum w:abstractNumId="19">
    <w:nsid w:val="14217E23"/>
    <w:multiLevelType w:val="hybridMultilevel"/>
    <w:lvl w:ilvl="0">
      <w:lvlJc w:val="left"/>
      <w:lvlText w:val="(%1)"/>
      <w:numFmt w:val="lowerLetter"/>
      <w:start w:val="2"/>
    </w:lvl>
  </w:abstractNum>
  <w:abstractNum w:abstractNumId="20">
    <w:nsid w:val="710757D0"/>
    <w:multiLevelType w:val="hybridMultilevel"/>
    <w:lvl w:ilvl="0">
      <w:lvlJc w:val="left"/>
      <w:lvlText w:val="(%1)"/>
      <w:numFmt w:val="lowerLetter"/>
      <w:start w:val="2"/>
    </w:lvl>
  </w:abstractNum>
  <w:abstractNum w:abstractNumId="21">
    <w:nsid w:val="5015CD1A"/>
    <w:multiLevelType w:val="hybridMultilevel"/>
    <w:lvl w:ilvl="0">
      <w:lvlJc w:val="left"/>
      <w:lvlText w:val="(%1)"/>
      <w:numFmt w:val="lowerRoman"/>
      <w:start w:val="2"/>
    </w:lvl>
  </w:abstractNum>
  <w:abstractNum w:abstractNumId="22">
    <w:nsid w:val="424479DA"/>
    <w:multiLevelType w:val="hybridMultilevel"/>
    <w:lvl w:ilvl="0">
      <w:lvlJc w:val="left"/>
      <w:lvlText w:val="(%1)"/>
      <w:numFmt w:val="lowerLetter"/>
      <w:start w:val="2"/>
    </w:lvl>
  </w:abstractNum>
  <w:abstractNum w:abstractNumId="23">
    <w:nsid w:val="1A9A9E69"/>
    <w:multiLevelType w:val="hybridMultilevel"/>
    <w:lvl w:ilvl="0">
      <w:lvlJc w:val="left"/>
      <w:lvlText w:val="%1"/>
      <w:numFmt w:val="upperLetter"/>
      <w:start w:val="1"/>
    </w:lvl>
    <w:lvl w:ilvl="1">
      <w:lvlJc w:val="left"/>
      <w:lvlText w:val="(%2)"/>
      <w:numFmt w:val="lowerLetter"/>
      <w:start w:val="4"/>
    </w:lvl>
  </w:abstractNum>
  <w:abstractNum w:abstractNumId="24">
    <w:nsid w:val="475E256A"/>
    <w:multiLevelType w:val="hybridMultilevel"/>
    <w:lvl w:ilvl="0">
      <w:lvlJc w:val="left"/>
      <w:lvlText w:val="(%1)"/>
      <w:numFmt w:val="upperLetter"/>
      <w:start w:val="3"/>
    </w:lvl>
    <w:lvl w:ilvl="1">
      <w:lvlJc w:val="left"/>
      <w:lvlText w:val="(%2)"/>
      <w:numFmt w:val="lowerLetter"/>
      <w:start w:val="6"/>
    </w:lvl>
  </w:abstractNum>
  <w:abstractNum w:abstractNumId="25">
    <w:nsid w:val="368DB37E"/>
    <w:multiLevelType w:val="hybridMultilevel"/>
    <w:lvl w:ilvl="0">
      <w:lvlJc w:val="left"/>
      <w:lvlText w:val="(%1)"/>
      <w:numFmt w:val="lowerLetter"/>
      <w:start w:val="7"/>
    </w:lvl>
  </w:abstractNum>
  <w:abstractNum w:abstractNumId="26">
    <w:nsid w:val="6A3B714C"/>
    <w:multiLevelType w:val="hybridMultilevel"/>
    <w:lvl w:ilvl="0">
      <w:lvlJc w:val="left"/>
      <w:lvlText w:val="(%1)"/>
      <w:numFmt w:val="lowerLetter"/>
      <w:start w:val="2"/>
    </w:lvl>
  </w:abstractNum>
  <w:abstractNum w:abstractNumId="27">
    <w:nsid w:val="327B517E"/>
    <w:multiLevelType w:val="hybridMultilevel"/>
    <w:lvl w:ilvl="0">
      <w:lvlJc w:val="left"/>
      <w:lvlText w:val="(%1)"/>
      <w:numFmt w:val="lowerLetter"/>
      <w:start w:val="1"/>
    </w:lvl>
  </w:abstractNum>
  <w:abstractNum w:abstractNumId="28">
    <w:nsid w:val="1F461B51"/>
    <w:multiLevelType w:val="hybridMultilevel"/>
    <w:lvl w:ilvl="0">
      <w:lvlJc w:val="left"/>
      <w:lvlText w:val="(%1)"/>
      <w:numFmt w:val="lowerLetter"/>
      <w:start w:val="2"/>
    </w:lvl>
  </w:abstractNum>
  <w:abstractNum w:abstractNumId="29">
    <w:nsid w:val="29BACF25"/>
    <w:multiLevelType w:val="hybridMultilevel"/>
    <w:lvl w:ilvl="0">
      <w:lvlJc w:val="left"/>
      <w:lvlText w:val="%1"/>
      <w:numFmt w:val="lowerLetter"/>
      <w:start w:val="1"/>
    </w:lvl>
    <w:lvl w:ilvl="1">
      <w:lvlJc w:val="left"/>
      <w:lvlText w:val="(%2)"/>
      <w:numFmt w:val="lowerLetter"/>
      <w:start w:val="3"/>
    </w:lvl>
  </w:abstractNum>
  <w:abstractNum w:abstractNumId="30">
    <w:nsid w:val="5D5BABB3"/>
    <w:multiLevelType w:val="hybridMultilevel"/>
    <w:lvl w:ilvl="0">
      <w:lvlJc w:val="left"/>
      <w:lvlText w:val="(%1)"/>
      <w:numFmt w:val="lowerLetter"/>
      <w:start w:val="61"/>
    </w:lvl>
    <w:lvl w:ilvl="1">
      <w:lvlJc w:val="left"/>
      <w:lvlText w:val="(%2)"/>
      <w:numFmt w:val="lowerLetter"/>
      <w:start w:val="4"/>
    </w:lvl>
  </w:abstractNum>
  <w:abstractNum w:abstractNumId="31">
    <w:nsid w:val="51BF6B48"/>
    <w:multiLevelType w:val="hybridMultilevel"/>
    <w:lvl w:ilvl="0">
      <w:lvlJc w:val="left"/>
      <w:lvlText w:val="(%1)"/>
      <w:numFmt w:val="upperLetter"/>
      <w:start w:val="1"/>
    </w:lvl>
    <w:lvl w:ilvl="1">
      <w:lvlJc w:val="left"/>
      <w:lvlText w:val="(%2)"/>
      <w:numFmt w:val="lowerLetter"/>
      <w:start w:val="5"/>
    </w:lvl>
  </w:abstractNum>
  <w:abstractNum w:abstractNumId="32">
    <w:nsid w:val="7E0F6384"/>
    <w:multiLevelType w:val="hybridMultilevel"/>
    <w:lvl w:ilvl="0">
      <w:lvlJc w:val="left"/>
      <w:lvlText w:val="(%1)"/>
      <w:numFmt w:val="lowerLetter"/>
      <w:start w:val="2"/>
    </w:lvl>
  </w:abstractNum>
  <w:abstractNum w:abstractNumId="33">
    <w:nsid w:val="2B4B8B53"/>
    <w:multiLevelType w:val="hybridMultilevel"/>
    <w:lvl w:ilvl="0">
      <w:lvlJc w:val="left"/>
      <w:lvlText w:val="(%1)"/>
      <w:numFmt w:val="lowerLetter"/>
      <w:start w:val="7"/>
    </w:lvl>
  </w:abstractNum>
  <w:abstractNum w:abstractNumId="34">
    <w:nsid w:val="72E3413A"/>
    <w:multiLevelType w:val="hybridMultilevel"/>
    <w:lvl w:ilvl="0">
      <w:lvlJc w:val="left"/>
      <w:lvlText w:val="(%1)"/>
      <w:numFmt w:val="lowerLetter"/>
      <w:start w:val="2"/>
    </w:lvl>
  </w:abstractNum>
  <w:abstractNum w:abstractNumId="35">
    <w:nsid w:val="116AE494"/>
    <w:multiLevelType w:val="hybridMultilevel"/>
    <w:lvl w:ilvl="0">
      <w:lvlJc w:val="left"/>
      <w:lvlText w:val="(%1)"/>
      <w:numFmt w:val="lowerLetter"/>
      <w:start w:val="2"/>
    </w:lvl>
  </w:abstractNum>
  <w:abstractNum w:abstractNumId="36">
    <w:nsid w:val="3494B2FB"/>
    <w:multiLevelType w:val="hybridMultilevel"/>
    <w:lvl w:ilvl="0">
      <w:lvlJc w:val="left"/>
      <w:lvlText w:val="(%1)"/>
      <w:numFmt w:val="lowerLetter"/>
      <w:start w:val="2"/>
    </w:lvl>
  </w:abstractNum>
  <w:abstractNum w:abstractNumId="37">
    <w:nsid w:val="B13A31"/>
    <w:multiLevelType w:val="hybridMultilevel"/>
    <w:lvl w:ilvl="0">
      <w:lvlJc w:val="left"/>
      <w:lvlText w:val="%1"/>
      <w:numFmt w:val="decimal"/>
      <w:start w:val="1"/>
    </w:lvl>
    <w:lvl w:ilvl="1">
      <w:lvlJc w:val="left"/>
      <w:lvlText w:val="(%2)"/>
      <w:numFmt w:val="lowerRoman"/>
      <w:start w:val="1"/>
    </w:lvl>
  </w:abstractNum>
  <w:abstractNum w:abstractNumId="38">
    <w:nsid w:val="64429599"/>
    <w:multiLevelType w:val="hybridMultilevel"/>
    <w:lvl w:ilvl="0">
      <w:lvlJc w:val="left"/>
      <w:lvlText w:val="(%1)"/>
      <w:numFmt w:val="decimal"/>
      <w:start w:val="5"/>
    </w:lvl>
    <w:lvl w:ilvl="1">
      <w:lvlJc w:val="left"/>
      <w:lvlText w:val="%2"/>
      <w:numFmt w:val="lowerRoman"/>
      <w:start w:val="1"/>
    </w:lvl>
  </w:abstractNum>
  <w:abstractNum w:abstractNumId="39">
    <w:nsid w:val="631F1690"/>
    <w:multiLevelType w:val="hybridMultilevel"/>
    <w:lvl w:ilvl="0">
      <w:lvlJc w:val="left"/>
      <w:lvlText w:val="(%1)"/>
      <w:numFmt w:val="lowerLetter"/>
      <w:start w:val="2"/>
    </w:lvl>
  </w:abstractNum>
  <w:abstractNum w:abstractNumId="40">
    <w:nsid w:val="25973E32"/>
    <w:multiLevelType w:val="hybridMultilevel"/>
    <w:lvl w:ilvl="0">
      <w:lvlJc w:val="left"/>
      <w:lvlText w:val="(%1)"/>
      <w:numFmt w:val="lowerLetter"/>
      <w:start w:val="2"/>
    </w:lvl>
  </w:abstractNum>
  <w:abstractNum w:abstractNumId="41">
    <w:nsid w:val="EAD6F57"/>
    <w:multiLevelType w:val="hybridMultilevel"/>
    <w:lvl w:ilvl="0">
      <w:lvlJc w:val="left"/>
      <w:lvlText w:val="(%1)"/>
      <w:numFmt w:val="lowerLetter"/>
      <w:start w:val="4"/>
    </w:lvl>
  </w:abstractNum>
  <w:abstractNum w:abstractNumId="42">
    <w:nsid w:val="6EC9D844"/>
    <w:multiLevelType w:val="hybridMultilevel"/>
    <w:lvl w:ilvl="0">
      <w:lvlJc w:val="left"/>
      <w:lvlText w:val="(%1)"/>
      <w:numFmt w:val="lowerLetter"/>
      <w:start w:val="6"/>
    </w:lvl>
  </w:abstractNum>
  <w:abstractNum w:abstractNumId="43">
    <w:nsid w:val="5C49EAEE"/>
    <w:multiLevelType w:val="hybridMultilevel"/>
    <w:lvl w:ilvl="0">
      <w:lvlJc w:val="left"/>
      <w:lvlText w:val="(%1)"/>
      <w:numFmt w:val="lowerLetter"/>
      <w:start w:val="1"/>
    </w:lvl>
  </w:abstractNum>
  <w:abstractNum w:abstractNumId="44">
    <w:nsid w:val="64AF49B"/>
    <w:multiLevelType w:val="hybridMultilevel"/>
    <w:lvl w:ilvl="0">
      <w:lvlJc w:val="left"/>
      <w:lvlText w:val="(%1)"/>
      <w:numFmt w:val="lowerRoman"/>
      <w:start w:val="1"/>
    </w:lvl>
  </w:abstractNum>
  <w:abstractNum w:abstractNumId="45">
    <w:nsid w:val="397C46BC"/>
    <w:multiLevelType w:val="hybridMultilevel"/>
    <w:lvl w:ilvl="0">
      <w:lvlJc w:val="left"/>
      <w:lvlText w:val="(%1)"/>
      <w:numFmt w:val="lowerLetter"/>
      <w:start w:val="2"/>
    </w:lvl>
  </w:abstractNum>
  <w:abstractNum w:abstractNumId="46">
    <w:nsid w:val="7E448DE9"/>
    <w:multiLevelType w:val="hybridMultilevel"/>
    <w:lvl w:ilvl="0">
      <w:lvlJc w:val="left"/>
      <w:lvlText w:val="(%1)"/>
      <w:numFmt w:val="lowerLetter"/>
      <w:start w:val="3"/>
    </w:lvl>
  </w:abstractNum>
  <w:abstractNum w:abstractNumId="47">
    <w:nsid w:val="5A9CC3E5"/>
    <w:multiLevelType w:val="hybridMultilevel"/>
    <w:lvl w:ilvl="0">
      <w:lvlJc w:val="left"/>
      <w:lvlText w:val="(%1)"/>
      <w:numFmt w:val="lowerLetter"/>
      <w:start w:val="2"/>
    </w:lvl>
  </w:abstractNum>
  <w:abstractNum w:abstractNumId="48">
    <w:nsid w:val="1AFE3625"/>
    <w:multiLevelType w:val="hybridMultilevel"/>
    <w:lvl w:ilvl="0">
      <w:lvlJc w:val="left"/>
      <w:lvlText w:val="(%1)"/>
      <w:numFmt w:val="lowerLetter"/>
      <w:start w:val="5"/>
    </w:lvl>
  </w:abstractNum>
  <w:abstractNum w:abstractNumId="49">
    <w:nsid w:val="3CA88ECF"/>
    <w:multiLevelType w:val="hybridMultilevel"/>
    <w:lvl w:ilvl="0">
      <w:lvlJc w:val="left"/>
      <w:lvlText w:val="(%1)"/>
      <w:numFmt w:val="lowerLetter"/>
      <w:start w:val="6"/>
    </w:lvl>
  </w:abstractNum>
  <w:abstractNum w:abstractNumId="50">
    <w:nsid w:val="6EBE4208"/>
    <w:multiLevelType w:val="hybridMultilevel"/>
    <w:lvl w:ilvl="0">
      <w:lvlJc w:val="left"/>
      <w:lvlText w:val="%1"/>
      <w:numFmt w:val="lowerLetter"/>
      <w:start w:val="1"/>
    </w:lvl>
    <w:lvl w:ilvl="1">
      <w:lvlJc w:val="left"/>
      <w:lvlText w:val="(%2)"/>
      <w:numFmt w:val="lowerLetter"/>
      <w:start w:val="1"/>
    </w:lvl>
  </w:abstractNum>
  <w:abstractNum w:abstractNumId="51">
    <w:nsid w:val="C058DF5"/>
    <w:multiLevelType w:val="hybridMultilevel"/>
    <w:lvl w:ilvl="0">
      <w:lvlJc w:val="left"/>
      <w:lvlText w:val="(%1)"/>
      <w:numFmt w:val="lowerLetter"/>
      <w:start w:val="2"/>
    </w:lvl>
    <w:lvl w:ilvl="1">
      <w:lvlJc w:val="left"/>
      <w:lvlText w:val="%2"/>
      <w:numFmt w:val="lowerLetter"/>
      <w:start w:val="1"/>
    </w:lvl>
  </w:abstractNum>
  <w:abstractNum w:abstractNumId="52">
    <w:nsid w:val="CBE5BE9"/>
    <w:multiLevelType w:val="hybridMultilevel"/>
    <w:lvl w:ilvl="0">
      <w:lvlJc w:val="left"/>
      <w:lvlText w:val="(%1)"/>
      <w:numFmt w:val="lowerLetter"/>
      <w:start w:val="3"/>
    </w:lvl>
  </w:abstractNum>
  <w:abstractNum w:abstractNumId="53">
    <w:nsid w:val="3102BBE2"/>
    <w:multiLevelType w:val="hybridMultilevel"/>
    <w:lvl w:ilvl="0">
      <w:lvlJc w:val="left"/>
      <w:lvlText w:val="%1"/>
      <w:numFmt w:val="lowerRoman"/>
      <w:start w:val="1"/>
    </w:lvl>
    <w:lvl w:ilvl="1">
      <w:lvlJc w:val="left"/>
      <w:lvlText w:val="(%2)"/>
      <w:numFmt w:val="lowerRoman"/>
      <w:start w:val="1"/>
    </w:lvl>
  </w:abstractNum>
  <w:abstractNum w:abstractNumId="54">
    <w:nsid w:val="26A02C5E"/>
    <w:multiLevelType w:val="hybridMultilevel"/>
    <w:lvl w:ilvl="0">
      <w:lvlJc w:val="left"/>
      <w:lvlText w:val="(%1)"/>
      <w:numFmt w:val="lowerRoman"/>
      <w:start w:val="2"/>
    </w:lvl>
    <w:lvl w:ilvl="1">
      <w:lvlJc w:val="left"/>
      <w:lvlText w:val="(%2)"/>
      <w:numFmt w:val="lowerRoman"/>
      <w:start w:val="4"/>
    </w:lvl>
  </w:abstractNum>
  <w:abstractNum w:abstractNumId="55">
    <w:nsid w:val="541C8153"/>
    <w:multiLevelType w:val="hybridMultilevel"/>
    <w:lvl w:ilvl="0">
      <w:lvlJc w:val="left"/>
      <w:lvlText w:val="(%1)"/>
      <w:numFmt w:val="lowerLetter"/>
      <w:start w:val="4"/>
    </w:lvl>
  </w:abstractNum>
  <w:abstractNum w:abstractNumId="56">
    <w:nsid w:val="67906F60"/>
    <w:multiLevelType w:val="hybridMultilevel"/>
    <w:lvl w:ilvl="0">
      <w:lvlJc w:val="left"/>
      <w:lvlText w:val="(%1)"/>
      <w:numFmt w:val="lowerLetter"/>
      <w:start w:val="2"/>
    </w:lvl>
  </w:abstractNum>
  <w:abstractNum w:abstractNumId="57">
    <w:nsid w:val="10DB9DAA"/>
    <w:multiLevelType w:val="hybridMultilevel"/>
    <w:lvl w:ilvl="0">
      <w:lvlJc w:val="left"/>
      <w:lvlText w:val="(%1)"/>
      <w:numFmt w:val="upperLetter"/>
      <w:start w:val="3"/>
    </w:lvl>
    <w:lvl w:ilvl="1">
      <w:lvlJc w:val="left"/>
      <w:lvlText w:val="(%2)"/>
      <w:numFmt w:val="lowerLetter"/>
      <w:start w:val="2"/>
    </w:lvl>
  </w:abstractNum>
  <w:abstractNum w:abstractNumId="58">
    <w:nsid w:val="697D2D2"/>
    <w:multiLevelType w:val="hybridMultilevel"/>
    <w:lvl w:ilvl="0">
      <w:lvlJc w:val="left"/>
      <w:lvlText w:val="(%1)"/>
      <w:numFmt w:val="lowerLetter"/>
      <w:start w:val="2"/>
    </w:lvl>
  </w:abstractNum>
  <w:abstractNum w:abstractNumId="59">
    <w:nsid w:val="6D68AB2"/>
    <w:multiLevelType w:val="hybridMultilevel"/>
    <w:lvl w:ilvl="0">
      <w:lvlJc w:val="left"/>
      <w:lvlText w:val="(%1)"/>
      <w:numFmt w:val="lowerLetter"/>
      <w:start w:val="2"/>
    </w:lvl>
  </w:abstractNum>
  <w:abstractNum w:abstractNumId="60">
    <w:nsid w:val="3A966CD0"/>
    <w:multiLevelType w:val="hybridMultilevel"/>
    <w:lvl w:ilvl="0">
      <w:lvlJc w:val="left"/>
      <w:lvlText w:val="(%1)"/>
      <w:numFmt w:val="lowerRoman"/>
      <w:start w:val="1"/>
    </w:lvl>
    <w:lvl w:ilvl="1">
      <w:lvlJc w:val="left"/>
      <w:lvlText w:val="(%2)"/>
      <w:numFmt w:val="upperLetter"/>
      <w:start w:val="1"/>
    </w:lvl>
  </w:abstractNum>
  <w:abstractNum w:abstractNumId="61">
    <w:nsid w:val="63F37E85"/>
    <w:multiLevelType w:val="hybridMultilevel"/>
    <w:lvl w:ilvl="0">
      <w:lvlJc w:val="left"/>
      <w:lvlText w:val="%1"/>
      <w:numFmt w:val="lowerRoman"/>
      <w:start w:val="1"/>
    </w:lvl>
    <w:lvl w:ilvl="1">
      <w:lvlJc w:val="left"/>
      <w:lvlText w:val="(%2)"/>
      <w:numFmt w:val="upperLetter"/>
      <w:start w:val="3"/>
    </w:lvl>
  </w:abstractNum>
  <w:abstractNum w:abstractNumId="62">
    <w:nsid w:val="5895F5FA"/>
    <w:multiLevelType w:val="hybridMultilevel"/>
    <w:lvl w:ilvl="0">
      <w:lvlJc w:val="left"/>
      <w:lvlText w:val="(%1)"/>
      <w:numFmt w:val="lowerRoman"/>
      <w:start w:val="2"/>
    </w:lvl>
    <w:lvl w:ilvl="1">
      <w:lvlJc w:val="left"/>
      <w:lvlText w:val="%2"/>
      <w:numFmt w:val="upperLetter"/>
      <w:start w:val="1"/>
    </w:lvl>
  </w:abstractNum>
  <w:abstractNum w:abstractNumId="63">
    <w:nsid w:val="38A5D054"/>
    <w:multiLevelType w:val="hybridMultilevel"/>
    <w:lvl w:ilvl="0">
      <w:lvlJc w:val="left"/>
      <w:lvlText w:val="(%1)"/>
      <w:numFmt w:val="lowerLetter"/>
      <w:start w:val="3"/>
    </w:lvl>
  </w:abstractNum>
  <w:abstractNum w:abstractNumId="64">
    <w:nsid w:val="F3F09D8"/>
    <w:multiLevelType w:val="hybridMultilevel"/>
    <w:lvl w:ilvl="0">
      <w:lvlJc w:val="left"/>
      <w:lvlText w:val="(%1)"/>
      <w:numFmt w:val="lowerRoman"/>
      <w:start w:val="2"/>
    </w:lvl>
  </w:abstractNum>
  <w:abstractNum w:abstractNumId="65">
    <w:nsid w:val="4B793735"/>
    <w:multiLevelType w:val="hybridMultilevel"/>
    <w:lvl w:ilvl="0">
      <w:lvlJc w:val="left"/>
      <w:lvlText w:val="(%1)"/>
      <w:numFmt w:val="lowerLetter"/>
      <w:start w:val="4"/>
    </w:lvl>
  </w:abstractNum>
  <w:abstractNum w:abstractNumId="66">
    <w:nsid w:val="4A10B4E8"/>
    <w:multiLevelType w:val="hybridMultilevel"/>
    <w:lvl w:ilvl="0">
      <w:lvlJc w:val="left"/>
      <w:lvlText w:val="(%1)"/>
      <w:numFmt w:val="lowerRoman"/>
      <w:start w:val="2"/>
    </w:lvl>
  </w:abstractNum>
  <w:abstractNum w:abstractNumId="67">
    <w:nsid w:val="43D3BCD4"/>
    <w:multiLevelType w:val="hybridMultilevel"/>
    <w:lvl w:ilvl="0">
      <w:lvlJc w:val="left"/>
      <w:lvlText w:val="(%1)"/>
      <w:numFmt w:val="lowerLetter"/>
      <w:start w:val="5"/>
    </w:lvl>
  </w:abstractNum>
  <w:abstractNum w:abstractNumId="68">
    <w:nsid w:val="4C2A7166"/>
    <w:multiLevelType w:val="hybridMultilevel"/>
    <w:lvl w:ilvl="0">
      <w:lvlJc w:val="left"/>
      <w:lvlText w:val="(%1)"/>
      <w:numFmt w:val="lowerRoman"/>
      <w:start w:val="2"/>
    </w:lvl>
  </w:abstractNum>
  <w:abstractNum w:abstractNumId="69">
    <w:nsid w:val="2E534A82"/>
    <w:multiLevelType w:val="hybridMultilevel"/>
    <w:lvl w:ilvl="0">
      <w:lvlJc w:val="left"/>
      <w:lvlText w:val="(%1)"/>
      <w:numFmt w:val="upperLetter"/>
      <w:start w:val="1"/>
    </w:lvl>
  </w:abstractNum>
  <w:abstractNum w:abstractNumId="70">
    <w:nsid w:val="26F2D364"/>
    <w:multiLevelType w:val="hybridMultilevel"/>
    <w:lvl w:ilvl="0">
      <w:lvlJc w:val="left"/>
      <w:lvlText w:val="%1"/>
      <w:numFmt w:val="lowerLetter"/>
      <w:start w:val="1"/>
    </w:lvl>
    <w:lvl w:ilvl="1">
      <w:lvlJc w:val="left"/>
      <w:lvlText w:val="(%2)"/>
      <w:numFmt w:val="upperLetter"/>
      <w:start w:val="2"/>
    </w:lvl>
  </w:abstractNum>
  <w:abstractNum w:abstractNumId="71">
    <w:nsid w:val="71C1AF98"/>
    <w:multiLevelType w:val="hybridMultilevel"/>
    <w:lvl w:ilvl="0">
      <w:lvlJc w:val="left"/>
      <w:lvlText w:val="(%1)"/>
      <w:numFmt w:val="lowerLetter"/>
      <w:start w:val="6"/>
    </w:lvl>
    <w:lvl w:ilvl="1">
      <w:lvlJc w:val="left"/>
      <w:lvlText w:val="(%2)"/>
      <w:numFmt w:val="upperLetter"/>
      <w:start w:val="1"/>
    </w:lvl>
  </w:abstractNum>
  <w:abstractNum w:abstractNumId="72">
    <w:nsid w:val="3D00B9D9"/>
    <w:multiLevelType w:val="hybridMultilevel"/>
    <w:lvl w:ilvl="0">
      <w:lvlJc w:val="left"/>
      <w:lvlText w:val="(%1)"/>
      <w:numFmt w:val="lowerLetter"/>
      <w:start w:val="10"/>
    </w:lvl>
  </w:abstractNum>
  <w:abstractNum w:abstractNumId="73">
    <w:nsid w:val="15BCABA8"/>
    <w:multiLevelType w:val="hybridMultilevel"/>
    <w:lvl w:ilvl="0">
      <w:lvlJc w:val="left"/>
      <w:lvlText w:val="(%1)"/>
      <w:numFmt w:val="lowerLetter"/>
      <w:start w:val="2"/>
    </w:lvl>
  </w:abstractNum>
  <w:abstractNum w:abstractNumId="74">
    <w:nsid w:val="4E0B9A87"/>
    <w:multiLevelType w:val="hybridMultilevel"/>
    <w:lvl w:ilvl="0">
      <w:lvlJc w:val="left"/>
      <w:lvlText w:val="(%1)"/>
      <w:numFmt w:val="lowerLetter"/>
      <w:start w:val="2"/>
    </w:lvl>
  </w:abstractNum>
  <w:abstractNum w:abstractNumId="75">
    <w:nsid w:val="434BAE75"/>
    <w:multiLevelType w:val="hybridMultilevel"/>
    <w:lvl w:ilvl="0">
      <w:lvlJc w:val="left"/>
      <w:lvlText w:val="(%1)"/>
      <w:numFmt w:val="lowerLetter"/>
      <w:start w:val="2"/>
    </w:lvl>
  </w:abstractNum>
  <w:abstractNum w:abstractNumId="76">
    <w:nsid w:val="4F38F265"/>
    <w:multiLevelType w:val="hybridMultilevel"/>
    <w:lvl w:ilvl="0">
      <w:lvlJc w:val="left"/>
      <w:lvlText w:val="(%1)"/>
      <w:numFmt w:val="lowerLetter"/>
      <w:start w:val="2"/>
    </w:lvl>
  </w:abstractNum>
  <w:abstractNum w:abstractNumId="77">
    <w:nsid w:val="4C502870"/>
    <w:multiLevelType w:val="hybridMultilevel"/>
    <w:lvl w:ilvl="0">
      <w:lvlJc w:val="left"/>
      <w:lvlText w:val="(%1)"/>
      <w:numFmt w:val="lowerLetter"/>
      <w:start w:val="2"/>
    </w:lvl>
  </w:abstractNum>
  <w:abstractNum w:abstractNumId="78">
    <w:nsid w:val="1DE8725A"/>
    <w:multiLevelType w:val="hybridMultilevel"/>
    <w:lvl w:ilvl="0">
      <w:lvlJc w:val="left"/>
      <w:lvlText w:val="(%1)"/>
      <w:numFmt w:val="lowerLetter"/>
      <w:start w:val="3"/>
    </w:lvl>
  </w:abstractNum>
  <w:abstractNum w:abstractNumId="79">
    <w:nsid w:val="6A37288A"/>
    <w:multiLevelType w:val="hybridMultilevel"/>
    <w:lvl w:ilvl="0">
      <w:lvlJc w:val="left"/>
      <w:lvlText w:val="(%1)"/>
      <w:numFmt w:val="lowerLetter"/>
      <w:start w:val="2"/>
    </w:lvl>
  </w:abstractNum>
  <w:abstractNum w:abstractNumId="80">
    <w:nsid w:val="8F8B73F"/>
    <w:multiLevelType w:val="hybridMultilevel"/>
    <w:lvl w:ilvl="0">
      <w:lvlJc w:val="left"/>
      <w:lvlText w:val="%1"/>
      <w:numFmt w:val="lowerLetter"/>
      <w:start w:val="1"/>
    </w:lvl>
    <w:lvl w:ilvl="1">
      <w:lvlJc w:val="left"/>
      <w:lvlText w:val="(%2)"/>
      <w:numFmt w:val="lowerLetter"/>
      <w:start w:val="1"/>
    </w:lvl>
  </w:abstractNum>
  <w:abstractNum w:abstractNumId="81">
    <w:nsid w:val="CA6B462"/>
    <w:multiLevelType w:val="hybridMultilevel"/>
    <w:lvl w:ilvl="0">
      <w:lvlJc w:val="left"/>
      <w:lvlText w:val="(%1)"/>
      <w:numFmt w:val="lowerLetter"/>
      <w:start w:val="35"/>
    </w:lvl>
    <w:lvl w:ilvl="1">
      <w:lvlJc w:val="left"/>
      <w:lvlText w:val="(%2)"/>
      <w:numFmt w:val="lowerLetter"/>
      <w:start w:val="6"/>
    </w:lvl>
  </w:abstractNum>
  <w:abstractNum w:abstractNumId="82">
    <w:nsid w:val="763CB680"/>
    <w:multiLevelType w:val="hybridMultilevel"/>
    <w:lvl w:ilvl="0">
      <w:lvlJc w:val="left"/>
      <w:lvlText w:val="(%1)"/>
      <w:numFmt w:val="lowerLetter"/>
      <w:start w:val="1"/>
    </w:lvl>
  </w:abstractNum>
  <w:abstractNum w:abstractNumId="83">
    <w:nsid w:val="15B71329"/>
    <w:multiLevelType w:val="hybridMultilevel"/>
    <w:lvl w:ilvl="0">
      <w:lvlJc w:val="left"/>
      <w:lvlText w:val="(%1)"/>
      <w:numFmt w:val="lowerRoman"/>
      <w:start w:val="2"/>
    </w:lvl>
  </w:abstractNum>
  <w:abstractNum w:abstractNumId="84">
    <w:nsid w:val="3DA97044"/>
    <w:multiLevelType w:val="hybridMultilevel"/>
    <w:lvl w:ilvl="0">
      <w:lvlJc w:val="left"/>
      <w:lvlText w:val="%1"/>
      <w:numFmt w:val="lowerLetter"/>
      <w:start w:val="1"/>
    </w:lvl>
    <w:lvl w:ilvl="1">
      <w:lvlJc w:val="left"/>
      <w:lvlText w:val="(%2)"/>
      <w:numFmt w:val="lowerLetter"/>
      <w:start w:val="2"/>
    </w:lvl>
  </w:abstractNum>
  <w:abstractNum w:abstractNumId="85">
    <w:nsid w:val="1CDCE2DE"/>
    <w:multiLevelType w:val="hybridMultilevel"/>
    <w:lvl w:ilvl="0">
      <w:lvlJc w:val="left"/>
      <w:lvlText w:val="(%1)"/>
      <w:numFmt w:val="lowerLetter"/>
      <w:start w:val="23"/>
    </w:lvl>
    <w:lvl w:ilvl="1">
      <w:lvlJc w:val="left"/>
      <w:lvlText w:val="(%2)"/>
      <w:numFmt w:val="lowerLetter"/>
      <w:start w:val="3"/>
    </w:lvl>
  </w:abstractNum>
  <w:abstractNum w:abstractNumId="86">
    <w:nsid w:val="69D3947C"/>
    <w:multiLevelType w:val="hybridMultilevel"/>
    <w:lvl w:ilvl="0">
      <w:lvlJc w:val="left"/>
      <w:lvlText w:val="(%1)"/>
      <w:numFmt w:val="lowerLetter"/>
      <w:start w:val="1"/>
    </w:lvl>
  </w:abstractNum>
  <w:abstractNum w:abstractNumId="87">
    <w:nsid w:val="2539DFA5"/>
    <w:multiLevelType w:val="hybridMultilevel"/>
    <w:lvl w:ilvl="0">
      <w:lvlJc w:val="left"/>
      <w:lvlText w:val="(%1)"/>
      <w:numFmt w:val="lowerLetter"/>
      <w:start w:val="1"/>
    </w:lvl>
  </w:abstractNum>
  <w:abstractNum w:abstractNumId="88">
    <w:nsid w:val="2DB88089"/>
    <w:multiLevelType w:val="hybridMultilevel"/>
    <w:lvl w:ilvl="0">
      <w:lvlJc w:val="left"/>
      <w:lvlText w:val="(%1)"/>
      <w:numFmt w:val="lowerLetter"/>
      <w:start w:val="2"/>
    </w:lvl>
  </w:abstractNum>
  <w:abstractNum w:abstractNumId="89">
    <w:nsid w:val="706B674E"/>
    <w:multiLevelType w:val="hybridMultilevel"/>
    <w:lvl w:ilvl="0">
      <w:lvlJc w:val="left"/>
      <w:lvlText w:val="(%1)"/>
      <w:numFmt w:val="lowerLetter"/>
      <w:start w:val="1"/>
    </w:lvl>
  </w:abstractNum>
  <w:abstractNum w:abstractNumId="90">
    <w:nsid w:val="2C106A57"/>
    <w:multiLevelType w:val="hybridMultilevel"/>
    <w:lvl w:ilvl="0">
      <w:lvlJc w:val="left"/>
      <w:lvlText w:val="(%1)"/>
      <w:numFmt w:val="lowerLetter"/>
      <w:start w:val="4"/>
    </w:lvl>
  </w:abstractNum>
  <w:abstractNum w:abstractNumId="91">
    <w:nsid w:val="684EED59"/>
    <w:multiLevelType w:val="hybridMultilevel"/>
    <w:lvl w:ilvl="0">
      <w:lvlJc w:val="left"/>
      <w:lvlText w:val="(%1)"/>
      <w:numFmt w:val="lowerLetter"/>
      <w:start w:val="25"/>
    </w:lvl>
  </w:abstractNum>
  <w:abstractNum w:abstractNumId="92">
    <w:nsid w:val="545EE5D3"/>
    <w:multiLevelType w:val="hybridMultilevel"/>
    <w:lvl w:ilvl="0">
      <w:lvlJc w:val="left"/>
      <w:lvlText w:val="(%1)"/>
      <w:numFmt w:val="upperLetter"/>
      <w:start w:val="1"/>
    </w:lvl>
  </w:abstractNum>
  <w:abstractNum w:abstractNumId="93">
    <w:nsid w:val="4A66051"/>
    <w:multiLevelType w:val="hybridMultilevel"/>
    <w:lvl w:ilvl="0">
      <w:lvlJc w:val="left"/>
      <w:lvlText w:val="(%1)"/>
      <w:numFmt w:val="upperLetter"/>
      <w:start w:val="2"/>
    </w:lvl>
  </w:abstractNum>
  <w:abstractNum w:abstractNumId="94">
    <w:nsid w:val="20F4BDAD"/>
    <w:multiLevelType w:val="hybridMultilevel"/>
    <w:lvl w:ilvl="0">
      <w:lvlJc w:val="left"/>
      <w:lvlText w:val="(%1)"/>
      <w:numFmt w:val="lowerLetter"/>
      <w:start w:val="2"/>
    </w:lvl>
  </w:abstractNum>
  <w:abstractNum w:abstractNumId="95">
    <w:nsid w:val="639DEFAC"/>
    <w:multiLevelType w:val="hybridMultilevel"/>
    <w:lvl w:ilvl="0">
      <w:lvlJc w:val="left"/>
      <w:lvlText w:val="(%1)"/>
      <w:numFmt w:val="lowerRoman"/>
      <w:start w:val="1"/>
    </w:lvl>
  </w:abstractNum>
  <w:abstractNum w:abstractNumId="96">
    <w:nsid w:val="501F9786"/>
    <w:multiLevelType w:val="hybridMultilevel"/>
    <w:lvl w:ilvl="0">
      <w:lvlJc w:val="left"/>
      <w:lvlText w:val="(%1)"/>
      <w:numFmt w:val="lowerRoman"/>
      <w:start w:val="2"/>
    </w:lvl>
  </w:abstractNum>
  <w:abstractNum w:abstractNumId="97">
    <w:nsid w:val="6B057295"/>
    <w:multiLevelType w:val="hybridMultilevel"/>
    <w:lvl w:ilvl="0">
      <w:lvlJc w:val="left"/>
      <w:lvlText w:val="(%1)"/>
      <w:numFmt w:val="lowerLetter"/>
      <w:start w:val="2"/>
    </w:lvl>
  </w:abstractNum>
  <w:abstractNum w:abstractNumId="98">
    <w:nsid w:val="2771AC80"/>
    <w:multiLevelType w:val="hybridMultilevel"/>
    <w:lvl w:ilvl="0">
      <w:lvlJc w:val="left"/>
      <w:lvlText w:val="(%1)"/>
      <w:numFmt w:val="lowerLetter"/>
      <w:start w:val="5"/>
    </w:lvl>
  </w:abstractNum>
  <w:abstractNum w:abstractNumId="99">
    <w:nsid w:val="1C4A08EC"/>
    <w:multiLevelType w:val="hybridMultilevel"/>
    <w:lvl w:ilvl="0">
      <w:lvlJc w:val="left"/>
      <w:lvlText w:val="(%1)"/>
      <w:numFmt w:val="lowerLetter"/>
      <w:start w:val="2"/>
    </w:lvl>
    <w:lvl w:ilvl="1">
      <w:lvlJc w:val="left"/>
      <w:lvlText w:val="(%2)"/>
      <w:numFmt w:val="decimal"/>
      <w:start w:val="1"/>
    </w:lvl>
  </w:abstractNum>
  <w:abstractNum w:abstractNumId="100">
    <w:nsid w:val="1958BD17"/>
    <w:multiLevelType w:val="hybridMultilevel"/>
    <w:lvl w:ilvl="0">
      <w:lvlJc w:val="left"/>
      <w:lvlText w:val="(%1)"/>
      <w:numFmt w:val="lowerRoman"/>
      <w:start w:val="2"/>
    </w:lvl>
    <w:lvl w:ilvl="1">
      <w:lvlJc w:val="left"/>
      <w:lvlText w:val="(%2)"/>
      <w:numFmt w:val="upperLetter"/>
      <w:start w:val="1"/>
    </w:lvl>
  </w:abstractNum>
  <w:abstractNum w:abstractNumId="101">
    <w:nsid w:val="4E647FE4"/>
    <w:multiLevelType w:val="hybridMultilevel"/>
    <w:lvl w:ilvl="0">
      <w:lvlJc w:val="left"/>
      <w:lvlText w:val="%1"/>
      <w:numFmt w:val="lowerRoman"/>
      <w:start w:val="1"/>
    </w:lvl>
    <w:lvl w:ilvl="1">
      <w:lvlJc w:val="left"/>
      <w:lvlText w:val="(%2)"/>
      <w:numFmt w:val="upperLetter"/>
      <w:start w:val="2"/>
    </w:lvl>
  </w:abstractNum>
  <w:abstractNum w:abstractNumId="102">
    <w:nsid w:val="E0BB885"/>
    <w:multiLevelType w:val="hybridMultilevel"/>
    <w:lvl w:ilvl="0">
      <w:lvlJc w:val="left"/>
      <w:lvlText w:val="(%1)"/>
      <w:numFmt w:val="lowerRoman"/>
      <w:start w:val="3"/>
    </w:lvl>
    <w:lvl w:ilvl="1">
      <w:lvlJc w:val="left"/>
      <w:lvlText w:val="%2"/>
      <w:numFmt w:val="upperLetter"/>
      <w:start w:val="1"/>
    </w:lvl>
  </w:abstractNum>
  <w:abstractNum w:abstractNumId="103">
    <w:nsid w:val="565976F1"/>
    <w:multiLevelType w:val="hybridMultilevel"/>
    <w:lvl w:ilvl="0">
      <w:lvlJc w:val="left"/>
      <w:lvlText w:val="%1"/>
      <w:numFmt w:val="lowerLetter"/>
      <w:start w:val="1"/>
    </w:lvl>
    <w:lvl w:ilvl="1">
      <w:lvlJc w:val="left"/>
      <w:lvlText w:val="(%2)"/>
      <w:numFmt w:val="lowerLetter"/>
      <w:start w:val="22"/>
    </w:lvl>
  </w:abstractNum>
  <w:abstractNum w:abstractNumId="104">
    <w:nsid w:val="64212B8C"/>
    <w:multiLevelType w:val="hybridMultilevel"/>
    <w:lvl w:ilvl="0">
      <w:lvlJc w:val="left"/>
      <w:lvlText w:val="(%1)"/>
      <w:numFmt w:val="lowerLetter"/>
      <w:start w:val="3"/>
    </w:lvl>
    <w:lvl w:ilvl="1">
      <w:lvlJc w:val="left"/>
      <w:lvlText w:val="(%2)"/>
      <w:numFmt w:val="lowerLetter"/>
      <w:start w:val="35"/>
    </w:lvl>
  </w:abstractNum>
  <w:abstractNum w:abstractNumId="105">
    <w:nsid w:val="5C17530C"/>
    <w:multiLevelType w:val="hybridMultilevel"/>
    <w:lvl w:ilvl="0">
      <w:lvlJc w:val="left"/>
      <w:lvlText w:val="(%1)"/>
      <w:numFmt w:val="lowerLetter"/>
      <w:start w:val="4"/>
    </w:lvl>
  </w:abstractNum>
  <w:abstractNum w:abstractNumId="106">
    <w:nsid w:val="19A52566"/>
    <w:multiLevelType w:val="hybridMultilevel"/>
    <w:lvl w:ilvl="0">
      <w:lvlJc w:val="left"/>
      <w:lvlText w:val="(%1)"/>
      <w:numFmt w:val="lowerRoman"/>
      <w:start w:val="1"/>
    </w:lvl>
  </w:abstractNum>
  <w:abstractNum w:abstractNumId="107">
    <w:nsid w:val="335A1DF1"/>
    <w:multiLevelType w:val="hybridMultilevel"/>
    <w:lvl w:ilvl="0">
      <w:lvlJc w:val="left"/>
      <w:lvlText w:val="(%1)"/>
      <w:numFmt w:val="lowerLetter"/>
      <w:start w:val="2"/>
    </w:lvl>
  </w:abstractNum>
  <w:abstractNum w:abstractNumId="108">
    <w:nsid w:val="28677B7C"/>
    <w:multiLevelType w:val="hybridMultilevel"/>
    <w:lvl w:ilvl="0">
      <w:lvlJc w:val="left"/>
      <w:lvlText w:val="(%1)"/>
      <w:numFmt w:val="lowerLetter"/>
      <w:start w:val="3"/>
    </w:lvl>
  </w:abstractNum>
  <w:abstractNum w:abstractNumId="109">
    <w:nsid w:val="378D97C0"/>
    <w:multiLevelType w:val="hybridMultilevel"/>
    <w:lvl w:ilvl="0">
      <w:lvlJc w:val="left"/>
      <w:lvlText w:val="(%1)"/>
      <w:numFmt w:val="lowerLetter"/>
      <w:start w:val="1"/>
    </w:lvl>
  </w:abstractNum>
  <w:abstractNum w:abstractNumId="110">
    <w:nsid w:val="1D91467C"/>
    <w:multiLevelType w:val="hybridMultilevel"/>
    <w:lvl w:ilvl="0">
      <w:lvlJc w:val="left"/>
      <w:lvlText w:val="(%1)"/>
      <w:numFmt w:val="lowerLetter"/>
      <w:start w:val="1"/>
    </w:lvl>
  </w:abstractNum>
  <w:abstractNum w:abstractNumId="111">
    <w:nsid w:val="316032BB"/>
    <w:multiLevelType w:val="hybridMultilevel"/>
    <w:lvl w:ilvl="0">
      <w:lvlJc w:val="left"/>
      <w:lvlText w:val="(%1)"/>
      <w:numFmt w:val="lowerLetter"/>
      <w:start w:val="2"/>
    </w:lvl>
  </w:abstractNum>
  <w:abstractNum w:abstractNumId="112">
    <w:nsid w:val="44344C22"/>
    <w:multiLevelType w:val="hybridMultilevel"/>
    <w:lvl w:ilvl="0">
      <w:lvlJc w:val="left"/>
      <w:lvlText w:val="%1."/>
      <w:numFmt w:val="decimal"/>
      <w:start w:val="1"/>
    </w:lvl>
  </w:abstractNum>
  <w:abstractNum w:abstractNumId="113">
    <w:nsid w:val="13CDFCFC"/>
    <w:multiLevelType w:val="hybridMultilevel"/>
    <w:lvl w:ilvl="0">
      <w:lvlJc w:val="left"/>
      <w:lvlText w:val="(%1)"/>
      <w:numFmt w:val="lowerLetter"/>
      <w:start w:val="1"/>
    </w:lvl>
  </w:abstractNum>
  <w:abstractNum w:abstractNumId="114">
    <w:nsid w:val="471745E4"/>
    <w:multiLevelType w:val="hybridMultilevel"/>
    <w:lvl w:ilvl="0">
      <w:lvlJc w:val="left"/>
      <w:lvlText w:val="(%1)"/>
      <w:numFmt w:val="lowerLetter"/>
      <w:start w:val="1"/>
    </w:lvl>
  </w:abstractNum>
  <w:abstractNum w:abstractNumId="115">
    <w:nsid w:val="1DDBC66"/>
    <w:multiLevelType w:val="hybridMultilevel"/>
    <w:lvl w:ilvl="0">
      <w:lvlJc w:val="left"/>
      <w:lvlText w:val="(%1)"/>
      <w:numFmt w:val="lowerLetter"/>
      <w:start w:val="1"/>
    </w:lvl>
  </w:abstractNum>
  <w:abstractNum w:abstractNumId="116">
    <w:nsid w:val="30AADFDA"/>
    <w:multiLevelType w:val="hybridMultilevel"/>
    <w:lvl w:ilvl="0">
      <w:lvlJc w:val="left"/>
      <w:lvlText w:val="(%1)"/>
      <w:numFmt w:val="lowerLetter"/>
      <w:start w:val="1"/>
    </w:lvl>
  </w:abstractNum>
  <w:abstractNum w:abstractNumId="117">
    <w:nsid w:val="30EADA61"/>
    <w:multiLevelType w:val="hybridMultilevel"/>
    <w:lvl w:ilvl="0">
      <w:lvlJc w:val="left"/>
      <w:lvlText w:val="(%1)"/>
      <w:numFmt w:val="lowerLetter"/>
      <w:start w:val="1"/>
    </w:lvl>
  </w:abstractNum>
  <w:abstractNum w:abstractNumId="118">
    <w:nsid w:val="27179C0B"/>
    <w:multiLevelType w:val="hybridMultilevel"/>
    <w:lvl w:ilvl="0">
      <w:lvlJc w:val="left"/>
      <w:lvlText w:val="(%1)"/>
      <w:numFmt w:val="lowerLetter"/>
      <w:start w:val="1"/>
    </w:lvl>
  </w:abstractNum>
  <w:abstractNum w:abstractNumId="119">
    <w:nsid w:val="5E636063"/>
    <w:multiLevelType w:val="hybridMultilevel"/>
    <w:lvl w:ilvl="0">
      <w:lvlJc w:val="left"/>
      <w:lvlText w:val="(%1)"/>
      <w:numFmt w:val="lowerLetter"/>
      <w:start w:val="3"/>
    </w:lvl>
  </w:abstractNum>
  <w:abstractNum w:abstractNumId="120">
    <w:nsid w:val="215641AF"/>
    <w:multiLevelType w:val="hybridMultilevel"/>
    <w:lvl w:ilvl="0">
      <w:lvlJc w:val="left"/>
      <w:lvlText w:val="%1."/>
      <w:numFmt w:val="decimal"/>
      <w:start w:val="1"/>
    </w:lvl>
  </w:abstractNum>
  <w:abstractNum w:abstractNumId="121">
    <w:nsid w:val="53280662"/>
    <w:multiLevelType w:val="hybridMultilevel"/>
    <w:lvl w:ilvl="0">
      <w:lvlJc w:val="left"/>
      <w:lvlText w:val="(%1)"/>
      <w:numFmt w:val="decimal"/>
      <w:start w:val="302"/>
    </w:lvl>
  </w:abstractNum>
  <w:abstractNum w:abstractNumId="122">
    <w:nsid w:val="46B24DBC"/>
    <w:multiLevelType w:val="hybridMultilevel"/>
    <w:lvl w:ilvl="0">
      <w:lvlJc w:val="left"/>
      <w:lvlText w:val="(%1)"/>
      <w:numFmt w:val="upperLetter"/>
      <w:start w:val="2"/>
    </w:lvl>
  </w:abstractNum>
  <w:abstractNum w:abstractNumId="123">
    <w:nsid w:val="75B52783"/>
    <w:multiLevelType w:val="hybridMultilevel"/>
    <w:lvl w:ilvl="0">
      <w:lvlJc w:val="left"/>
      <w:lvlText w:val="1"/>
      <w:numFmt w:val="bullet"/>
      <w:start w:val="1"/>
    </w:lvl>
  </w:abstractNum>
  <w:abstractNum w:abstractNumId="124">
    <w:nsid w:val="57CE66B4"/>
    <w:multiLevelType w:val="hybridMultilevel"/>
    <w:lvl w:ilvl="0">
      <w:lvlJc w:val="left"/>
      <w:lvlText w:val="2"/>
      <w:numFmt w:val="bullet"/>
      <w:start w:val="1"/>
    </w:lvl>
  </w:abstractNum>
  <w:abstractNum w:abstractNumId="125">
    <w:nsid w:val="67A70B69"/>
    <w:multiLevelType w:val="hybridMultilevel"/>
    <w:lvl w:ilvl="0">
      <w:lvlJc w:val="left"/>
      <w:lvlText w:val="3"/>
      <w:numFmt w:val="bullet"/>
      <w:start w:val="1"/>
    </w:lvl>
  </w:abstractNum>
  <w:abstractNum w:abstractNumId="126">
    <w:nsid w:val="5953172F"/>
    <w:multiLevelType w:val="hybridMultilevel"/>
    <w:lvl w:ilvl="0">
      <w:lvlJc w:val="left"/>
      <w:lvlText w:val="4"/>
      <w:numFmt w:val="bullet"/>
      <w:start w:val="1"/>
    </w:lvl>
  </w:abstractNum>
  <w:abstractNum w:abstractNumId="127">
    <w:nsid w:val="27EDFE3A"/>
    <w:multiLevelType w:val="hybridMultilevel"/>
    <w:lvl w:ilvl="0">
      <w:lvlJc w:val="left"/>
      <w:lvlText w:val="5"/>
      <w:numFmt w:val="bullet"/>
      <w:start w:val="1"/>
    </w:lvl>
  </w:abstractNum>
  <w:abstractNum w:abstractNumId="128">
    <w:nsid w:val="52AC7DFF"/>
    <w:multiLevelType w:val="hybridMultilevel"/>
    <w:lvl w:ilvl="0">
      <w:lvlJc w:val="left"/>
      <w:lvlText w:val="6"/>
      <w:numFmt w:val="bullet"/>
      <w:start w:val="1"/>
    </w:lvl>
  </w:abstractNum>
  <w:abstractNum w:abstractNumId="129">
    <w:nsid w:val="C4C3AF"/>
    <w:multiLevelType w:val="hybridMultilevel"/>
    <w:lvl w:ilvl="0">
      <w:lvlJc w:val="left"/>
      <w:lvlText w:val="(%1)"/>
      <w:numFmt w:val="decimal"/>
      <w:start w:val="302"/>
    </w:lvl>
  </w:abstractNum>
  <w:abstractNum w:abstractNumId="130">
    <w:nsid w:val="44380727"/>
    <w:multiLevelType w:val="hybridMultilevel"/>
    <w:lvl w:ilvl="0">
      <w:lvlJc w:val="left"/>
      <w:lvlText w:val="(%1)"/>
      <w:numFmt w:val="upperLetter"/>
      <w:start w:val="2"/>
    </w:lvl>
  </w:abstractNum>
  <w:abstractNum w:abstractNumId="131">
    <w:nsid w:val="6C053B16"/>
    <w:multiLevelType w:val="hybridMultilevel"/>
    <w:lvl w:ilvl="0">
      <w:lvlJc w:val="left"/>
      <w:lvlText w:val="7"/>
      <w:numFmt w:val="bullet"/>
      <w:start w:val="1"/>
    </w:lvl>
  </w:abstractNum>
  <w:abstractNum w:abstractNumId="132">
    <w:nsid w:val="4F294393"/>
    <w:multiLevelType w:val="hybridMultilevel"/>
    <w:lvl w:ilvl="0">
      <w:lvlJc w:val="left"/>
      <w:lvlText w:val="8"/>
      <w:numFmt w:val="bullet"/>
      <w:start w:val="1"/>
    </w:lvl>
  </w:abstractNum>
  <w:abstractNum w:abstractNumId="133">
    <w:nsid w:val="5243BFAC"/>
    <w:multiLevelType w:val="hybridMultilevel"/>
    <w:lvl w:ilvl="0">
      <w:lvlJc w:val="left"/>
      <w:lvlText w:val="9"/>
      <w:numFmt w:val="bullet"/>
      <w:start w:val="1"/>
    </w:lvl>
  </w:abstractNum>
  <w:abstractNum w:abstractNumId="134">
    <w:nsid w:val="425EB207"/>
    <w:multiLevelType w:val="hybridMultilevel"/>
    <w:lvl w:ilvl="0">
      <w:lvlJc w:val="left"/>
      <w:lvlText w:val="(%1)"/>
      <w:numFmt w:val="decimal"/>
      <w:start w:val="302"/>
    </w:lvl>
  </w:abstractNum>
  <w:abstractNum w:abstractNumId="135">
    <w:nsid w:val="334A6F1F"/>
    <w:multiLevelType w:val="hybridMultilevel"/>
    <w:lvl w:ilvl="0">
      <w:lvlJc w:val="left"/>
      <w:lvlText w:val="%1"/>
      <w:numFmt w:val="decimal"/>
      <w:start w:val="10"/>
    </w:lvl>
  </w:abstractNum>
  <w:abstractNum w:abstractNumId="136">
    <w:nsid w:val="2E5B12B8"/>
    <w:multiLevelType w:val="hybridMultilevel"/>
    <w:lvl w:ilvl="0">
      <w:lvlJc w:val="left"/>
      <w:lvlText w:val="%1."/>
      <w:numFmt w:val="decimal"/>
      <w:start w:val="1"/>
    </w:lvl>
  </w:abstractNum>
  <w:abstractNum w:abstractNumId="137">
    <w:nsid w:val="5C03D76D"/>
    <w:multiLevelType w:val="hybridMultilevel"/>
    <w:lvl w:ilvl="0">
      <w:lvlJc w:val="left"/>
      <w:lvlText w:val="%1."/>
      <w:numFmt w:val="decimal"/>
      <w:start w:val="8"/>
    </w:lvl>
    <w:lvl w:ilvl="1">
      <w:lvlJc w:val="left"/>
      <w:lvlText w:val="(%2)"/>
      <w:numFmt w:val="lowerLetter"/>
      <w:start w:val="1"/>
    </w:lvl>
  </w:abstractNum>
  <w:abstractNum w:abstractNumId="138">
    <w:nsid w:val="66A48D11"/>
    <w:multiLevelType w:val="hybridMultilevel"/>
    <w:lvl w:ilvl="0">
      <w:lvlJc w:val="left"/>
      <w:lvlText w:val="1"/>
      <w:numFmt w:val="bullet"/>
      <w:start w:val="1"/>
    </w:lvl>
  </w:abstractNum>
  <w:abstractNum w:abstractNumId="139">
    <w:nsid w:val="56C28E34"/>
    <w:multiLevelType w:val="hybridMultilevel"/>
    <w:lvl w:ilvl="0">
      <w:lvlJc w:val="left"/>
      <w:lvlText w:val="%1."/>
      <w:numFmt w:val="decimal"/>
      <w:start w:val="1"/>
    </w:lvl>
  </w:abstractNum>
  <w:abstractNum w:abstractNumId="140">
    <w:nsid w:val="13916F2D"/>
    <w:multiLevelType w:val="hybridMultilevel"/>
    <w:lvl w:ilvl="0">
      <w:lvlJc w:val="left"/>
      <w:lvlText w:val="%1."/>
      <w:numFmt w:val="decimal"/>
      <w:start w:val="2"/>
    </w:lvl>
  </w:abstractNum>
  <w:abstractNum w:abstractNumId="141">
    <w:nsid w:val="435D38D"/>
    <w:multiLevelType w:val="hybridMultilevel"/>
    <w:lvl w:ilvl="0">
      <w:lvlJc w:val="left"/>
      <w:lvlText w:val="%1"/>
      <w:numFmt w:val="decimal"/>
      <w:start w:val="1"/>
    </w:lvl>
    <w:lvl w:ilvl="1">
      <w:lvlJc w:val="left"/>
      <w:lvlText w:val="%2."/>
      <w:numFmt w:val="decimal"/>
      <w:start w:val="1"/>
    </w:lvl>
  </w:abstractNum>
  <w:abstractNum w:abstractNumId="142">
    <w:nsid w:val="822C0EF"/>
    <w:multiLevelType w:val="hybridMultilevel"/>
    <w:lvl w:ilvl="0">
      <w:lvlJc w:val="left"/>
      <w:lvlText w:val="%1."/>
      <w:numFmt w:val="decimal"/>
      <w:start w:val="2"/>
    </w:lvl>
    <w:lvl w:ilvl="1">
      <w:lvlJc w:val="left"/>
      <w:lvlText w:val="%2"/>
      <w:numFmt w:val="decimal"/>
      <w:start w:val="1"/>
    </w:lvl>
  </w:abstractNum>
  <w:abstractNum w:abstractNumId="143">
    <w:nsid w:val="57C5BB4F"/>
    <w:multiLevelType w:val="hybridMultilevel"/>
    <w:lvl w:ilvl="0">
      <w:lvlJc w:val="left"/>
      <w:lvlText w:val="%1"/>
      <w:numFmt w:val="decimal"/>
      <w:start w:val="13"/>
    </w:lvl>
  </w:abstractNum>
  <w:abstractNum w:abstractNumId="144">
    <w:nsid w:val="1803D089"/>
    <w:multiLevelType w:val="hybridMultilevel"/>
    <w:lvl w:ilvl="0">
      <w:lvlJc w:val="left"/>
      <w:lvlText w:val="%1."/>
      <w:numFmt w:val="decimal"/>
      <w:start w:val="1"/>
    </w:lvl>
  </w:abstractNum>
  <w:abstractNum w:abstractNumId="145">
    <w:nsid w:val="4F3A06D4"/>
    <w:multiLevelType w:val="hybridMultilevel"/>
    <w:lvl w:ilvl="0">
      <w:lvlJc w:val="left"/>
      <w:lvlText w:val="1"/>
      <w:numFmt w:val="bullet"/>
      <w:start w:val="1"/>
    </w:lvl>
  </w:abstractNum>
  <w:abstractNum w:abstractNumId="146">
    <w:nsid w:val="59A377B6"/>
    <w:multiLevelType w:val="hybridMultilevel"/>
    <w:lvl w:ilvl="0">
      <w:lvlJc w:val="left"/>
      <w:lvlText w:val="%1."/>
      <w:numFmt w:val="decimal"/>
      <w:start w:val="2"/>
    </w:lvl>
  </w:abstractNum>
  <w:abstractNum w:abstractNumId="147">
    <w:nsid w:val="48AEB063"/>
    <w:multiLevelType w:val="hybridMultilevel"/>
    <w:lvl w:ilvl="0">
      <w:lvlJc w:val="left"/>
      <w:lvlText w:val="2"/>
      <w:numFmt w:val="bullet"/>
      <w:start w:val="1"/>
    </w:lvl>
  </w:abstractNum>
  <w:abstractNum w:abstractNumId="148">
    <w:nsid w:val="24E135"/>
    <w:multiLevelType w:val="hybridMultilevel"/>
    <w:lvl w:ilvl="0">
      <w:lvlJc w:val="left"/>
      <w:lvlText w:val="%1."/>
      <w:numFmt w:val="decimal"/>
      <w:start w:val="4"/>
    </w:lvl>
  </w:abstractNum>
  <w:abstractNum w:abstractNumId="149">
    <w:nsid w:val="BB13C1"/>
    <w:multiLevelType w:val="hybridMultilevel"/>
    <w:lvl w:ilvl="0">
      <w:lvlJc w:val="left"/>
      <w:lvlText w:val="3"/>
      <w:numFmt w:val="bullet"/>
      <w:start w:val="1"/>
    </w:lvl>
  </w:abstractNum>
  <w:abstractNum w:abstractNumId="150">
    <w:nsid w:val="271210C7"/>
    <w:multiLevelType w:val="hybridMultilevel"/>
    <w:lvl w:ilvl="0">
      <w:lvlJc w:val="left"/>
      <w:lvlText w:val="4"/>
      <w:numFmt w:val="bullet"/>
      <w:start w:val="1"/>
    </w:lvl>
  </w:abstractNum>
  <w:abstractNum w:abstractNumId="151">
    <w:nsid w:val="217B22E4"/>
    <w:multiLevelType w:val="hybridMultilevel"/>
    <w:lvl w:ilvl="0">
      <w:lvlJc w:val="left"/>
      <w:lvlText w:val="%1."/>
      <w:numFmt w:val="decimal"/>
      <w:start w:val="7"/>
    </w:lvl>
  </w:abstractNum>
  <w:abstractNum w:abstractNumId="152">
    <w:nsid w:val="53E31A24"/>
    <w:multiLevelType w:val="hybridMultilevel"/>
    <w:lvl w:ilvl="0">
      <w:lvlJc w:val="left"/>
      <w:lvlText w:val="5"/>
      <w:numFmt w:val="bullet"/>
      <w:start w:val="1"/>
    </w:lvl>
  </w:abstractNum>
  <w:abstractNum w:abstractNumId="153">
    <w:nsid w:val="6DC45E83"/>
    <w:multiLevelType w:val="hybridMultilevel"/>
    <w:lvl w:ilvl="0">
      <w:lvlJc w:val="left"/>
      <w:lvlText w:val="(%1)"/>
      <w:numFmt w:val="lowerLetter"/>
      <w:start w:val="1"/>
    </w:lvl>
  </w:abstractNum>
  <w:abstractNum w:abstractNumId="154">
    <w:nsid w:val="17304A67"/>
    <w:multiLevelType w:val="hybridMultilevel"/>
    <w:lvl w:ilvl="0">
      <w:lvlJc w:val="left"/>
      <w:lvlText w:val="1"/>
      <w:numFmt w:val="bullet"/>
      <w:start w:val="1"/>
    </w:lvl>
  </w:abstractNum>
  <w:abstractNum w:abstractNumId="155">
    <w:nsid w:val="2BB180D8"/>
    <w:multiLevelType w:val="hybridMultilevel"/>
    <w:lvl w:ilvl="0">
      <w:lvlJc w:val="left"/>
      <w:lvlText w:val="%1."/>
      <w:numFmt w:val="decimal"/>
      <w:start w:val="1"/>
    </w:lvl>
  </w:abstractNum>
  <w:abstractNum w:abstractNumId="156">
    <w:nsid w:val="556B69ED"/>
    <w:multiLevelType w:val="hybridMultilevel"/>
    <w:lvl w:ilvl="0">
      <w:lvlJc w:val="left"/>
      <w:lvlText w:val="%1"/>
      <w:numFmt w:val="decimal"/>
      <w:start w:val="21"/>
    </w:lvl>
  </w:abstractNum>
  <w:abstractNum w:abstractNumId="157">
    <w:nsid w:val="70836196"/>
    <w:multiLevelType w:val="hybridMultilevel"/>
    <w:lvl w:ilvl="0">
      <w:lvlJc w:val="left"/>
      <w:lvlText w:val="(%1)"/>
      <w:numFmt w:val="decimal"/>
      <w:start w:val="2"/>
    </w:lvl>
  </w:abstractNum>
  <w:abstractNum w:abstractNumId="158">
    <w:nsid w:val="539F7F12"/>
    <w:multiLevelType w:val="hybridMultilevel"/>
    <w:lvl w:ilvl="0">
      <w:lvlJc w:val="left"/>
      <w:lvlText w:val="(%1)"/>
      <w:numFmt w:val="lowerRoman"/>
      <w:start w:val="5"/>
    </w:lvl>
  </w:abstractNum>
  <w:abstractNum w:abstractNumId="159">
    <w:nsid w:val="2817E7EC"/>
    <w:multiLevelType w:val="hybridMultilevel"/>
    <w:lvl w:ilvl="0">
      <w:lvlJc w:val="left"/>
      <w:lvlText w:val="%1."/>
      <w:numFmt w:val="decimal"/>
      <w:start w:val="1"/>
    </w:lvl>
  </w:abstractNum>
  <w:abstractNum w:abstractNumId="160">
    <w:nsid w:val="71482545"/>
    <w:multiLevelType w:val="hybridMultilevel"/>
    <w:lvl w:ilvl="0">
      <w:lvlJc w:val="left"/>
      <w:lvlText w:val="%1."/>
      <w:numFmt w:val="decimal"/>
      <w:start w:val="3"/>
    </w:lvl>
  </w:abstractNum>
  <w:abstractNum w:abstractNumId="161">
    <w:nsid w:val="17D78639"/>
    <w:multiLevelType w:val="hybridMultilevel"/>
    <w:lvl w:ilvl="0">
      <w:lvlJc w:val="left"/>
      <w:lvlText w:val="1"/>
      <w:numFmt w:val="bullet"/>
      <w:start w:val="1"/>
    </w:lvl>
  </w:abstractNum>
  <w:abstractNum w:abstractNumId="162">
    <w:nsid w:val="141D2302"/>
    <w:multiLevelType w:val="hybridMultilevel"/>
    <w:lvl w:ilvl="0">
      <w:lvlJc w:val="left"/>
      <w:lvlText w:val="(%1)"/>
      <w:numFmt w:val="upperLetter"/>
      <w:start w:val="2"/>
    </w:lvl>
  </w:abstractNum>
  <w:abstractNum w:abstractNumId="163">
    <w:nsid w:val="407168D8"/>
    <w:multiLevelType w:val="hybridMultilevel"/>
    <w:lvl w:ilvl="0">
      <w:lvlJc w:val="left"/>
      <w:lvlText w:val="1"/>
      <w:numFmt w:val="bullet"/>
      <w:start w:val="1"/>
    </w:lvl>
  </w:abstractNum>
  <w:abstractNum w:abstractNumId="164">
    <w:nsid w:val="6A1B45E5"/>
    <w:multiLevelType w:val="hybridMultilevel"/>
    <w:lvl w:ilvl="0">
      <w:lvlJc w:val="left"/>
      <w:lvlText w:val="(%1)"/>
      <w:numFmt w:val="decimal"/>
      <w:start w:val="302"/>
    </w:lvl>
  </w:abstractNum>
  <w:abstractNum w:abstractNumId="165">
    <w:nsid w:val="567BD50A"/>
    <w:multiLevelType w:val="hybridMultilevel"/>
    <w:lvl w:ilvl="0">
      <w:lvlJc w:val="left"/>
      <w:lvlText w:val="1"/>
      <w:numFmt w:val="bullet"/>
      <w:start w:val="1"/>
    </w:lvl>
  </w:abstractNum>
  <w:abstractNum w:abstractNumId="166">
    <w:nsid w:val="73BBD7F8"/>
    <w:multiLevelType w:val="hybridMultilevel"/>
    <w:lvl w:ilvl="0">
      <w:lvlJc w:val="left"/>
      <w:lvlText w:val="2"/>
      <w:numFmt w:val="bullet"/>
      <w:start w:val="1"/>
    </w:lvl>
  </w:abstractNum>
  <w:abstractNum w:abstractNumId="167">
    <w:nsid w:val="1876589D"/>
    <w:multiLevelType w:val="hybridMultilevel"/>
    <w:lvl w:ilvl="0">
      <w:lvlJc w:val="left"/>
      <w:lvlText w:val="3"/>
      <w:numFmt w:val="bullet"/>
      <w:start w:val="1"/>
    </w:lvl>
  </w:abstractNum>
  <w:abstractNum w:abstractNumId="168">
    <w:nsid w:val="327FAC77"/>
    <w:multiLevelType w:val="hybridMultilevel"/>
    <w:lvl w:ilvl="0">
      <w:lvlJc w:val="left"/>
      <w:lvlText w:val="(%1)"/>
      <w:numFmt w:val="upperLetter"/>
      <w:start w:val="1"/>
    </w:lvl>
  </w:abstractNum>
  <w:abstractNum w:abstractNumId="169">
    <w:nsid w:val="5A606509"/>
    <w:multiLevelType w:val="hybridMultilevel"/>
    <w:lvl w:ilvl="0">
      <w:lvlJc w:val="left"/>
      <w:lvlText w:val="4"/>
      <w:numFmt w:val="bullet"/>
      <w:start w:val="1"/>
    </w:lvl>
  </w:abstractNum>
  <w:abstractNum w:abstractNumId="170">
    <w:nsid w:val="6F38E6D1"/>
    <w:multiLevelType w:val="hybridMultilevel"/>
    <w:lvl w:ilvl="0">
      <w:lvlJc w:val="left"/>
      <w:lvlText w:val="5"/>
      <w:numFmt w:val="bullet"/>
      <w:start w:val="1"/>
    </w:lvl>
  </w:abstractNum>
  <w:abstractNum w:abstractNumId="171">
    <w:nsid w:val="46111BA5"/>
    <w:multiLevelType w:val="hybridMultilevel"/>
    <w:lvl w:ilvl="0">
      <w:lvlJc w:val="left"/>
      <w:lvlText w:val="6"/>
      <w:numFmt w:val="bullet"/>
      <w:start w:val="1"/>
    </w:lvl>
  </w:abstractNum>
  <w:abstractNum w:abstractNumId="172">
    <w:nsid w:val="5E963896"/>
    <w:multiLevelType w:val="hybridMultilevel"/>
    <w:lvl w:ilvl="0">
      <w:lvlJc w:val="left"/>
      <w:lvlText w:val="7"/>
      <w:numFmt w:val="bullet"/>
      <w:start w:val="1"/>
    </w:lvl>
  </w:abstractNum>
  <w:abstractNum w:abstractNumId="173">
    <w:nsid w:val="775BA7C1"/>
    <w:multiLevelType w:val="hybridMultilevel"/>
    <w:lvl w:ilvl="0">
      <w:lvlJc w:val="left"/>
      <w:lvlText w:val="8"/>
      <w:numFmt w:val="bullet"/>
      <w:start w:val="1"/>
    </w:lvl>
  </w:abstractNum>
  <w:abstractNum w:abstractNumId="174">
    <w:nsid w:val="1DD6D6F4"/>
    <w:multiLevelType w:val="hybridMultilevel"/>
    <w:lvl w:ilvl="0">
      <w:lvlJc w:val="left"/>
      <w:lvlText w:val="%1."/>
      <w:numFmt w:val="decimal"/>
      <w:start w:val="1"/>
    </w:lvl>
  </w:abstractNum>
  <w:abstractNum w:abstractNumId="175">
    <w:nsid w:val="769A091F"/>
    <w:multiLevelType w:val="hybridMultilevel"/>
    <w:lvl w:ilvl="0">
      <w:lvlJc w:val="left"/>
      <w:lvlText w:val="%1."/>
      <w:numFmt w:val="decimal"/>
      <w:start w:val="2"/>
    </w:lvl>
  </w:abstractNum>
  <w:abstractNum w:abstractNumId="176">
    <w:nsid w:val="4695AE95"/>
    <w:multiLevelType w:val="hybridMultilevel"/>
    <w:lvl w:ilvl="0">
      <w:lvlJc w:val="left"/>
      <w:lvlText w:val="A"/>
      <w:numFmt w:val="bullet"/>
      <w:start w:val="1"/>
    </w:lvl>
  </w:abstractNum>
  <w:abstractNum w:abstractNumId="177">
    <w:nsid w:val="777A4EAA"/>
    <w:multiLevelType w:val="hybridMultilevel"/>
    <w:lvl w:ilvl="0">
      <w:lvlJc w:val="left"/>
      <w:lvlText w:val="B"/>
      <w:numFmt w:val="bullet"/>
      <w:start w:val="1"/>
    </w:lvl>
  </w:abstractNum>
  <w:abstractNum w:abstractNumId="178">
    <w:nsid w:val="3F48B982"/>
    <w:multiLevelType w:val="hybridMultilevel"/>
    <w:lvl w:ilvl="0">
      <w:lvlJc w:val="left"/>
      <w:lvlText w:val="C"/>
      <w:numFmt w:val="bullet"/>
      <w:start w:val="1"/>
    </w:lvl>
  </w:abstractNum>
  <w:abstractNum w:abstractNumId="179">
    <w:nsid w:val="46BA8FCA"/>
    <w:multiLevelType w:val="hybridMultilevel"/>
    <w:lvl w:ilvl="0">
      <w:lvlJc w:val="left"/>
      <w:lvlText w:val="D"/>
      <w:numFmt w:val="bullet"/>
      <w:start w:val="1"/>
    </w:lvl>
  </w:abstractNum>
  <w:abstractNum w:abstractNumId="180">
    <w:nsid w:val="7835626C"/>
    <w:multiLevelType w:val="hybridMultilevel"/>
    <w:lvl w:ilvl="0">
      <w:lvlJc w:val="left"/>
      <w:lvlText w:val="E"/>
      <w:numFmt w:val="bullet"/>
      <w:start w:val="1"/>
    </w:lvl>
  </w:abstractNum>
  <w:abstractNum w:abstractNumId="181">
    <w:nsid w:val="665ACA49"/>
    <w:multiLevelType w:val="hybridMultilevel"/>
    <w:lvl w:ilvl="0">
      <w:lvlJc w:val="left"/>
      <w:lvlText w:val="F"/>
      <w:numFmt w:val="bullet"/>
      <w:start w:val="1"/>
    </w:lvl>
  </w:abstractNum>
  <w:abstractNum w:abstractNumId="182">
    <w:nsid w:val="6835B2AE"/>
    <w:multiLevelType w:val="hybridMultilevel"/>
    <w:lvl w:ilvl="0">
      <w:lvlJc w:val="left"/>
      <w:lvlText w:val="G"/>
      <w:numFmt w:val="bullet"/>
      <w:start w:val="1"/>
    </w:lvl>
  </w:abstractNum>
  <w:abstractNum w:abstractNumId="183">
    <w:nsid w:val="4C187C90"/>
    <w:multiLevelType w:val="hybridMultilevel"/>
    <w:lvl w:ilvl="0">
      <w:lvlJc w:val="left"/>
      <w:lvlText w:val="H"/>
      <w:numFmt w:val="bullet"/>
      <w:start w:val="1"/>
    </w:lvl>
  </w:abstractNum>
  <w:abstractNum w:abstractNumId="184">
    <w:nsid w:val="541F28CD"/>
    <w:multiLevelType w:val="hybridMultilevel"/>
    <w:lvl w:ilvl="0">
      <w:lvlJc w:val="left"/>
      <w:lvlText w:val="I"/>
      <w:numFmt w:val="bullet"/>
      <w:start w:val="1"/>
    </w:lvl>
  </w:abstractNum>
  <w:abstractNum w:abstractNumId="185">
    <w:nsid w:val="7F65FD16"/>
    <w:multiLevelType w:val="hybridMultilevel"/>
    <w:lvl w:ilvl="0">
      <w:lvlJc w:val="left"/>
      <w:lvlText w:val="J"/>
      <w:numFmt w:val="bullet"/>
      <w:start w:val="1"/>
    </w:lvl>
  </w:abstractNum>
  <w:abstractNum w:abstractNumId="186">
    <w:nsid w:val="77C9FD68"/>
    <w:multiLevelType w:val="hybridMultilevel"/>
    <w:lvl w:ilvl="0">
      <w:lvlJc w:val="left"/>
      <w:lvlText w:val="L"/>
      <w:numFmt w:val="bullet"/>
      <w:start w:val="1"/>
    </w:lvl>
  </w:abstractNum>
  <w:abstractNum w:abstractNumId="187">
    <w:nsid w:val="298A92BA"/>
    <w:multiLevelType w:val="hybridMultilevel"/>
    <w:lvl w:ilvl="0">
      <w:lvlJc w:val="left"/>
      <w:lvlText w:val="M"/>
      <w:numFmt w:val="bullet"/>
      <w:start w:val="1"/>
    </w:lvl>
  </w:abstractNum>
  <w:abstractNum w:abstractNumId="188">
    <w:nsid w:val="6FE95EAC"/>
    <w:multiLevelType w:val="hybridMultilevel"/>
    <w:lvl w:ilvl="0">
      <w:lvlJc w:val="left"/>
      <w:lvlText w:val="N"/>
      <w:numFmt w:val="bullet"/>
      <w:start w:val="1"/>
    </w:lvl>
  </w:abstractNum>
  <w:abstractNum w:abstractNumId="189">
    <w:nsid w:val="4B697C7A"/>
    <w:multiLevelType w:val="hybridMultilevel"/>
    <w:lvl w:ilvl="0">
      <w:lvlJc w:val="left"/>
      <w:lvlText w:val="(%1)"/>
      <w:numFmt w:val="lowerLetter"/>
      <w:start w:val="25"/>
    </w:lvl>
  </w:abstractNum>
  <w:abstractNum w:abstractNumId="190">
    <w:nsid w:val="51A27AA6"/>
    <w:multiLevelType w:val="hybridMultilevel"/>
    <w:lvl w:ilvl="0">
      <w:lvlJc w:val="left"/>
      <w:lvlText w:val="(%1)"/>
      <w:numFmt w:val="lowerLetter"/>
      <w:start w:val="2"/>
    </w:lvl>
  </w:abstractNum>
  <w:abstractNum w:abstractNumId="191">
    <w:nsid w:val="613183F2"/>
    <w:multiLevelType w:val="hybridMultilevel"/>
    <w:lvl w:ilvl="0">
      <w:lvlJc w:val="left"/>
      <w:lvlText w:val="(%1)"/>
      <w:numFmt w:val="upperLetter"/>
      <w:start w:val="1"/>
    </w:lvl>
  </w:abstractNum>
  <w:abstractNum w:abstractNumId="192">
    <w:nsid w:val="634102B4"/>
    <w:multiLevelType w:val="hybridMultilevel"/>
    <w:lvl w:ilvl="0">
      <w:lvlJc w:val="left"/>
      <w:lvlText w:val="(%1)"/>
      <w:numFmt w:val="lowerLetter"/>
      <w:start w:val="1"/>
    </w:lvl>
  </w:abstractNum>
  <w:abstractNum w:abstractNumId="193">
    <w:nsid w:val="65BF9DA8"/>
    <w:multiLevelType w:val="hybridMultilevel"/>
    <w:lvl w:ilvl="0">
      <w:lvlJc w:val="left"/>
      <w:lvlText w:val="(%1)"/>
      <w:numFmt w:val="lowerLetter"/>
      <w:start w:val="6"/>
    </w:lvl>
  </w:abstractNum>
  <w:abstractNum w:abstractNumId="194">
    <w:nsid w:val="21A2ECCA"/>
    <w:multiLevelType w:val="hybridMultilevel"/>
    <w:lvl w:ilvl="0">
      <w:lvlJc w:val="left"/>
      <w:lvlText w:val="(%1)"/>
      <w:numFmt w:val="lowerLetter"/>
      <w:start w:val="12"/>
    </w:lvl>
  </w:abstractNum>
  <w:abstractNum w:abstractNumId="195">
    <w:nsid w:val="4D5C4899"/>
    <w:multiLevelType w:val="hybridMultilevel"/>
    <w:lvl w:ilvl="0">
      <w:lvlJc w:val="left"/>
      <w:lvlText w:val="(%1)"/>
      <w:numFmt w:val="lowerLetter"/>
      <w:start w:val="23"/>
    </w:lvl>
  </w:abstractNum>
  <w:abstractNum w:abstractNumId="196">
    <w:nsid w:val="3C3B72B2"/>
    <w:multiLevelType w:val="hybridMultilevel"/>
    <w:lvl w:ilvl="0">
      <w:lvlJc w:val="left"/>
      <w:lvlText w:val="(%1)"/>
      <w:numFmt w:val="lowerLetter"/>
      <w:start w:val="27"/>
    </w:lvl>
  </w:abstractNum>
  <w:abstractNum w:abstractNumId="197">
    <w:nsid w:val="155EC4C2"/>
    <w:multiLevelType w:val="hybridMultilevel"/>
    <w:lvl w:ilvl="0">
      <w:lvlJc w:val="left"/>
      <w:lvlText w:val="%1"/>
      <w:numFmt w:val="lowerLetter"/>
      <w:start w:val="1"/>
    </w:lvl>
    <w:lvl w:ilvl="1">
      <w:lvlJc w:val="left"/>
      <w:lvlText w:val="(%2)"/>
      <w:numFmt w:val="lowerLetter"/>
      <w:start w:val="1"/>
    </w:lvl>
  </w:abstractNum>
  <w:abstractNum w:abstractNumId="198">
    <w:nsid w:val="65D2A137"/>
    <w:multiLevelType w:val="hybridMultilevel"/>
    <w:lvl w:ilvl="0">
      <w:lvlJc w:val="left"/>
      <w:lvlText w:val="(%1)"/>
      <w:numFmt w:val="lowerLetter"/>
      <w:start w:val="9"/>
    </w:lvl>
    <w:lvl w:ilvl="1">
      <w:lvlJc w:val="left"/>
      <w:lvlText w:val="(%2)"/>
      <w:numFmt w:val="lowerLetter"/>
      <w:start w:val="3"/>
    </w:lvl>
  </w:abstractNum>
  <w:abstractNum w:abstractNumId="199">
    <w:nsid w:val="6EBB1F2A"/>
    <w:multiLevelType w:val="hybridMultilevel"/>
    <w:lvl w:ilvl="0">
      <w:lvlJc w:val="left"/>
      <w:lvlText w:val="(%1)"/>
      <w:numFmt w:val="lowerLetter"/>
      <w:start w:val="1"/>
    </w:lvl>
  </w:abstractNum>
  <w:abstractNum w:abstractNumId="200">
    <w:nsid w:val="6FBF29CB"/>
    <w:multiLevelType w:val="hybridMultilevel"/>
    <w:lvl w:ilvl="0">
      <w:lvlJc w:val="left"/>
      <w:lvlText w:val="(%1)"/>
      <w:numFmt w:val="lowerLetter"/>
      <w:start w:val="3"/>
    </w:lvl>
  </w:abstractNum>
  <w:abstractNum w:abstractNumId="201">
    <w:nsid w:val="550B8808"/>
    <w:multiLevelType w:val="hybridMultilevel"/>
    <w:lvl w:ilvl="0">
      <w:lvlJc w:val="left"/>
      <w:lvlText w:val="(%1)"/>
      <w:numFmt w:val="lowerLetter"/>
      <w:start w:val="1"/>
    </w:lvl>
  </w:abstractNum>
  <w:abstractNum w:abstractNumId="202">
    <w:nsid w:val="34CC3ACF"/>
    <w:multiLevelType w:val="hybridMultilevel"/>
    <w:lvl w:ilvl="0">
      <w:lvlJc w:val="left"/>
      <w:lvlText w:val="(%1)"/>
      <w:numFmt w:val="lowerLetter"/>
      <w:start w:val="1"/>
    </w:lvl>
  </w:abstractNum>
  <w:abstractNum w:abstractNumId="203">
    <w:nsid w:val="4E556261"/>
    <w:multiLevelType w:val="hybridMultilevel"/>
    <w:lvl w:ilvl="0">
      <w:lvlJc w:val="left"/>
      <w:lvlText w:val="(%1)"/>
      <w:numFmt w:val="lowerLetter"/>
      <w:start w:val="2"/>
    </w:lvl>
  </w:abstractNum>
  <w:abstractNum w:abstractNumId="204">
    <w:nsid w:val="4C672FC9"/>
    <w:multiLevelType w:val="hybridMultilevel"/>
    <w:lvl w:ilvl="0">
      <w:lvlJc w:val="left"/>
      <w:lvlText w:val="(%1)"/>
      <w:numFmt w:val="lowerLetter"/>
      <w:start w:val="3"/>
    </w:lvl>
  </w:abstractNum>
  <w:abstractNum w:abstractNumId="205">
    <w:nsid w:val="52A311C3"/>
    <w:multiLevelType w:val="hybridMultilevel"/>
    <w:lvl w:ilvl="0">
      <w:lvlJc w:val="left"/>
      <w:lvlText w:val="(%1)"/>
      <w:numFmt w:val="lowerRoman"/>
      <w:start w:val="2"/>
    </w:lvl>
  </w:abstractNum>
  <w:abstractNum w:abstractNumId="206">
    <w:nsid w:val="44EF6B80"/>
    <w:multiLevelType w:val="hybridMultilevel"/>
    <w:lvl w:ilvl="0">
      <w:lvlJc w:val="left"/>
      <w:lvlText w:val="(%1)"/>
      <w:numFmt w:val="lowerLetter"/>
      <w:start w:val="2"/>
    </w:lvl>
  </w:abstractNum>
  <w:abstractNum w:abstractNumId="207">
    <w:nsid w:val="12FCDE5E"/>
    <w:multiLevelType w:val="hybridMultilevel"/>
    <w:lvl w:ilvl="0">
      <w:lvlJc w:val="left"/>
      <w:lvlText w:val="%1"/>
      <w:numFmt w:val="upperLetter"/>
      <w:start w:val="1"/>
    </w:lvl>
    <w:lvl w:ilvl="1">
      <w:lvlJc w:val="left"/>
      <w:lvlText w:val="(%2)"/>
      <w:numFmt w:val="lowerLetter"/>
      <w:start w:val="5"/>
    </w:lvl>
  </w:abstractNum>
  <w:abstractNum w:abstractNumId="208">
    <w:nsid w:val="4A1D606E"/>
    <w:multiLevelType w:val="hybridMultilevel"/>
    <w:lvl w:ilvl="0">
      <w:lvlJc w:val="left"/>
      <w:lvlText w:val="(%1)"/>
      <w:numFmt w:val="upperLetter"/>
      <w:start w:val="3"/>
    </w:lvl>
    <w:lvl w:ilvl="1">
      <w:lvlJc w:val="left"/>
      <w:lvlText w:val="(%2)"/>
      <w:numFmt w:val="lowerLetter"/>
      <w:start w:val="6"/>
    </w:lvl>
  </w:abstractNum>
  <w:abstractNum w:abstractNumId="209">
    <w:nsid w:val="4382503"/>
    <w:multiLevelType w:val="hybridMultilevel"/>
    <w:lvl w:ilvl="0">
      <w:lvlJc w:val="left"/>
      <w:lvlText w:val="(%1)"/>
      <w:numFmt w:val="lowerLetter"/>
      <w:start w:val="8"/>
    </w:lvl>
  </w:abstractNum>
  <w:abstractNum w:abstractNumId="210">
    <w:nsid w:val="59B76E28"/>
    <w:multiLevelType w:val="hybridMultilevel"/>
    <w:lvl w:ilvl="0">
      <w:lvlJc w:val="left"/>
      <w:lvlText w:val="(%1)"/>
      <w:numFmt w:val="lowerLetter"/>
      <w:start w:val="2"/>
    </w:lvl>
  </w:abstractNum>
  <w:abstractNum w:abstractNumId="211">
    <w:nsid w:val="4252C2DA"/>
    <w:multiLevelType w:val="hybridMultilevel"/>
    <w:lvl w:ilvl="0">
      <w:lvlJc w:val="left"/>
      <w:lvlText w:val="(%1)"/>
      <w:numFmt w:val="lowerLetter"/>
      <w:start w:val="1"/>
    </w:lvl>
  </w:abstractNum>
  <w:abstractNum w:abstractNumId="212">
    <w:nsid w:val="6A92EF4C"/>
    <w:multiLevelType w:val="hybridMultilevel"/>
    <w:lvl w:ilvl="0">
      <w:lvlJc w:val="left"/>
      <w:lvlText w:val="(%1)"/>
      <w:numFmt w:val="lowerLetter"/>
      <w:start w:val="2"/>
    </w:lvl>
  </w:abstractNum>
  <w:abstractNum w:abstractNumId="213">
    <w:nsid w:val="41ED20D7"/>
    <w:multiLevelType w:val="hybridMultilevel"/>
    <w:lvl w:ilvl="0">
      <w:lvlJc w:val="left"/>
      <w:lvlText w:val="(%1)"/>
      <w:numFmt w:val="lowerLetter"/>
      <w:start w:val="9"/>
    </w:lvl>
    <w:lvl w:ilvl="1">
      <w:lvlJc w:val="left"/>
      <w:lvlText w:val="(%2)"/>
      <w:numFmt w:val="lowerLetter"/>
      <w:start w:val="4"/>
    </w:lvl>
  </w:abstractNum>
  <w:abstractNum w:abstractNumId="214">
    <w:nsid w:val="E6B3F6A"/>
    <w:multiLevelType w:val="hybridMultilevel"/>
    <w:lvl w:ilvl="0">
      <w:lvlJc w:val="left"/>
      <w:lvlText w:val="(%1)"/>
      <w:numFmt w:val="lowerLetter"/>
      <w:start w:val="2"/>
    </w:lvl>
  </w:abstractNum>
  <w:abstractNum w:abstractNumId="215">
    <w:nsid w:val="3EB21819"/>
    <w:multiLevelType w:val="hybridMultilevel"/>
    <w:lvl w:ilvl="0">
      <w:lvlJc w:val="left"/>
      <w:lvlText w:val="(%1)"/>
      <w:numFmt w:val="lowerLetter"/>
      <w:start w:val="1"/>
    </w:lvl>
  </w:abstractNum>
  <w:abstractNum w:abstractNumId="216">
    <w:nsid w:val="41531DED"/>
    <w:multiLevelType w:val="hybridMultilevel"/>
    <w:lvl w:ilvl="0">
      <w:lvlJc w:val="left"/>
      <w:lvlText w:val="(%1)"/>
      <w:numFmt w:val="lowerLetter"/>
      <w:start w:val="2"/>
    </w:lvl>
  </w:abstractNum>
  <w:abstractNum w:abstractNumId="217">
    <w:nsid w:val="6353CD2"/>
    <w:multiLevelType w:val="hybridMultilevel"/>
    <w:lvl w:ilvl="0">
      <w:lvlJc w:val="left"/>
      <w:lvlText w:val="(%1)"/>
      <w:numFmt w:val="lowerLetter"/>
      <w:start w:val="1"/>
    </w:lvl>
  </w:abstractNum>
  <w:abstractNum w:abstractNumId="218">
    <w:nsid w:val="683CAAD3"/>
    <w:multiLevelType w:val="hybridMultilevel"/>
    <w:lvl w:ilvl="0">
      <w:lvlJc w:val="left"/>
      <w:lvlText w:val="(%1)"/>
      <w:numFmt w:val="lowerLetter"/>
      <w:start w:val="6"/>
    </w:lvl>
  </w:abstractNum>
  <w:abstractNum w:abstractNumId="219">
    <w:nsid w:val="313C7C99"/>
    <w:multiLevelType w:val="hybridMultilevel"/>
    <w:lvl w:ilvl="0">
      <w:lvlJc w:val="left"/>
      <w:lvlText w:val="(%1)"/>
      <w:numFmt w:val="lowerLetter"/>
      <w:start w:val="2"/>
    </w:lvl>
  </w:abstractNum>
  <w:abstractNum w:abstractNumId="220">
    <w:nsid w:val="519EB94C"/>
    <w:multiLevelType w:val="hybridMultilevel"/>
    <w:lvl w:ilvl="0">
      <w:lvlJc w:val="left"/>
      <w:lvlText w:val="(%1)"/>
      <w:numFmt w:val="lowerRoman"/>
      <w:start w:val="1"/>
    </w:lvl>
  </w:abstractNum>
  <w:abstractNum w:abstractNumId="221">
    <w:nsid w:val="39DF2579"/>
    <w:multiLevelType w:val="hybridMultilevel"/>
    <w:lvl w:ilvl="0">
      <w:lvlJc w:val="left"/>
      <w:lvlText w:val="(%1)"/>
      <w:numFmt w:val="lowerLetter"/>
      <w:start w:val="2"/>
    </w:lvl>
  </w:abstractNum>
  <w:abstractNum w:abstractNumId="222">
    <w:nsid w:val="126E008B"/>
    <w:multiLevelType w:val="hybridMultilevel"/>
    <w:lvl w:ilvl="0">
      <w:lvlJc w:val="left"/>
      <w:lvlText w:val="(%1)"/>
      <w:numFmt w:val="lowerLetter"/>
      <w:start w:val="2"/>
    </w:lvl>
  </w:abstractNum>
  <w:abstractNum w:abstractNumId="223">
    <w:nsid w:val="34DFBC00"/>
    <w:multiLevelType w:val="hybridMultilevel"/>
    <w:lvl w:ilvl="0">
      <w:lvlJc w:val="left"/>
      <w:lvlText w:val="(%1)"/>
      <w:numFmt w:val="lowerLetter"/>
      <w:start w:val="4"/>
    </w:lvl>
  </w:abstractNum>
  <w:abstractNum w:abstractNumId="224">
    <w:nsid w:val="1F9EC322"/>
    <w:multiLevelType w:val="hybridMultilevel"/>
    <w:lvl w:ilvl="0">
      <w:lvlJc w:val="left"/>
      <w:lvlText w:val="(%1)"/>
      <w:numFmt w:val="lowerLetter"/>
      <w:start w:val="1"/>
    </w:lvl>
    <w:lvl w:ilvl="1">
      <w:lvlJc w:val="left"/>
      <w:lvlText w:val="(%2)"/>
      <w:numFmt w:val="lowerRoman"/>
      <w:start w:val="1"/>
    </w:lvl>
  </w:abstractNum>
  <w:abstractNum w:abstractNumId="225">
    <w:nsid w:val="3410ED56"/>
    <w:multiLevelType w:val="hybridMultilevel"/>
    <w:lvl w:ilvl="0">
      <w:lvlJc w:val="left"/>
      <w:lvlText w:val="(%1)"/>
      <w:numFmt w:val="lowerLetter"/>
      <w:start w:val="2"/>
    </w:lvl>
  </w:abstractNum>
  <w:abstractNum w:abstractNumId="226">
    <w:nsid w:val="23C049A"/>
    <w:multiLevelType w:val="hybridMultilevel"/>
    <w:lvl w:ilvl="0">
      <w:lvlJc w:val="left"/>
      <w:lvlText w:val="(%1)"/>
      <w:numFmt w:val="lowerRoman"/>
      <w:start w:val="2"/>
    </w:lvl>
  </w:abstractNum>
  <w:abstractNum w:abstractNumId="227">
    <w:nsid w:val="5BDA35D4"/>
    <w:multiLevelType w:val="hybridMultilevel"/>
    <w:lvl w:ilvl="0">
      <w:lvlJc w:val="left"/>
      <w:lvlText w:val="(%1)"/>
      <w:numFmt w:val="lowerLetter"/>
      <w:start w:val="2"/>
    </w:lvl>
  </w:abstractNum>
  <w:abstractNum w:abstractNumId="228">
    <w:nsid w:val="496FB218"/>
    <w:multiLevelType w:val="hybridMultilevel"/>
    <w:lvl w:ilvl="0">
      <w:lvlJc w:val="left"/>
      <w:lvlText w:val="(%1)"/>
      <w:numFmt w:val="lowerLetter"/>
      <w:start w:val="5"/>
    </w:lvl>
  </w:abstractNum>
  <w:abstractNum w:abstractNumId="229">
    <w:nsid w:val="680EA5D1"/>
    <w:multiLevelType w:val="hybridMultilevel"/>
    <w:lvl w:ilvl="0">
      <w:lvlJc w:val="left"/>
      <w:lvlText w:val="(%1)"/>
      <w:numFmt w:val="lowerLetter"/>
      <w:start w:val="7"/>
    </w:lvl>
  </w:abstractNum>
  <w:abstractNum w:abstractNumId="230">
    <w:nsid w:val="4A9554F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31">
    <w:nsid w:val="392EDBE4"/>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9"/>
    </w:lvl>
  </w:abstractNum>
  <w:abstractNum w:abstractNumId="232">
    <w:nsid w:val="3D1A2DD9"/>
    <w:multiLevelType w:val="hybridMultilevel"/>
    <w:lvl w:ilvl="0">
      <w:lvlJc w:val="left"/>
      <w:lvlText w:val="%1"/>
      <w:numFmt w:val="lowerLetter"/>
      <w:start w:val="1"/>
    </w:lvl>
    <w:lvl w:ilvl="1">
      <w:lvlJc w:val="left"/>
      <w:lvlText w:val="(%2)"/>
      <w:numFmt w:val="lowerRoman"/>
      <w:start w:val="2"/>
    </w:lvl>
  </w:abstractNum>
  <w:abstractNum w:abstractNumId="233">
    <w:nsid w:val="7F618FCD"/>
    <w:multiLevelType w:val="hybridMultilevel"/>
    <w:lvl w:ilvl="0">
      <w:lvlJc w:val="left"/>
      <w:lvlText w:val="(%1)"/>
      <w:numFmt w:val="lowerLetter"/>
      <w:start w:val="4"/>
    </w:lvl>
    <w:lvl w:ilvl="1">
      <w:lvlJc w:val="left"/>
      <w:lvlText w:val="%2"/>
      <w:numFmt w:val="lowerRoman"/>
      <w:start w:val="1"/>
    </w:lvl>
  </w:abstractNum>
  <w:abstractNum w:abstractNumId="234">
    <w:nsid w:val="7843E45"/>
    <w:multiLevelType w:val="hybridMultilevel"/>
    <w:lvl w:ilvl="0">
      <w:lvlJc w:val="left"/>
      <w:lvlText w:val="(%1)"/>
      <w:numFmt w:val="lowerLetter"/>
      <w:start w:val="2"/>
    </w:lvl>
  </w:abstractNum>
  <w:abstractNum w:abstractNumId="235">
    <w:nsid w:val="9815DA3"/>
    <w:multiLevelType w:val="hybridMultilevel"/>
    <w:lvl w:ilvl="0">
      <w:lvlJc w:val="left"/>
      <w:lvlText w:val="(%1)"/>
      <w:numFmt w:val="lowerLetter"/>
      <w:start w:val="61"/>
    </w:lvl>
    <w:lvl w:ilvl="1">
      <w:lvlJc w:val="left"/>
      <w:lvlText w:val="(%2)"/>
      <w:numFmt w:val="lowerLetter"/>
      <w:start w:val="2"/>
    </w:lvl>
  </w:abstractNum>
  <w:abstractNum w:abstractNumId="236">
    <w:nsid w:val="5204A191"/>
    <w:multiLevelType w:val="hybridMultilevel"/>
    <w:lvl w:ilvl="0">
      <w:lvlJc w:val="left"/>
      <w:lvlText w:val="(%1)"/>
      <w:numFmt w:val="lowerLetter"/>
      <w:start w:val="2"/>
    </w:lvl>
  </w:abstractNum>
  <w:abstractNum w:abstractNumId="237">
    <w:nsid w:val="4C73A9C6"/>
    <w:multiLevelType w:val="hybridMultilevel"/>
    <w:lvl w:ilvl="0">
      <w:lvlJc w:val="left"/>
      <w:lvlText w:val="(%1)"/>
      <w:numFmt w:val="lowerLetter"/>
      <w:start w:val="2"/>
    </w:lvl>
  </w:abstractNum>
  <w:abstractNum w:abstractNumId="238">
    <w:nsid w:val="1C7E3C01"/>
    <w:multiLevelType w:val="hybridMultilevel"/>
    <w:lvl w:ilvl="0">
      <w:lvlJc w:val="left"/>
      <w:lvlText w:val="(%1)"/>
      <w:numFmt w:val="lowerLetter"/>
      <w:start w:val="2"/>
    </w:lvl>
  </w:abstractNum>
  <w:abstractNum w:abstractNumId="239">
    <w:nsid w:val="1C2201FF"/>
    <w:multiLevelType w:val="hybridMultilevel"/>
    <w:lvl w:ilvl="0">
      <w:lvlJc w:val="left"/>
      <w:lvlText w:val="(%1)"/>
      <w:numFmt w:val="lowerLetter"/>
      <w:start w:val="3"/>
    </w:lvl>
  </w:abstractNum>
  <w:abstractNum w:abstractNumId="240">
    <w:nsid w:val="50ABCEC9"/>
    <w:multiLevelType w:val="hybridMultilevel"/>
    <w:lvl w:ilvl="0">
      <w:lvlJc w:val="left"/>
      <w:lvlText w:val="(%1)"/>
      <w:numFmt w:val="lowerLetter"/>
      <w:start w:val="2"/>
    </w:lvl>
  </w:abstractNum>
  <w:abstractNum w:abstractNumId="241">
    <w:nsid w:val="7635AA2A"/>
    <w:multiLevelType w:val="hybridMultilevel"/>
    <w:lvl w:ilvl="0">
      <w:lvlJc w:val="left"/>
      <w:lvlText w:val="(%1)"/>
      <w:numFmt w:val="lowerLetter"/>
      <w:start w:val="1"/>
    </w:lvl>
  </w:abstractNum>
  <w:abstractNum w:abstractNumId="242">
    <w:nsid w:val="5E74C4D9"/>
    <w:multiLevelType w:val="hybridMultilevel"/>
    <w:lvl w:ilvl="0">
      <w:lvlJc w:val="left"/>
      <w:lvlText w:val="%1"/>
      <w:numFmt w:val="lowerLetter"/>
      <w:start w:val="1"/>
    </w:lvl>
    <w:lvl w:ilvl="1">
      <w:lvlJc w:val="left"/>
      <w:lvlText w:val="(%2)"/>
      <w:numFmt w:val="lowerLetter"/>
      <w:start w:val="5"/>
    </w:lvl>
  </w:abstractNum>
  <w:abstractNum w:abstractNumId="243">
    <w:nsid w:val="3B3EBE15"/>
    <w:multiLevelType w:val="hybridMultilevel"/>
    <w:lvl w:ilvl="0">
      <w:lvlJc w:val="left"/>
      <w:lvlText w:val="(%1)"/>
      <w:numFmt w:val="lowerLetter"/>
      <w:start w:val="35"/>
    </w:lvl>
    <w:lvl w:ilvl="1">
      <w:lvlJc w:val="left"/>
      <w:lvlText w:val="(%2)"/>
      <w:numFmt w:val="lowerLetter"/>
      <w:start w:val="6"/>
    </w:lvl>
  </w:abstractNum>
  <w:abstractNum w:abstractNumId="244">
    <w:nsid w:val="3822CB01"/>
    <w:multiLevelType w:val="hybridMultilevel"/>
    <w:lvl w:ilvl="0">
      <w:lvlJc w:val="left"/>
      <w:lvlText w:val="(%1)"/>
      <w:numFmt w:val="lowerLetter"/>
      <w:start w:val="1"/>
    </w:lvl>
  </w:abstractNum>
  <w:abstractNum w:abstractNumId="245">
    <w:nsid w:val="6CE00443"/>
    <w:multiLevelType w:val="hybridMultilevel"/>
    <w:lvl w:ilvl="0">
      <w:lvlJc w:val="left"/>
      <w:lvlText w:val="(%1)"/>
      <w:numFmt w:val="lowerLetter"/>
      <w:start w:val="4"/>
    </w:lvl>
  </w:abstractNum>
  <w:abstractNum w:abstractNumId="246">
    <w:nsid w:val="79F0D62F"/>
    <w:multiLevelType w:val="hybridMultilevel"/>
    <w:lvl w:ilvl="0">
      <w:lvlJc w:val="left"/>
      <w:lvlText w:val="(%1)"/>
      <w:numFmt w:val="lowerRoman"/>
      <w:start w:val="2"/>
    </w:lvl>
  </w:abstractNum>
  <w:abstractNum w:abstractNumId="247">
    <w:nsid w:val="7975E8EE"/>
    <w:multiLevelType w:val="hybridMultilevel"/>
    <w:lvl w:ilvl="0">
      <w:lvlJc w:val="left"/>
      <w:lvlText w:val="%1"/>
      <w:numFmt w:val="lowerLetter"/>
      <w:start w:val="1"/>
    </w:lvl>
    <w:lvl w:ilvl="1">
      <w:lvlJc w:val="left"/>
      <w:lvlText w:val="(%2)"/>
      <w:numFmt w:val="lowerLetter"/>
      <w:start w:val="1"/>
    </w:lvl>
  </w:abstractNum>
  <w:abstractNum w:abstractNumId="248">
    <w:nsid w:val="73154115"/>
    <w:multiLevelType w:val="hybridMultilevel"/>
    <w:lvl w:ilvl="0">
      <w:lvlJc w:val="left"/>
      <w:lvlText w:val="(%1)"/>
      <w:numFmt w:val="lowerLetter"/>
      <w:start w:val="23"/>
    </w:lvl>
    <w:lvl w:ilvl="1">
      <w:lvlJc w:val="left"/>
      <w:lvlText w:val="%2"/>
      <w:numFmt w:val="lowerLetter"/>
      <w:start w:val="1"/>
    </w:lvl>
  </w:abstractNum>
  <w:abstractNum w:abstractNumId="249">
    <w:nsid w:val="622D8102"/>
    <w:multiLevelType w:val="hybridMultilevel"/>
    <w:lvl w:ilvl="0">
      <w:lvlJc w:val="left"/>
      <w:lvlText w:val="(%1)"/>
      <w:numFmt w:val="lowerLetter"/>
      <w:start w:val="3"/>
    </w:lvl>
  </w:abstractNum>
  <w:abstractNum w:abstractNumId="250">
    <w:nsid w:val="2AB26587"/>
    <w:multiLevelType w:val="hybridMultilevel"/>
    <w:lvl w:ilvl="0">
      <w:lvlJc w:val="left"/>
      <w:lvlText w:val="(%1)"/>
      <w:numFmt w:val="lowerLetter"/>
      <w:start w:val="1"/>
    </w:lvl>
  </w:abstractNum>
  <w:abstractNum w:abstractNumId="251">
    <w:nsid w:val="44B3FA61"/>
    <w:multiLevelType w:val="hybridMultilevel"/>
    <w:lvl w:ilvl="0">
      <w:lvlJc w:val="left"/>
      <w:lvlText w:val="(%1)"/>
      <w:numFmt w:val="lowerLetter"/>
      <w:start w:val="2"/>
    </w:lvl>
  </w:abstractNum>
  <w:abstractNum w:abstractNumId="252">
    <w:nsid w:val="1C0CA67C"/>
    <w:multiLevelType w:val="hybridMultilevel"/>
    <w:lvl w:ilvl="0">
      <w:lvlJc w:val="left"/>
      <w:lvlText w:val="(%1)"/>
      <w:numFmt w:val="lowerLetter"/>
      <w:start w:val="1"/>
    </w:lvl>
  </w:abstractNum>
  <w:abstractNum w:abstractNumId="253">
    <w:nsid w:val="3D206613"/>
    <w:multiLevelType w:val="hybridMultilevel"/>
    <w:lvl w:ilvl="0">
      <w:lvlJc w:val="left"/>
      <w:lvlText w:val="(%1)"/>
      <w:numFmt w:val="lowerLetter"/>
      <w:start w:val="1"/>
    </w:lvl>
  </w:abstractNum>
  <w:abstractNum w:abstractNumId="254">
    <w:nsid w:val="7993B662"/>
    <w:multiLevelType w:val="hybridMultilevel"/>
    <w:lvl w:ilvl="0">
      <w:lvlJc w:val="left"/>
      <w:lvlText w:val="(%1)"/>
      <w:numFmt w:val="lowerLetter"/>
      <w:start w:val="5"/>
    </w:lvl>
  </w:abstractNum>
  <w:abstractNum w:abstractNumId="255">
    <w:nsid w:val="3BAB699E"/>
    <w:multiLevelType w:val="hybridMultilevel"/>
    <w:lvl w:ilvl="0">
      <w:lvlJc w:val="left"/>
      <w:lvlText w:val="(%1)"/>
      <w:numFmt w:val="lowerLetter"/>
      <w:start w:val="25"/>
    </w:lvl>
  </w:abstractNum>
  <w:abstractNum w:abstractNumId="256">
    <w:nsid w:val="71315369"/>
    <w:multiLevelType w:val="hybridMultilevel"/>
    <w:lvl w:ilvl="0">
      <w:lvlJc w:val="left"/>
      <w:lvlText w:val="(%1)"/>
      <w:numFmt w:val="upperLetter"/>
      <w:start w:val="1"/>
    </w:lvl>
  </w:abstractNum>
  <w:abstractNum w:abstractNumId="257">
    <w:nsid w:val="7BCFBAFC"/>
    <w:multiLevelType w:val="hybridMultilevel"/>
    <w:lvl w:ilvl="0">
      <w:lvlJc w:val="left"/>
      <w:lvlText w:val="(%1)"/>
      <w:numFmt w:val="upperLetter"/>
      <w:start w:val="4"/>
    </w:lvl>
  </w:abstractNum>
  <w:abstractNum w:abstractNumId="258">
    <w:nsid w:val="17859F72"/>
    <w:multiLevelType w:val="hybridMultilevel"/>
    <w:lvl w:ilvl="0">
      <w:lvlJc w:val="left"/>
      <w:lvlText w:val="(%1)"/>
      <w:numFmt w:val="lowerLetter"/>
      <w:start w:val="2"/>
    </w:lvl>
  </w:abstractNum>
  <w:abstractNum w:abstractNumId="259">
    <w:nsid w:val="3AA10581"/>
    <w:multiLevelType w:val="hybridMultilevel"/>
    <w:lvl w:ilvl="0">
      <w:lvlJc w:val="left"/>
      <w:lvlText w:val="(%1)"/>
      <w:numFmt w:val="lowerLetter"/>
      <w:start w:val="3"/>
    </w:lvl>
    <w:lvl w:ilvl="1">
      <w:lvlJc w:val="left"/>
      <w:lvlText w:val="(%2)"/>
      <w:numFmt w:val="lowerLetter"/>
      <w:start w:val="9"/>
    </w:lvl>
  </w:abstractNum>
  <w:abstractNum w:abstractNumId="260">
    <w:nsid w:val="63DE60CD"/>
    <w:multiLevelType w:val="hybridMultilevel"/>
    <w:lvl w:ilvl="0">
      <w:lvlJc w:val="left"/>
      <w:lvlText w:val="(%1)"/>
      <w:numFmt w:val="lowerRoman"/>
      <w:start w:val="2"/>
    </w:lvl>
  </w:abstractNum>
  <w:abstractNum w:abstractNumId="261">
    <w:nsid w:val="621AF471"/>
    <w:multiLevelType w:val="hybridMultilevel"/>
    <w:lvl w:ilvl="0">
      <w:lvlJc w:val="left"/>
      <w:lvlText w:val="(%1)"/>
      <w:numFmt w:val="lowerLetter"/>
      <w:start w:val="2"/>
    </w:lvl>
  </w:abstractNum>
  <w:abstractNum w:abstractNumId="262">
    <w:nsid w:val="73CFE165"/>
    <w:multiLevelType w:val="hybridMultilevel"/>
    <w:lvl w:ilvl="0">
      <w:lvlJc w:val="left"/>
      <w:lvlText w:val="(%1)"/>
      <w:numFmt w:val="lowerLetter"/>
      <w:start w:val="3"/>
    </w:lvl>
  </w:abstractNum>
  <w:abstractNum w:abstractNumId="263">
    <w:nsid w:val="20F88EA6"/>
    <w:multiLevelType w:val="hybridMultilevel"/>
    <w:lvl w:ilvl="0">
      <w:lvlJc w:val="left"/>
      <w:lvlText w:val="(%1)"/>
      <w:numFmt w:val="lowerLetter"/>
      <w:start w:val="2"/>
    </w:lvl>
    <w:lvl w:ilvl="1">
      <w:lvlJc w:val="left"/>
      <w:lvlText w:val="(%2)"/>
      <w:numFmt w:val="decimal"/>
      <w:start w:val="1"/>
    </w:lvl>
  </w:abstractNum>
  <w:abstractNum w:abstractNumId="264">
    <w:nsid w:val="617C843E"/>
    <w:multiLevelType w:val="hybridMultilevel"/>
    <w:lvl w:ilvl="0">
      <w:lvlJc w:val="left"/>
      <w:lvlText w:val="(%1)"/>
      <w:numFmt w:val="decimal"/>
      <w:start w:val="2"/>
    </w:lvl>
  </w:abstractNum>
  <w:abstractNum w:abstractNumId="265">
    <w:nsid w:val="7B541FAB"/>
    <w:multiLevelType w:val="hybridMultilevel"/>
    <w:lvl w:ilvl="0">
      <w:lvlJc w:val="left"/>
      <w:lvlText w:val="(%1)"/>
      <w:numFmt w:val="lowerRoman"/>
      <w:start w:val="2"/>
    </w:lvl>
    <w:lvl w:ilvl="1">
      <w:lvlJc w:val="left"/>
      <w:lvlText w:val="(%2)"/>
      <w:numFmt w:val="upperLetter"/>
      <w:start w:val="1"/>
    </w:lvl>
  </w:abstractNum>
  <w:abstractNum w:abstractNumId="266">
    <w:nsid w:val="2A79EC4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267">
    <w:nsid w:val="338125CF"/>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68">
    <w:nsid w:val="47C7C97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69">
    <w:nsid w:val="46F8284B"/>
    <w:multiLevelType w:val="hybridMultilevel"/>
    <w:lvl w:ilvl="0">
      <w:lvlJc w:val="left"/>
      <w:lvlText w:val="%1"/>
      <w:numFmt w:val="lowerLetter"/>
      <w:start w:val="1"/>
    </w:lvl>
    <w:lvl w:ilvl="1">
      <w:lvlJc w:val="left"/>
      <w:lvlText w:val="(%2)"/>
      <w:numFmt w:val="lowerLetter"/>
      <w:start w:val="35"/>
    </w:lvl>
  </w:abstractNum>
  <w:abstractNum w:abstractNumId="270">
    <w:nsid w:val="4FA327CE"/>
    <w:multiLevelType w:val="hybridMultilevel"/>
    <w:lvl w:ilvl="0">
      <w:lvlJc w:val="left"/>
      <w:lvlText w:val="(%1)"/>
      <w:numFmt w:val="lowerLetter"/>
      <w:start w:val="4"/>
    </w:lvl>
    <w:lvl w:ilvl="1">
      <w:lvlJc w:val="left"/>
      <w:lvlText w:val="%2"/>
      <w:numFmt w:val="lowerLetter"/>
      <w:start w:val="1"/>
    </w:lvl>
  </w:abstractNum>
  <w:abstractNum w:abstractNumId="271">
    <w:nsid w:val="1873983A"/>
    <w:multiLevelType w:val="hybridMultilevel"/>
    <w:lvl w:ilvl="0">
      <w:lvlJc w:val="left"/>
      <w:lvlText w:val="(%1)"/>
      <w:numFmt w:val="lowerLetter"/>
      <w:start w:val="5"/>
    </w:lvl>
  </w:abstractNum>
  <w:abstractNum w:abstractNumId="272">
    <w:nsid w:val="3D2DD275"/>
    <w:multiLevelType w:val="hybridMultilevel"/>
    <w:lvl w:ilvl="0">
      <w:lvlJc w:val="left"/>
      <w:lvlText w:val="(%1)"/>
      <w:numFmt w:val="lowerLetter"/>
      <w:start w:val="1"/>
    </w:lvl>
    <w:lvl w:ilvl="1">
      <w:lvlJc w:val="left"/>
      <w:lvlText w:val="(%2)"/>
      <w:numFmt w:val="lowerRoman"/>
      <w:start w:val="1"/>
    </w:lvl>
  </w:abstractNum>
  <w:abstractNum w:abstractNumId="273">
    <w:nsid w:val="2E17ECA7"/>
    <w:multiLevelType w:val="hybridMultilevel"/>
    <w:lvl w:ilvl="0">
      <w:lvlJc w:val="left"/>
      <w:lvlText w:val="(%1)"/>
      <w:numFmt w:val="lowerLetter"/>
      <w:start w:val="1"/>
    </w:lvl>
  </w:abstractNum>
  <w:abstractNum w:abstractNumId="274">
    <w:nsid w:val="53B2564F"/>
    <w:multiLevelType w:val="hybridMultilevel"/>
    <w:lvl w:ilvl="0">
      <w:lvlJc w:val="left"/>
      <w:lvlText w:val="(%1)"/>
      <w:numFmt w:val="lowerLetter"/>
      <w:start w:val="1"/>
    </w:lvl>
  </w:abstractNum>
  <w:abstractNum w:abstractNumId="275">
    <w:nsid w:val="75509D76"/>
    <w:multiLevelType w:val="hybridMultilevel"/>
    <w:lvl w:ilvl="0">
      <w:lvlJc w:val="left"/>
      <w:lvlText w:val="(%1)"/>
      <w:numFmt w:val="lowerLetter"/>
      <w:start w:val="3"/>
    </w:lvl>
  </w:abstractNum>
  <w:abstractNum w:abstractNumId="276">
    <w:nsid w:val="1AF7F0EA"/>
    <w:multiLevelType w:val="hybridMultilevel"/>
    <w:lvl w:ilvl="0">
      <w:lvlJc w:val="left"/>
      <w:lvlText w:val="%1."/>
      <w:numFmt w:val="decimal"/>
      <w:start w:val="1"/>
    </w:lvl>
  </w:abstractNum>
  <w:abstractNum w:abstractNumId="277">
    <w:nsid w:val="4DA32C7E"/>
    <w:multiLevelType w:val="hybridMultilevel"/>
    <w:lvl w:ilvl="0">
      <w:lvlJc w:val="left"/>
      <w:lvlText w:val="(%1)"/>
      <w:numFmt w:val="lowerLetter"/>
      <w:start w:val="1"/>
    </w:lvl>
  </w:abstractNum>
  <w:abstractNum w:abstractNumId="278">
    <w:nsid w:val="6EC68664"/>
    <w:multiLevelType w:val="hybridMultilevel"/>
    <w:lvl w:ilvl="0">
      <w:lvlJc w:val="left"/>
      <w:lvlText w:val="(%1)"/>
      <w:numFmt w:val="lowerLetter"/>
      <w:start w:val="1"/>
    </w:lvl>
  </w:abstractNum>
  <w:abstractNum w:abstractNumId="279">
    <w:nsid w:val="E0D31FF"/>
    <w:multiLevelType w:val="hybridMultilevel"/>
    <w:lvl w:ilvl="0">
      <w:lvlJc w:val="left"/>
      <w:lvlText w:val="(%1)"/>
      <w:numFmt w:val="lowerLetter"/>
      <w:start w:val="1"/>
    </w:lvl>
  </w:abstractNum>
  <w:abstractNum w:abstractNumId="280">
    <w:nsid w:val="2FD0AD81"/>
    <w:multiLevelType w:val="hybridMultilevel"/>
    <w:lvl w:ilvl="0">
      <w:lvlJc w:val="left"/>
      <w:lvlText w:val="(%1)"/>
      <w:numFmt w:val="lowerLetter"/>
      <w:start w:val="1"/>
    </w:lvl>
  </w:abstractNum>
  <w:abstractNum w:abstractNumId="281">
    <w:nsid w:val="1978EBEB"/>
    <w:multiLevelType w:val="hybridMultilevel"/>
    <w:lvl w:ilvl="0">
      <w:lvlJc w:val="left"/>
      <w:lvlText w:val="(%1)"/>
      <w:numFmt w:val="lowerLetter"/>
      <w:start w:val="1"/>
    </w:lvl>
  </w:abstractNum>
  <w:abstractNum w:abstractNumId="282">
    <w:nsid w:val="52C12C61"/>
    <w:multiLevelType w:val="hybridMultilevel"/>
    <w:lvl w:ilvl="0">
      <w:lvlJc w:val="left"/>
      <w:lvlText w:val="(%1)"/>
      <w:numFmt w:val="lowerLetter"/>
      <w:start w:val="2"/>
    </w:lvl>
  </w:abstractNum>
  <w:abstractNum w:abstractNumId="283">
    <w:nsid w:val="4BDD53FD"/>
    <w:multiLevelType w:val="hybridMultilevel"/>
    <w:lvl w:ilvl="0">
      <w:lvlJc w:val="left"/>
      <w:lvlText w:val="(%1)"/>
      <w:numFmt w:val="lowerLetter"/>
      <w:start w:val="1"/>
    </w:lvl>
  </w:abstractNum>
  <w:abstractNum w:abstractNumId="284">
    <w:nsid w:val="569951FE"/>
    <w:multiLevelType w:val="hybridMultilevel"/>
    <w:lvl w:ilvl="0">
      <w:lvlJc w:val="left"/>
      <w:lvlText w:val="%1."/>
      <w:numFmt w:val="decimal"/>
      <w:start w:val="1"/>
    </w:lvl>
  </w:abstractNum>
  <w:abstractNum w:abstractNumId="285">
    <w:nsid w:val="4C54E2C3"/>
    <w:multiLevelType w:val="hybridMultilevel"/>
    <w:lvl w:ilvl="0">
      <w:lvlJc w:val="left"/>
      <w:lvlText w:val="%1."/>
      <w:numFmt w:val="decimal"/>
      <w:start w:val="2"/>
    </w:lvl>
  </w:abstractNum>
  <w:abstractNum w:abstractNumId="286">
    <w:nsid w:val="788BD9B"/>
    <w:multiLevelType w:val="hybridMultilevel"/>
    <w:lvl w:ilvl="0">
      <w:lvlJc w:val="left"/>
      <w:lvlText w:val="(%1)"/>
      <w:numFmt w:val="decimal"/>
      <w:start w:val="302"/>
    </w:lvl>
  </w:abstractNum>
  <w:abstractNum w:abstractNumId="287">
    <w:nsid w:val="47CAA567"/>
    <w:multiLevelType w:val="hybridMultilevel"/>
    <w:lvl w:ilvl="0">
      <w:lvlJc w:val="left"/>
      <w:lvlText w:val="(%1)"/>
      <w:numFmt w:val="upperLetter"/>
      <w:start w:val="2"/>
    </w:lvl>
  </w:abstractNum>
  <w:abstractNum w:abstractNumId="288">
    <w:nsid w:val="48249DBF"/>
    <w:multiLevelType w:val="hybridMultilevel"/>
    <w:lvl w:ilvl="0">
      <w:lvlJc w:val="left"/>
      <w:lvlText w:val="1"/>
      <w:numFmt w:val="bullet"/>
      <w:start w:val="1"/>
    </w:lvl>
  </w:abstractNum>
  <w:abstractNum w:abstractNumId="289">
    <w:nsid w:val="1F0E5D0D"/>
    <w:multiLevelType w:val="hybridMultilevel"/>
    <w:lvl w:ilvl="0">
      <w:lvlJc w:val="left"/>
      <w:lvlText w:val="2"/>
      <w:numFmt w:val="bullet"/>
      <w:start w:val="1"/>
    </w:lvl>
  </w:abstractNum>
  <w:abstractNum w:abstractNumId="290">
    <w:nsid w:val="26BAAE9"/>
    <w:multiLevelType w:val="hybridMultilevel"/>
    <w:lvl w:ilvl="0">
      <w:lvlJc w:val="left"/>
      <w:lvlText w:val="3"/>
      <w:numFmt w:val="bullet"/>
      <w:start w:val="1"/>
    </w:lvl>
  </w:abstractNum>
  <w:abstractNum w:abstractNumId="291">
    <w:nsid w:val="2C02FE8C"/>
    <w:multiLevelType w:val="hybridMultilevel"/>
    <w:lvl w:ilvl="0">
      <w:lvlJc w:val="left"/>
      <w:lvlText w:val="4"/>
      <w:numFmt w:val="bullet"/>
      <w:start w:val="1"/>
    </w:lvl>
  </w:abstractNum>
  <w:abstractNum w:abstractNumId="292">
    <w:nsid w:val="129517E"/>
    <w:multiLevelType w:val="hybridMultilevel"/>
    <w:lvl w:ilvl="0">
      <w:lvlJc w:val="left"/>
      <w:lvlText w:val="5"/>
      <w:numFmt w:val="bullet"/>
      <w:start w:val="1"/>
    </w:lvl>
  </w:abstractNum>
  <w:abstractNum w:abstractNumId="293">
    <w:nsid w:val="763B8C4E"/>
    <w:multiLevelType w:val="hybridMultilevel"/>
    <w:lvl w:ilvl="0">
      <w:lvlJc w:val="left"/>
      <w:lvlText w:val="6"/>
      <w:numFmt w:val="bullet"/>
      <w:start w:val="1"/>
    </w:lvl>
  </w:abstractNum>
  <w:abstractNum w:abstractNumId="294">
    <w:nsid w:val="4CFB8D32"/>
    <w:multiLevelType w:val="hybridMultilevel"/>
    <w:lvl w:ilvl="0">
      <w:lvlJc w:val="left"/>
      <w:lvlText w:val="(%1)"/>
      <w:numFmt w:val="decimal"/>
      <w:start w:val="302"/>
    </w:lvl>
  </w:abstractNum>
  <w:abstractNum w:abstractNumId="295">
    <w:nsid w:val="62A5D5BD"/>
    <w:multiLevelType w:val="hybridMultilevel"/>
    <w:lvl w:ilvl="0">
      <w:lvlJc w:val="left"/>
      <w:lvlText w:val="(%1)"/>
      <w:numFmt w:val="upperLetter"/>
      <w:start w:val="2"/>
    </w:lvl>
  </w:abstractNum>
  <w:abstractNum w:abstractNumId="296">
    <w:nsid w:val="718FABF9"/>
    <w:multiLevelType w:val="hybridMultilevel"/>
    <w:lvl w:ilvl="0">
      <w:lvlJc w:val="left"/>
      <w:lvlText w:val="7"/>
      <w:numFmt w:val="bullet"/>
      <w:start w:val="1"/>
    </w:lvl>
  </w:abstractNum>
  <w:abstractNum w:abstractNumId="297">
    <w:nsid w:val="7775797C"/>
    <w:multiLevelType w:val="hybridMultilevel"/>
    <w:lvl w:ilvl="0">
      <w:lvlJc w:val="left"/>
      <w:lvlText w:val="8"/>
      <w:numFmt w:val="bullet"/>
      <w:start w:val="1"/>
    </w:lvl>
  </w:abstractNum>
  <w:abstractNum w:abstractNumId="298">
    <w:nsid w:val="1626FB8C"/>
    <w:multiLevelType w:val="hybridMultilevel"/>
    <w:lvl w:ilvl="0">
      <w:lvlJc w:val="left"/>
      <w:lvlText w:val="9"/>
      <w:numFmt w:val="bullet"/>
      <w:start w:val="1"/>
    </w:lvl>
  </w:abstractNum>
  <w:abstractNum w:abstractNumId="299">
    <w:nsid w:val="3957756A"/>
    <w:multiLevelType w:val="hybridMultilevel"/>
    <w:lvl w:ilvl="0">
      <w:lvlJc w:val="left"/>
      <w:lvlText w:val="(%1)"/>
      <w:numFmt w:val="decimal"/>
      <w:start w:val="302"/>
    </w:lvl>
  </w:abstractNum>
  <w:abstractNum w:abstractNumId="300">
    <w:nsid w:val="3E6DA1C7"/>
    <w:multiLevelType w:val="hybridMultilevel"/>
    <w:lvl w:ilvl="0">
      <w:lvlJc w:val="left"/>
      <w:lvlText w:val="%1"/>
      <w:numFmt w:val="decimal"/>
      <w:start w:val="10"/>
    </w:lvl>
  </w:abstractNum>
  <w:abstractNum w:abstractNumId="301">
    <w:nsid w:val="65CA235B"/>
    <w:multiLevelType w:val="hybridMultilevel"/>
    <w:lvl w:ilvl="0">
      <w:lvlJc w:val="left"/>
      <w:lvlText w:val="%1."/>
      <w:numFmt w:val="decimal"/>
      <w:start w:val="1"/>
    </w:lvl>
  </w:abstractNum>
  <w:abstractNum w:abstractNumId="302">
    <w:nsid w:val="51CB0DA4"/>
    <w:multiLevelType w:val="hybridMultilevel"/>
    <w:lvl w:ilvl="0">
      <w:lvlJc w:val="left"/>
      <w:lvlText w:val="%1."/>
      <w:numFmt w:val="decimal"/>
      <w:start w:val="8"/>
    </w:lvl>
  </w:abstractNum>
  <w:abstractNum w:abstractNumId="303">
    <w:nsid w:val="7B9B743C"/>
    <w:multiLevelType w:val="hybridMultilevel"/>
    <w:lvl w:ilvl="0">
      <w:lvlJc w:val="left"/>
      <w:lvlText w:val="(%1)"/>
      <w:numFmt w:val="lowerLetter"/>
      <w:start w:val="1"/>
    </w:lvl>
  </w:abstractNum>
  <w:abstractNum w:abstractNumId="304">
    <w:nsid w:val="13E21002"/>
    <w:multiLevelType w:val="hybridMultilevel"/>
    <w:lvl w:ilvl="0">
      <w:lvlJc w:val="left"/>
      <w:lvlText w:val="%1."/>
      <w:numFmt w:val="decimal"/>
      <w:start w:val="9"/>
    </w:lvl>
  </w:abstractNum>
  <w:abstractNum w:abstractNumId="305">
    <w:nsid w:val="257D63F4"/>
    <w:multiLevelType w:val="hybridMultilevel"/>
    <w:lvl w:ilvl="0">
      <w:lvlJc w:val="left"/>
      <w:lvlText w:val="1"/>
      <w:numFmt w:val="bullet"/>
      <w:start w:val="1"/>
    </w:lvl>
  </w:abstractNum>
  <w:abstractNum w:abstractNumId="306">
    <w:nsid w:val="70EC11B2"/>
    <w:multiLevelType w:val="hybridMultilevel"/>
    <w:lvl w:ilvl="0">
      <w:lvlJc w:val="left"/>
      <w:lvlText w:val="%1."/>
      <w:numFmt w:val="decimal"/>
      <w:start w:val="1"/>
    </w:lvl>
  </w:abstractNum>
  <w:abstractNum w:abstractNumId="307">
    <w:nsid w:val="2EDA00ED"/>
    <w:multiLevelType w:val="hybridMultilevel"/>
    <w:lvl w:ilvl="0">
      <w:lvlJc w:val="left"/>
      <w:lvlText w:val="%1."/>
      <w:numFmt w:val="decimal"/>
      <w:start w:val="4"/>
    </w:lvl>
  </w:abstractNum>
  <w:abstractNum w:abstractNumId="308">
    <w:nsid w:val="73209072"/>
    <w:multiLevelType w:val="hybridMultilevel"/>
    <w:lvl w:ilvl="0">
      <w:lvlJc w:val="left"/>
      <w:lvlText w:val="%1"/>
      <w:numFmt w:val="decimal"/>
      <w:start w:val="1"/>
    </w:lvl>
    <w:lvl w:ilvl="1">
      <w:lvlJc w:val="left"/>
      <w:lvlText w:val="%2."/>
      <w:numFmt w:val="decimal"/>
      <w:start w:val="1"/>
    </w:lvl>
  </w:abstractNum>
  <w:abstractNum w:abstractNumId="309">
    <w:nsid w:val="5FB29816"/>
    <w:multiLevelType w:val="hybridMultilevel"/>
    <w:lvl w:ilvl="0">
      <w:lvlJc w:val="left"/>
      <w:lvlText w:val="%1."/>
      <w:numFmt w:val="decimal"/>
      <w:start w:val="2"/>
    </w:lvl>
    <w:lvl w:ilvl="1">
      <w:lvlJc w:val="left"/>
      <w:lvlText w:val="%2"/>
      <w:numFmt w:val="decimal"/>
      <w:start w:val="1"/>
    </w:lvl>
  </w:abstractNum>
  <w:abstractNum w:abstractNumId="310">
    <w:nsid w:val="3CE732EC"/>
    <w:multiLevelType w:val="hybridMultilevel"/>
    <w:lvl w:ilvl="0">
      <w:lvlJc w:val="left"/>
      <w:lvlText w:val="%1"/>
      <w:numFmt w:val="decimal"/>
      <w:start w:val="13"/>
    </w:lvl>
  </w:abstractNum>
  <w:abstractNum w:abstractNumId="311">
    <w:nsid w:val="22F13DF3"/>
    <w:multiLevelType w:val="hybridMultilevel"/>
    <w:lvl w:ilvl="0">
      <w:lvlJc w:val="left"/>
      <w:lvlText w:val="%1."/>
      <w:numFmt w:val="decimal"/>
      <w:start w:val="1"/>
    </w:lvl>
  </w:abstractNum>
  <w:abstractNum w:abstractNumId="312">
    <w:nsid w:val="792B8401"/>
    <w:multiLevelType w:val="hybridMultilevel"/>
    <w:lvl w:ilvl="0">
      <w:lvlJc w:val="left"/>
      <w:lvlText w:val="1"/>
      <w:numFmt w:val="bullet"/>
      <w:start w:val="1"/>
    </w:lvl>
  </w:abstractNum>
  <w:abstractNum w:abstractNumId="313">
    <w:nsid w:val="FA85F4D"/>
    <w:multiLevelType w:val="hybridMultilevel"/>
    <w:lvl w:ilvl="0">
      <w:lvlJc w:val="left"/>
      <w:lvlText w:val="(%1)"/>
      <w:numFmt w:val="lowerRoman"/>
      <w:start w:val="1"/>
    </w:lvl>
    <w:lvl w:ilvl="1">
      <w:lvlJc w:val="left"/>
      <w:lvlText w:val="%2."/>
      <w:numFmt w:val="decimal"/>
      <w:start w:val="2"/>
    </w:lvl>
  </w:abstractNum>
  <w:abstractNum w:abstractNumId="314">
    <w:nsid w:val="6ECE91F0"/>
    <w:multiLevelType w:val="hybridMultilevel"/>
    <w:lvl w:ilvl="0">
      <w:lvlJc w:val="left"/>
      <w:lvlText w:val="%1."/>
      <w:numFmt w:val="decimal"/>
      <w:start w:val="4"/>
    </w:lvl>
  </w:abstractNum>
  <w:abstractNum w:abstractNumId="315">
    <w:nsid w:val="4FC4D600"/>
    <w:multiLevelType w:val="hybridMultilevel"/>
    <w:lvl w:ilvl="0">
      <w:lvlJc w:val="left"/>
      <w:lvlText w:val="2"/>
      <w:numFmt w:val="bullet"/>
      <w:start w:val="1"/>
    </w:lvl>
  </w:abstractNum>
  <w:abstractNum w:abstractNumId="316">
    <w:nsid w:val="5BFD4210"/>
    <w:multiLevelType w:val="hybridMultilevel"/>
    <w:lvl w:ilvl="0">
      <w:lvlJc w:val="left"/>
      <w:lvlText w:val="(%1)"/>
      <w:numFmt w:val="lowerLetter"/>
      <w:start w:val="1"/>
    </w:lvl>
  </w:abstractNum>
  <w:abstractNum w:abstractNumId="317">
    <w:nsid w:val="76574F8B"/>
    <w:multiLevelType w:val="hybridMultilevel"/>
    <w:lvl w:ilvl="0">
      <w:lvlJc w:val="left"/>
      <w:lvlText w:val="(%1)"/>
      <w:numFmt w:val="lowerLetter"/>
      <w:start w:val="4"/>
    </w:lvl>
  </w:abstractNum>
  <w:abstractNum w:abstractNumId="318">
    <w:nsid w:val="178F7B67"/>
    <w:multiLevelType w:val="hybridMultilevel"/>
    <w:lvl w:ilvl="0">
      <w:lvlJc w:val="left"/>
      <w:lvlText w:val="1"/>
      <w:numFmt w:val="bullet"/>
      <w:start w:val="1"/>
    </w:lvl>
  </w:abstractNum>
  <w:abstractNum w:abstractNumId="319">
    <w:nsid w:val="2421DFCF"/>
    <w:multiLevelType w:val="hybridMultilevel"/>
    <w:lvl w:ilvl="0">
      <w:lvlJc w:val="left"/>
      <w:lvlText w:val="%1."/>
      <w:numFmt w:val="decimal"/>
      <w:start w:val="1"/>
    </w:lvl>
  </w:abstractNum>
  <w:abstractNum w:abstractNumId="320">
    <w:nsid w:val="1565AC99"/>
    <w:multiLevelType w:val="hybridMultilevel"/>
    <w:lvl w:ilvl="0">
      <w:lvlJc w:val="left"/>
      <w:lvlText w:val="(%1)"/>
      <w:numFmt w:val="decimal"/>
      <w:start w:val="2"/>
    </w:lvl>
  </w:abstractNum>
  <w:abstractNum w:abstractNumId="321">
    <w:nsid w:val="19FB2650"/>
    <w:multiLevelType w:val="hybridMultilevel"/>
    <w:lvl w:ilvl="0">
      <w:lvlJc w:val="left"/>
      <w:lvlText w:val="(%1)"/>
      <w:numFmt w:val="lowerRoman"/>
      <w:start w:val="5"/>
    </w:lvl>
  </w:abstractNum>
  <w:abstractNum w:abstractNumId="322">
    <w:nsid w:val="5024DE5B"/>
    <w:multiLevelType w:val="hybridMultilevel"/>
    <w:lvl w:ilvl="0">
      <w:lvlJc w:val="left"/>
      <w:lvlText w:val="%1."/>
      <w:numFmt w:val="decimal"/>
      <w:start w:val="1"/>
    </w:lvl>
  </w:abstractNum>
  <w:abstractNum w:abstractNumId="323">
    <w:nsid w:val="168EFE17"/>
    <w:multiLevelType w:val="hybridMultilevel"/>
    <w:lvl w:ilvl="0">
      <w:lvlJc w:val="left"/>
      <w:lvlText w:val="%1."/>
      <w:numFmt w:val="decimal"/>
      <w:start w:val="3"/>
    </w:lvl>
  </w:abstractNum>
  <w:abstractNum w:abstractNumId="324">
    <w:nsid w:val="1036B29F"/>
    <w:multiLevelType w:val="hybridMultilevel"/>
    <w:lvl w:ilvl="0">
      <w:lvlJc w:val="left"/>
      <w:lvlText w:val="%1."/>
      <w:numFmt w:val="decimal"/>
      <w:start w:val="4"/>
    </w:lvl>
  </w:abstractNum>
  <w:abstractNum w:abstractNumId="325">
    <w:nsid w:val="1D206B8E"/>
    <w:multiLevelType w:val="hybridMultilevel"/>
    <w:lvl w:ilvl="0">
      <w:lvlJc w:val="left"/>
      <w:lvlText w:val="(%1)"/>
      <w:numFmt w:val="upperLetter"/>
      <w:start w:val="1"/>
    </w:lvl>
  </w:abstractNum>
  <w:abstractNum w:abstractNumId="326">
    <w:nsid w:val="7934D3D4"/>
    <w:multiLevelType w:val="hybridMultilevel"/>
    <w:lvl w:ilvl="0">
      <w:lvlJc w:val="left"/>
      <w:lvlText w:val="(%1)"/>
      <w:numFmt w:val="upperLetter"/>
      <w:start w:val="4"/>
    </w:lvl>
  </w:abstractNum>
  <w:abstractNum w:abstractNumId="327">
    <w:nsid w:val="1C65E98"/>
    <w:multiLevelType w:val="hybridMultilevel"/>
    <w:lvl w:ilvl="0">
      <w:lvlJc w:val="left"/>
      <w:lvlText w:val="1"/>
      <w:numFmt w:val="bullet"/>
      <w:start w:val="1"/>
    </w:lvl>
  </w:abstractNum>
  <w:abstractNum w:abstractNumId="328">
    <w:nsid w:val="1495E50A"/>
    <w:multiLevelType w:val="hybridMultilevel"/>
    <w:lvl w:ilvl="0">
      <w:lvlJc w:val="left"/>
      <w:lvlText w:val="(%1)"/>
      <w:numFmt w:val="upperLetter"/>
      <w:start w:val="1"/>
    </w:lvl>
  </w:abstractNum>
  <w:abstractNum w:abstractNumId="329">
    <w:nsid w:val="F5BCF61"/>
    <w:multiLevelType w:val="hybridMultilevel"/>
    <w:lvl w:ilvl="0">
      <w:lvlJc w:val="left"/>
      <w:lvlText w:val="(%1)"/>
      <w:numFmt w:val="upperLetter"/>
      <w:start w:val="4"/>
    </w:lvl>
  </w:abstractNum>
  <w:abstractNum w:abstractNumId="330">
    <w:nsid w:val="3B1DD403"/>
    <w:multiLevelType w:val="hybridMultilevel"/>
    <w:lvl w:ilvl="0">
      <w:lvlJc w:val="left"/>
      <w:lvlText w:val="1"/>
      <w:numFmt w:val="bullet"/>
      <w:start w:val="1"/>
    </w:lvl>
  </w:abstractNum>
  <w:abstractNum w:abstractNumId="331">
    <w:nsid w:val="530386D1"/>
    <w:multiLevelType w:val="hybridMultilevel"/>
    <w:lvl w:ilvl="0">
      <w:lvlJc w:val="left"/>
      <w:lvlText w:val="(%1)"/>
      <w:numFmt w:val="decimal"/>
      <w:start w:val="302"/>
    </w:lvl>
  </w:abstractNum>
  <w:abstractNum w:abstractNumId="332">
    <w:nsid w:val="7525F2BC"/>
    <w:multiLevelType w:val="hybridMultilevel"/>
    <w:lvl w:ilvl="0">
      <w:lvlJc w:val="left"/>
      <w:lvlText w:val="1"/>
      <w:numFmt w:val="bullet"/>
      <w:start w:val="1"/>
    </w:lvl>
  </w:abstractNum>
  <w:abstractNum w:abstractNumId="333">
    <w:nsid w:val="CE8E1A7"/>
    <w:multiLevelType w:val="hybridMultilevel"/>
    <w:lvl w:ilvl="0">
      <w:lvlJc w:val="left"/>
      <w:lvlText w:val="2"/>
      <w:numFmt w:val="bullet"/>
      <w:start w:val="1"/>
    </w:lvl>
  </w:abstractNum>
  <w:abstractNum w:abstractNumId="334">
    <w:nsid w:val="4E9EFB0D"/>
    <w:multiLevelType w:val="hybridMultilevel"/>
    <w:lvl w:ilvl="0">
      <w:lvlJc w:val="left"/>
      <w:lvlText w:val="3"/>
      <w:numFmt w:val="bullet"/>
      <w:start w:val="1"/>
    </w:lvl>
  </w:abstractNum>
  <w:abstractNum w:abstractNumId="335">
    <w:nsid w:val="90802BE"/>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2019-12-07T21:03:25Z</dcterms:created>
  <dcterms:modified xsi:type="dcterms:W3CDTF">2019-12-07T21:03:25Z</dcterms:modified>
</cp:coreProperties>
</file>