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12/31/2016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7"/>
              </w:rPr>
              <w:t>M/C: 482-C23-D24</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5,768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20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159,618</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5"/>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center"/>
              <w:ind w:right="292"/>
              <w:spacing w:after="0"/>
              <w:rPr>
                <w:sz w:val="20"/>
                <w:szCs w:val="20"/>
                <w:color w:val="auto"/>
              </w:rPr>
            </w:pPr>
            <w:r>
              <w:rPr>
                <w:rFonts w:ascii="Arial" w:cs="Arial" w:eastAsia="Arial" w:hAnsi="Arial"/>
                <w:sz w:val="14"/>
                <w:szCs w:val="14"/>
                <w:color w:val="0000FF"/>
                <w:w w:val="98"/>
              </w:rPr>
              <w:t>D</w:t>
            </w:r>
          </w:p>
        </w:tc>
        <w:tc>
          <w:tcPr>
            <w:tcW w:w="18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3,633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155,985</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5"/>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center"/>
              <w:ind w:right="272"/>
              <w:spacing w:after="0"/>
              <w:rPr>
                <w:sz w:val="20"/>
                <w:szCs w:val="20"/>
                <w:color w:val="auto"/>
              </w:rPr>
            </w:pPr>
            <w:r>
              <w:rPr>
                <w:rFonts w:ascii="Arial" w:cs="Arial" w:eastAsia="Arial" w:hAnsi="Arial"/>
                <w:sz w:val="14"/>
                <w:szCs w:val="14"/>
                <w:color w:val="0000FF"/>
                <w:w w:val="92"/>
              </w:rPr>
              <w:t>F</w:t>
            </w:r>
          </w:p>
        </w:tc>
        <w:tc>
          <w:tcPr>
            <w:tcW w:w="18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2,135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153,850</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5,768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5,768</w:t>
            </w:r>
          </w:p>
        </w:tc>
        <w:tc>
          <w:tcPr>
            <w:tcW w:w="840" w:type="dxa"/>
            <w:vAlign w:val="bottom"/>
            <w:gridSpan w:val="3"/>
            <w:vMerge w:val="restart"/>
          </w:tcPr>
          <w:p>
            <w:pPr>
              <w:jc w:val="center"/>
              <w:ind w:right="32"/>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2016 in cash, less a portion withheld for taxes.</w:t>
      </w:r>
    </w:p>
    <w:p>
      <w:pPr>
        <w:jc w:val="both"/>
        <w:ind w:left="40" w:right="2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SSUs are fully vested when made and settled in three equal, annual installments beginning one year after the date of grant. The GMSSP gave the Reporting Person the option of having a settlement made by delivery of shares of the Common Stock or by the delivery of cash in an amount equal to the fair market value of the Stock as of the applicable anniversary date of the SSU's grant. Under the GMSSP, the fair value of the Common Stock is the average of the high and low trading prices for the Stock as reported on the New York Stock Exchange, on which it is listed, on December 30, 2016, which was $34.99.</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Ammann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2019-12-04T01:59:13Z</dcterms:created>
  <dcterms:modified xsi:type="dcterms:W3CDTF">2019-12-04T01:59:13Z</dcterms:modified>
</cp:coreProperties>
</file>