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22, 2025</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ectPr>
          <w:pgSz w:w="11900" w:h="16838" w:orient="portrait"/>
          <w:cols w:equalWidth="0" w:num="1">
            <w:col w:w="11100"/>
          </w:cols>
          <w:pgMar w:left="320" w:top="1440" w:right="479" w:bottom="1440" w:gutter="0" w:footer="0" w:header="0"/>
        </w:sectPr>
      </w:pPr>
    </w:p>
    <w:p>
      <w:pPr>
        <w:spacing w:after="0" w:line="11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27-0756180</w:t>
      </w:r>
    </w:p>
    <w:p>
      <w:pPr>
        <w:spacing w:after="0" w:line="67" w:lineRule="exact"/>
        <w:rPr>
          <w:sz w:val="24"/>
          <w:szCs w:val="24"/>
          <w:color w:val="auto"/>
        </w:rPr>
      </w:pPr>
    </w:p>
    <w:p>
      <w:pPr>
        <w:sectPr>
          <w:pgSz w:w="11900" w:h="16838" w:orient="portrait"/>
          <w:cols w:equalWidth="0" w:num="3">
            <w:col w:w="4660" w:space="720"/>
            <w:col w:w="2820" w:space="720"/>
            <w:col w:w="2180"/>
          </w:cols>
          <w:pgMar w:left="320" w:top="1440" w:right="47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79" w:lineRule="exact"/>
        <w:rPr>
          <w:sz w:val="24"/>
          <w:szCs w:val="24"/>
          <w:color w:val="auto"/>
        </w:rPr>
      </w:pPr>
    </w:p>
    <w:p>
      <w:pPr>
        <w:sectPr>
          <w:pgSz w:w="11900" w:h="16838" w:orient="portrait"/>
          <w:cols w:equalWidth="0" w:num="3">
            <w:col w:w="4060" w:space="720"/>
            <w:col w:w="2560" w:space="720"/>
            <w:col w:w="3040"/>
          </w:cols>
          <w:pgMar w:left="320" w:top="1440" w:right="479" w:bottom="1440" w:gutter="0" w:footer="0" w:header="0"/>
          <w:type w:val="continuous"/>
        </w:sectPr>
      </w:pPr>
    </w:p>
    <w:p>
      <w:pPr>
        <w:ind w:left="780"/>
        <w:spacing w:after="0"/>
        <w:tabs>
          <w:tab w:leader="none" w:pos="2800" w:val="left"/>
          <w:tab w:leader="none" w:pos="3580" w:val="left"/>
        </w:tabs>
        <w:rPr>
          <w:sz w:val="20"/>
          <w:szCs w:val="20"/>
          <w:color w:val="auto"/>
        </w:rPr>
      </w:pPr>
      <w:r>
        <w:rPr>
          <w:rFonts w:ascii="Times New Roman" w:cs="Times New Roman" w:eastAsia="Times New Roman" w:hAnsi="Times New Roman"/>
          <w:sz w:val="18"/>
          <w:szCs w:val="18"/>
          <w:b w:val="1"/>
          <w:bCs w:val="1"/>
          <w:color w:val="auto"/>
        </w:rPr>
        <w:t>300 Renaissance Center,</w:t>
        <w:tab/>
        <w:t>Detroit,</w:t>
      </w:r>
      <w:r>
        <w:rPr>
          <w:sz w:val="20"/>
          <w:szCs w:val="20"/>
          <w:color w:val="auto"/>
        </w:rPr>
        <w:tab/>
      </w:r>
      <w:r>
        <w:rPr>
          <w:rFonts w:ascii="Times New Roman" w:cs="Times New Roman" w:eastAsia="Times New Roman" w:hAnsi="Times New Roman"/>
          <w:sz w:val="17"/>
          <w:szCs w:val="17"/>
          <w:b w:val="1"/>
          <w:bCs w:val="1"/>
          <w:color w:val="auto"/>
        </w:rPr>
        <w:t>Michigan</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60"/>
        <w:spacing w:after="0"/>
        <w:rPr>
          <w:sz w:val="20"/>
          <w:szCs w:val="20"/>
          <w:color w:val="auto"/>
        </w:rPr>
      </w:pPr>
      <w:r>
        <w:rPr>
          <w:rFonts w:ascii="Times New Roman" w:cs="Times New Roman" w:eastAsia="Times New Roman" w:hAnsi="Times New Roman"/>
          <w:sz w:val="17"/>
          <w:szCs w:val="17"/>
          <w:b w:val="1"/>
          <w:bCs w:val="1"/>
          <w:color w:val="auto"/>
        </w:rPr>
        <w:t>48265 -3000</w:t>
      </w:r>
    </w:p>
    <w:p>
      <w:pPr>
        <w:spacing w:after="0" w:line="43" w:lineRule="exact"/>
        <w:rPr>
          <w:sz w:val="24"/>
          <w:szCs w:val="24"/>
          <w:color w:val="auto"/>
        </w:rPr>
      </w:pPr>
    </w:p>
    <w:p>
      <w:pPr>
        <w:jc w:val="right"/>
        <w:ind w:right="20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20" w:space="720"/>
            <w:col w:w="2860"/>
          </w:cols>
          <w:pgMar w:left="320" w:top="1440" w:right="479" w:bottom="1440" w:gutter="0" w:footer="0" w:header="0"/>
          <w:type w:val="continuous"/>
        </w:sectPr>
      </w:pPr>
    </w:p>
    <w:p>
      <w:pPr>
        <w:spacing w:after="0" w:line="1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69" w:lineRule="exact"/>
        <w:rPr>
          <w:rFonts w:ascii="MS PGothic" w:cs="MS PGothic" w:eastAsia="MS PGothic" w:hAnsi="MS PGothic"/>
          <w:sz w:val="18"/>
          <w:szCs w:val="18"/>
          <w:color w:val="auto"/>
        </w:rPr>
      </w:pPr>
    </w:p>
    <w:p>
      <w:pPr>
        <w:ind w:left="3760" w:right="3240" w:hanging="3714"/>
        <w:spacing w:after="0" w:line="414" w:lineRule="auto"/>
        <w:tabs>
          <w:tab w:leader="none" w:pos="6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23" w:lineRule="exact"/>
        <w:rPr>
          <w:sz w:val="24"/>
          <w:szCs w:val="24"/>
          <w:color w:val="auto"/>
        </w:rPr>
      </w:pPr>
    </w:p>
    <w:tbl>
      <w:tblPr>
        <w:tblLayout w:type="fixed"/>
        <w:tblInd w:w="132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040" w:type="dxa"/>
            <w:vAlign w:val="bottom"/>
          </w:tcPr>
          <w:p>
            <w:pPr>
              <w:spacing w:after="0"/>
              <w:rPr>
                <w:sz w:val="16"/>
                <w:szCs w:val="16"/>
                <w:color w:val="auto"/>
              </w:rPr>
            </w:pP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Trading Symbol(s)</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30"/>
        </w:trPr>
        <w:tc>
          <w:tcPr>
            <w:tcW w:w="3680" w:type="dxa"/>
            <w:vAlign w:val="bottom"/>
            <w:gridSpan w:val="3"/>
          </w:tcPr>
          <w:p>
            <w:pPr>
              <w:jc w:val="center"/>
              <w:ind w:right="158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GM</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208"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right="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On July 22, 2025, General Motors Company (GM) issued a news release and supplemental materials on the subject of its 2025 second quarter consolidated earnings. The news release and supplemental materials are attached as Exhibit 99.1.</w:t>
      </w:r>
    </w:p>
    <w:p>
      <w:pPr>
        <w:spacing w:after="0" w:line="189"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Charts furnished to securities analysts in connection with GM's 2025 second quarter consolidated earnings release are available on GM's website at www.gm.com/investors/earnings-releases.html.</w:t>
      </w:r>
    </w:p>
    <w:p>
      <w:pPr>
        <w:spacing w:after="0" w:line="18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that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560" w:type="dxa"/>
            <w:vAlign w:val="bottom"/>
            <w:gridSpan w:val="4"/>
          </w:tcPr>
          <w:p>
            <w:pPr>
              <w:ind w:left="156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37"/>
        </w:trPr>
        <w:tc>
          <w:tcPr>
            <w:tcW w:w="4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760" w:type="dxa"/>
            <w:vAlign w:val="bottom"/>
            <w:tcBorders>
              <w:top w:val="single" w:sz="8" w:color="auto"/>
            </w:tcBorders>
          </w:tcPr>
          <w:p>
            <w:pPr>
              <w:spacing w:after="0"/>
              <w:rPr>
                <w:sz w:val="20"/>
                <w:szCs w:val="20"/>
                <w:color w:val="auto"/>
              </w:rPr>
            </w:pPr>
          </w:p>
        </w:tc>
        <w:tc>
          <w:tcPr>
            <w:tcW w:w="5240" w:type="dxa"/>
            <w:vAlign w:val="bottom"/>
            <w:gridSpan w:val="2"/>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News Release and Financial Highlights Dated July 22, 2025</w:t>
            </w:r>
          </w:p>
        </w:tc>
      </w:tr>
      <w:tr>
        <w:trPr>
          <w:trHeight w:val="20"/>
        </w:trPr>
        <w:tc>
          <w:tcPr>
            <w:tcW w:w="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320" w:type="dxa"/>
            <w:vAlign w:val="bottom"/>
            <w:gridSpan w:val="4"/>
            <w:shd w:val="clear" w:color="auto" w:fill="0000FF"/>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780"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743"/>
        </w:trPr>
        <w:tc>
          <w:tcPr>
            <w:tcW w:w="606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 HATTO</w:t>
            </w:r>
          </w:p>
        </w:tc>
      </w:tr>
      <w:tr>
        <w:trPr>
          <w:trHeight w:val="169"/>
        </w:trPr>
        <w:tc>
          <w:tcPr>
            <w:tcW w:w="60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Date: July 22, 2025</w:t>
            </w:r>
          </w:p>
        </w:tc>
        <w:tc>
          <w:tcPr>
            <w:tcW w:w="51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Christopher T. Hatto, Vice President, Global Business Solutions and</w:t>
            </w:r>
          </w:p>
        </w:tc>
      </w:t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113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1450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640"/>
        <w:spacing w:after="0"/>
        <w:rPr>
          <w:sz w:val="20"/>
          <w:szCs w:val="20"/>
          <w:color w:val="auto"/>
        </w:rPr>
      </w:pPr>
      <w:r>
        <w:rPr>
          <w:rFonts w:ascii="Arial" w:cs="Arial" w:eastAsia="Arial" w:hAnsi="Arial"/>
          <w:sz w:val="52"/>
          <w:szCs w:val="52"/>
          <w:color w:val="6D6D6D"/>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219075</wp:posOffset>
            </wp:positionV>
            <wp:extent cx="6934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For Release: Tuesday, July 22, 2025, at 6:30 a.m. ET</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GM releases 2025 second-quarter results</w:t>
      </w:r>
    </w:p>
    <w:p>
      <w:pPr>
        <w:spacing w:after="0" w:line="243"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(NYSE: GM) today reported second-quarter 2025 revenue of $47.1 billion, net income attributable to</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of $1.9 billion, and EBIT-adjusted of $3.0 billion. GM's full-year financial guidance is unchanged.</w:t>
      </w:r>
    </w:p>
    <w:p>
      <w:pPr>
        <w:spacing w:after="0" w:line="16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An overview of quarterly results and financial highlights appears below. Visit the GM Investor Relations website to download the company's earnings deck and GM Chair and CEO Mary Barra's Letter to 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for investors and analysts</w:t>
      </w:r>
    </w:p>
    <w:p>
      <w:pPr>
        <w:spacing w:after="0" w:line="239" w:lineRule="exact"/>
        <w:rPr>
          <w:sz w:val="20"/>
          <w:szCs w:val="20"/>
          <w:color w:val="auto"/>
        </w:rPr>
      </w:pPr>
    </w:p>
    <w:p>
      <w:pPr>
        <w:ind w:right="440"/>
        <w:spacing w:after="0" w:line="270" w:lineRule="auto"/>
        <w:rPr>
          <w:sz w:val="20"/>
          <w:szCs w:val="20"/>
          <w:color w:val="auto"/>
        </w:rPr>
      </w:pPr>
      <w:r>
        <w:rPr>
          <w:rFonts w:ascii="Arial" w:cs="Arial" w:eastAsia="Arial" w:hAnsi="Arial"/>
          <w:sz w:val="18"/>
          <w:szCs w:val="18"/>
          <w:color w:val="auto"/>
        </w:rPr>
        <w:t>Mary Barra and GM Chief Financial Officer Paul Jacobson will host a conference call for the</w:t>
      </w:r>
      <w:r>
        <w:rPr>
          <w:rFonts w:ascii="Times New Roman" w:cs="Times New Roman" w:eastAsia="Times New Roman" w:hAnsi="Times New Roman"/>
          <w:sz w:val="18"/>
          <w:szCs w:val="18"/>
          <w:color w:val="auto"/>
        </w:rPr>
        <w:t> </w:t>
      </w:r>
      <w:r>
        <w:rPr>
          <w:rFonts w:ascii="Arial" w:cs="Arial" w:eastAsia="Arial" w:hAnsi="Arial"/>
          <w:sz w:val="18"/>
          <w:szCs w:val="18"/>
          <w:color w:val="auto"/>
        </w:rPr>
        <w:t>investment community at 8:30 a.m. today to discuss these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details are as follows:</w:t>
      </w:r>
    </w:p>
    <w:p>
      <w:pPr>
        <w:spacing w:after="0" w:line="35"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1-800-857-9821 (U.S.)</w:t>
      </w:r>
    </w:p>
    <w:p>
      <w:pPr>
        <w:spacing w:after="0" w:line="10" w:lineRule="exact"/>
        <w:rPr>
          <w:rFonts w:ascii="Arial" w:cs="Arial" w:eastAsia="Arial" w:hAnsi="Arial"/>
          <w:sz w:val="22"/>
          <w:szCs w:val="22"/>
          <w:color w:val="auto"/>
        </w:rPr>
      </w:pPr>
    </w:p>
    <w:p>
      <w:pPr>
        <w:ind w:left="640" w:hanging="308"/>
        <w:spacing w:after="0" w:line="233"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1-517-308-9481 (international/caller-paid)</w:t>
      </w:r>
    </w:p>
    <w:p>
      <w:pPr>
        <w:spacing w:after="0" w:line="25" w:lineRule="exact"/>
        <w:rPr>
          <w:rFonts w:ascii="Arial" w:cs="Arial" w:eastAsia="Arial" w:hAnsi="Arial"/>
          <w:sz w:val="22"/>
          <w:szCs w:val="22"/>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Conference call passcode: </w:t>
      </w:r>
      <w:r>
        <w:rPr>
          <w:rFonts w:ascii="Arial" w:cs="Arial" w:eastAsia="Arial" w:hAnsi="Arial"/>
          <w:sz w:val="18"/>
          <w:szCs w:val="18"/>
          <w:color w:val="auto"/>
        </w:rPr>
        <w:t>General Motors</w:t>
      </w:r>
    </w:p>
    <w:p>
      <w:pPr>
        <w:spacing w:after="0" w:line="2" w:lineRule="exact"/>
        <w:rPr>
          <w:rFonts w:ascii="Arial" w:cs="Arial" w:eastAsia="Arial" w:hAnsi="Arial"/>
          <w:sz w:val="22"/>
          <w:szCs w:val="22"/>
          <w:color w:val="auto"/>
        </w:rPr>
      </w:pPr>
    </w:p>
    <w:p>
      <w:pPr>
        <w:ind w:left="640" w:hanging="308"/>
        <w:spacing w:after="0" w:line="233"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An audio replay will be available on the GM Investor Relations website in the Events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16" w:right="339" w:bottom="1440" w:gutter="0" w:footer="0" w:header="0"/>
        </w:sectPr>
      </w:pPr>
    </w:p>
    <w:bookmarkStart w:id="4" w:name="page5"/>
    <w:bookmarkEnd w:id="4"/>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Results Overview</w:t>
      </w:r>
    </w:p>
    <w:p>
      <w:pPr>
        <w:spacing w:after="0" w:line="5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Three Months Ended</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680" w:type="dxa"/>
            <w:vAlign w:val="bottom"/>
          </w:tcPr>
          <w:p>
            <w:pPr>
              <w:spacing w:after="0"/>
              <w:rPr>
                <w:sz w:val="20"/>
                <w:szCs w:val="20"/>
                <w:color w:val="auto"/>
              </w:rPr>
            </w:pPr>
            <w:r>
              <w:rPr>
                <w:rFonts w:ascii="Arial" w:cs="Arial" w:eastAsia="Arial" w:hAnsi="Arial"/>
                <w:sz w:val="16"/>
                <w:szCs w:val="16"/>
                <w:i w:val="1"/>
                <w:iCs w:val="1"/>
                <w:color w:val="auto"/>
              </w:rPr>
              <w:t>($M) except per share amounts</w:t>
            </w:r>
          </w:p>
        </w:tc>
        <w:tc>
          <w:tcPr>
            <w:tcW w:w="2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30, 2025</w:t>
            </w:r>
          </w:p>
        </w:tc>
        <w:tc>
          <w:tcPr>
            <w:tcW w:w="2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30, 2024</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Change</w:t>
            </w:r>
          </w:p>
        </w:tc>
        <w:tc>
          <w:tcPr>
            <w:tcW w:w="1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3680" w:type="dxa"/>
            <w:vAlign w:val="bottom"/>
          </w:tcPr>
          <w:p>
            <w:pPr>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47,122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47,969</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(847)</w:t>
            </w:r>
          </w:p>
        </w:tc>
        <w:tc>
          <w:tcPr>
            <w:tcW w:w="15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5"/>
        </w:trPr>
        <w:tc>
          <w:tcPr>
            <w:tcW w:w="368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1,895</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2,933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(1,038)</w:t>
            </w:r>
          </w:p>
        </w:tc>
        <w:tc>
          <w:tcPr>
            <w:tcW w:w="1500" w:type="dxa"/>
            <w:vAlign w:val="bottom"/>
          </w:tcPr>
          <w:p>
            <w:pPr>
              <w:jc w:val="right"/>
              <w:spacing w:after="0"/>
              <w:rPr>
                <w:sz w:val="20"/>
                <w:szCs w:val="20"/>
                <w:color w:val="auto"/>
              </w:rPr>
            </w:pPr>
            <w:r>
              <w:rPr>
                <w:rFonts w:ascii="Arial" w:cs="Arial" w:eastAsia="Arial" w:hAnsi="Arial"/>
                <w:sz w:val="16"/>
                <w:szCs w:val="16"/>
                <w:color w:val="auto"/>
              </w:rPr>
              <w:t>(35.4)%</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EBIT-adjusted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3,037</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4,438</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(1,401)</w:t>
            </w:r>
          </w:p>
        </w:tc>
        <w:tc>
          <w:tcPr>
            <w:tcW w:w="150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Net income margin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4.0 %</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6.1 %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(2.1) ppts</w:t>
            </w:r>
          </w:p>
        </w:tc>
        <w:tc>
          <w:tcPr>
            <w:tcW w:w="1500" w:type="dxa"/>
            <w:vAlign w:val="bottom"/>
          </w:tcPr>
          <w:p>
            <w:pPr>
              <w:jc w:val="right"/>
              <w:spacing w:after="0"/>
              <w:rPr>
                <w:sz w:val="20"/>
                <w:szCs w:val="20"/>
                <w:color w:val="auto"/>
              </w:rPr>
            </w:pPr>
            <w:r>
              <w:rPr>
                <w:rFonts w:ascii="Arial" w:cs="Arial" w:eastAsia="Arial" w:hAnsi="Arial"/>
                <w:sz w:val="16"/>
                <w:szCs w:val="16"/>
                <w:color w:val="auto"/>
              </w:rPr>
              <w:t>(34.4)%</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EBIT-adjusted margin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6.4 %</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9.3 %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(2.9) ppts</w:t>
            </w:r>
          </w:p>
        </w:tc>
        <w:tc>
          <w:tcPr>
            <w:tcW w:w="1500" w:type="dxa"/>
            <w:vAlign w:val="bottom"/>
          </w:tcPr>
          <w:p>
            <w:pPr>
              <w:jc w:val="right"/>
              <w:spacing w:after="0"/>
              <w:rPr>
                <w:sz w:val="20"/>
                <w:szCs w:val="20"/>
                <w:color w:val="auto"/>
              </w:rPr>
            </w:pPr>
            <w:r>
              <w:rPr>
                <w:rFonts w:ascii="Arial" w:cs="Arial" w:eastAsia="Arial" w:hAnsi="Arial"/>
                <w:sz w:val="16"/>
                <w:szCs w:val="16"/>
                <w:color w:val="auto"/>
              </w:rPr>
              <w:t>(31.2)%</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4,653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7,713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(3,060)</w:t>
            </w:r>
          </w:p>
        </w:tc>
        <w:tc>
          <w:tcPr>
            <w:tcW w:w="1500" w:type="dxa"/>
            <w:vAlign w:val="bottom"/>
          </w:tcPr>
          <w:p>
            <w:pPr>
              <w:jc w:val="right"/>
              <w:spacing w:after="0"/>
              <w:rPr>
                <w:sz w:val="20"/>
                <w:szCs w:val="20"/>
                <w:color w:val="auto"/>
              </w:rPr>
            </w:pPr>
            <w:r>
              <w:rPr>
                <w:rFonts w:ascii="Arial" w:cs="Arial" w:eastAsia="Arial" w:hAnsi="Arial"/>
                <w:sz w:val="16"/>
                <w:szCs w:val="16"/>
                <w:color w:val="auto"/>
              </w:rPr>
              <w:t>(39.7)%</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2,827</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5,297</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(2,470)</w:t>
            </w:r>
          </w:p>
        </w:tc>
        <w:tc>
          <w:tcPr>
            <w:tcW w:w="1500" w:type="dxa"/>
            <w:vAlign w:val="bottom"/>
          </w:tcPr>
          <w:p>
            <w:pPr>
              <w:jc w:val="right"/>
              <w:spacing w:after="0"/>
              <w:rPr>
                <w:sz w:val="20"/>
                <w:szCs w:val="20"/>
                <w:color w:val="auto"/>
              </w:rPr>
            </w:pPr>
            <w:r>
              <w:rPr>
                <w:rFonts w:ascii="Arial" w:cs="Arial" w:eastAsia="Arial" w:hAnsi="Arial"/>
                <w:sz w:val="16"/>
                <w:szCs w:val="16"/>
                <w:color w:val="auto"/>
              </w:rPr>
              <w:t>(46.6)%</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EPS-diluted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1.91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2.55</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(0.64)</w:t>
            </w:r>
          </w:p>
        </w:tc>
        <w:tc>
          <w:tcPr>
            <w:tcW w:w="150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EPS-diluted-adjusted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2.53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3.06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(0.53)</w:t>
            </w:r>
          </w:p>
        </w:tc>
        <w:tc>
          <w:tcPr>
            <w:tcW w:w="150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GMNA EBIT-adjusted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2,415</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4,433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(2,018)</w:t>
            </w:r>
          </w:p>
        </w:tc>
        <w:tc>
          <w:tcPr>
            <w:tcW w:w="1500" w:type="dxa"/>
            <w:vAlign w:val="bottom"/>
          </w:tcPr>
          <w:p>
            <w:pPr>
              <w:jc w:val="right"/>
              <w:spacing w:after="0"/>
              <w:rPr>
                <w:sz w:val="20"/>
                <w:szCs w:val="20"/>
                <w:color w:val="auto"/>
              </w:rPr>
            </w:pPr>
            <w:r>
              <w:rPr>
                <w:rFonts w:ascii="Arial" w:cs="Arial" w:eastAsia="Arial" w:hAnsi="Arial"/>
                <w:sz w:val="16"/>
                <w:szCs w:val="16"/>
                <w:color w:val="auto"/>
              </w:rPr>
              <w:t>(45.5)%</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GMNA EBIT-adjusted margin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6.1 %</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10.9 %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(4.8) ppts</w:t>
            </w:r>
          </w:p>
        </w:tc>
        <w:tc>
          <w:tcPr>
            <w:tcW w:w="1500" w:type="dxa"/>
            <w:vAlign w:val="bottom"/>
          </w:tcPr>
          <w:p>
            <w:pPr>
              <w:jc w:val="right"/>
              <w:spacing w:after="0"/>
              <w:rPr>
                <w:sz w:val="20"/>
                <w:szCs w:val="20"/>
                <w:color w:val="auto"/>
              </w:rPr>
            </w:pPr>
            <w:r>
              <w:rPr>
                <w:rFonts w:ascii="Arial" w:cs="Arial" w:eastAsia="Arial" w:hAnsi="Arial"/>
                <w:sz w:val="16"/>
                <w:szCs w:val="16"/>
                <w:color w:val="auto"/>
              </w:rPr>
              <w:t>(44.0)%</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GMI EBIT-adjusted(a)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204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154</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China equity income (loss)(a)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71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(104)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175</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 Financial EBT-adjusted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704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822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(118)</w:t>
            </w:r>
          </w:p>
        </w:tc>
        <w:tc>
          <w:tcPr>
            <w:tcW w:w="1500" w:type="dxa"/>
            <w:vAlign w:val="bottom"/>
          </w:tcPr>
          <w:p>
            <w:pPr>
              <w:jc w:val="right"/>
              <w:spacing w:after="0"/>
              <w:rPr>
                <w:sz w:val="20"/>
                <w:szCs w:val="20"/>
                <w:color w:val="auto"/>
              </w:rPr>
            </w:pPr>
            <w:r>
              <w:rPr>
                <w:rFonts w:ascii="Arial" w:cs="Arial" w:eastAsia="Arial" w:hAnsi="Arial"/>
                <w:sz w:val="16"/>
                <w:szCs w:val="16"/>
                <w:color w:val="auto"/>
              </w:rPr>
              <w:t>(14.4)%</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n.m. = not meaningful</w:t>
      </w: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Six Months Ended</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680" w:type="dxa"/>
            <w:vAlign w:val="bottom"/>
          </w:tcPr>
          <w:p>
            <w:pPr>
              <w:spacing w:after="0"/>
              <w:rPr>
                <w:sz w:val="20"/>
                <w:szCs w:val="20"/>
                <w:color w:val="auto"/>
              </w:rPr>
            </w:pPr>
            <w:r>
              <w:rPr>
                <w:rFonts w:ascii="Arial" w:cs="Arial" w:eastAsia="Arial" w:hAnsi="Arial"/>
                <w:sz w:val="16"/>
                <w:szCs w:val="16"/>
                <w:i w:val="1"/>
                <w:iCs w:val="1"/>
                <w:color w:val="auto"/>
              </w:rPr>
              <w:t>($M) except per share amounts</w:t>
            </w:r>
          </w:p>
        </w:tc>
        <w:tc>
          <w:tcPr>
            <w:tcW w:w="2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30, 2025</w:t>
            </w:r>
          </w:p>
        </w:tc>
        <w:tc>
          <w:tcPr>
            <w:tcW w:w="2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30, 2024</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Change</w:t>
            </w:r>
          </w:p>
        </w:tc>
        <w:tc>
          <w:tcPr>
            <w:tcW w:w="1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3680" w:type="dxa"/>
            <w:vAlign w:val="bottom"/>
          </w:tcPr>
          <w:p>
            <w:pPr>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91,141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90,983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158</w:t>
            </w:r>
          </w:p>
        </w:tc>
        <w:tc>
          <w:tcPr>
            <w:tcW w:w="150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215"/>
        </w:trPr>
        <w:tc>
          <w:tcPr>
            <w:tcW w:w="368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4,680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5,913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(1,233)</w:t>
            </w:r>
          </w:p>
        </w:tc>
        <w:tc>
          <w:tcPr>
            <w:tcW w:w="150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EBIT-adjusted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6,527</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8,310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(1,783)</w:t>
            </w:r>
          </w:p>
        </w:tc>
        <w:tc>
          <w:tcPr>
            <w:tcW w:w="150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Net income margin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5.1 %</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6.5 %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(1.4) ppts</w:t>
            </w:r>
          </w:p>
        </w:tc>
        <w:tc>
          <w:tcPr>
            <w:tcW w:w="150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EBIT-adjusted margin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7.2 %</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9.1 %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(1.9) ppts</w:t>
            </w:r>
          </w:p>
        </w:tc>
        <w:tc>
          <w:tcPr>
            <w:tcW w:w="150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7,057</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11,311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(4,254)</w:t>
            </w:r>
          </w:p>
        </w:tc>
        <w:tc>
          <w:tcPr>
            <w:tcW w:w="1500" w:type="dxa"/>
            <w:vAlign w:val="bottom"/>
          </w:tcPr>
          <w:p>
            <w:pPr>
              <w:jc w:val="right"/>
              <w:spacing w:after="0"/>
              <w:rPr>
                <w:sz w:val="20"/>
                <w:szCs w:val="20"/>
                <w:color w:val="auto"/>
              </w:rPr>
            </w:pPr>
            <w:r>
              <w:rPr>
                <w:rFonts w:ascii="Arial" w:cs="Arial" w:eastAsia="Arial" w:hAnsi="Arial"/>
                <w:sz w:val="16"/>
                <w:szCs w:val="16"/>
                <w:color w:val="auto"/>
              </w:rPr>
              <w:t>(37.6)%</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3,639</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6,388</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(2,749)</w:t>
            </w:r>
          </w:p>
        </w:tc>
        <w:tc>
          <w:tcPr>
            <w:tcW w:w="1500" w:type="dxa"/>
            <w:vAlign w:val="bottom"/>
          </w:tcPr>
          <w:p>
            <w:pPr>
              <w:jc w:val="right"/>
              <w:spacing w:after="0"/>
              <w:rPr>
                <w:sz w:val="20"/>
                <w:szCs w:val="20"/>
                <w:color w:val="auto"/>
              </w:rPr>
            </w:pPr>
            <w:r>
              <w:rPr>
                <w:rFonts w:ascii="Arial" w:cs="Arial" w:eastAsia="Arial" w:hAnsi="Arial"/>
                <w:sz w:val="16"/>
                <w:szCs w:val="16"/>
                <w:color w:val="auto"/>
              </w:rPr>
              <w:t>(43.0)%</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EPS-diluted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5.28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5.10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0.18</w:t>
            </w:r>
          </w:p>
        </w:tc>
        <w:tc>
          <w:tcPr>
            <w:tcW w:w="1500" w:type="dxa"/>
            <w:vAlign w:val="bottom"/>
          </w:tcPr>
          <w:p>
            <w:pPr>
              <w:jc w:val="right"/>
              <w:spacing w:after="0"/>
              <w:rPr>
                <w:sz w:val="20"/>
                <w:szCs w:val="20"/>
                <w:color w:val="auto"/>
              </w:rPr>
            </w:pPr>
            <w:r>
              <w:rPr>
                <w:rFonts w:ascii="Arial" w:cs="Arial" w:eastAsia="Arial" w:hAnsi="Arial"/>
                <w:sz w:val="16"/>
                <w:szCs w:val="16"/>
                <w:color w:val="auto"/>
              </w:rPr>
              <w:t>3.5 %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EPS-diluted-adjusted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5.31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5.68</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(0.37)</w:t>
            </w:r>
          </w:p>
        </w:tc>
        <w:tc>
          <w:tcPr>
            <w:tcW w:w="15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GMNA EBIT-adjusted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5,702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8,273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(2,571)</w:t>
            </w:r>
          </w:p>
        </w:tc>
        <w:tc>
          <w:tcPr>
            <w:tcW w:w="150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GMNA EBIT-adjusted margin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7.4 %</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10.8 %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(3.4) ppts</w:t>
            </w:r>
          </w:p>
        </w:tc>
        <w:tc>
          <w:tcPr>
            <w:tcW w:w="150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GMI EBIT-adjusted(a)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234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40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194</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China equity income (loss)(a)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116</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(210)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326</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 Financial EBT-adjusted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1,389</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1,559</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(170)</w:t>
            </w:r>
          </w:p>
        </w:tc>
        <w:tc>
          <w:tcPr>
            <w:tcW w:w="1500" w:type="dxa"/>
            <w:vAlign w:val="bottom"/>
          </w:tcPr>
          <w:p>
            <w:pPr>
              <w:jc w:val="right"/>
              <w:spacing w:after="0"/>
              <w:rPr>
                <w:sz w:val="20"/>
                <w:szCs w:val="20"/>
                <w:color w:val="auto"/>
              </w:rPr>
            </w:pPr>
            <w:r>
              <w:rPr>
                <w:rFonts w:ascii="Arial" w:cs="Arial" w:eastAsia="Arial" w:hAnsi="Arial"/>
                <w:sz w:val="16"/>
                <w:szCs w:val="16"/>
                <w:color w:val="auto"/>
              </w:rPr>
              <w:t>(10.9)%</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500"/>
          </w:cols>
          <w:pgMar w:left="320" w:top="1440" w:right="1079" w:bottom="1440" w:gutter="0" w:footer="0" w:header="0"/>
        </w:sectPr>
      </w:pPr>
    </w:p>
    <w:bookmarkStart w:id="5" w:name="page6"/>
    <w:bookmarkEnd w:id="5"/>
    <w:p>
      <w:pPr>
        <w:spacing w:after="0" w:line="1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color w:val="auto"/>
        </w:rPr>
        <w:t xml:space="preserve">General Motors </w:t>
      </w:r>
      <w:r>
        <w:rPr>
          <w:rFonts w:ascii="Arial" w:cs="Arial" w:eastAsia="Arial" w:hAnsi="Arial"/>
          <w:sz w:val="18"/>
          <w:szCs w:val="18"/>
          <w:color w:val="auto"/>
        </w:rPr>
        <w:t>(NYSE:GM) is driving the future of transportation, leveraging advanced technology to build safer, smarter, and lower</w:t>
      </w:r>
      <w:r>
        <w:rPr>
          <w:rFonts w:ascii="Arial" w:cs="Arial" w:eastAsia="Arial" w:hAnsi="Arial"/>
          <w:sz w:val="18"/>
          <w:szCs w:val="18"/>
          <w:b w:val="1"/>
          <w:bCs w:val="1"/>
          <w:color w:val="auto"/>
        </w:rPr>
        <w:t xml:space="preserve"> </w:t>
      </w:r>
      <w:r>
        <w:rPr>
          <w:rFonts w:ascii="Arial" w:cs="Arial" w:eastAsia="Arial" w:hAnsi="Arial"/>
          <w:sz w:val="18"/>
          <w:szCs w:val="18"/>
          <w:color w:val="auto"/>
        </w:rPr>
        <w:t>emission cars, trucks, and SUVs. GM’s Buick, Cadillac, Chevrolet, and GMC brands offer a broad portfolio of innovative gasoline-powered vehicles and the industry’s widest range of EVs, as we move to an all-electric future. Learn more at GM.com.</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780" w:type="dxa"/>
            <w:vAlign w:val="bottom"/>
          </w:tcPr>
          <w:p>
            <w:pPr>
              <w:ind w:left="440"/>
              <w:spacing w:after="0"/>
              <w:rPr>
                <w:sz w:val="20"/>
                <w:szCs w:val="20"/>
                <w:color w:val="auto"/>
              </w:rPr>
            </w:pPr>
            <w:r>
              <w:rPr>
                <w:rFonts w:ascii="Arial" w:cs="Arial" w:eastAsia="Arial" w:hAnsi="Arial"/>
                <w:sz w:val="18"/>
                <w:szCs w:val="18"/>
                <w:b w:val="1"/>
                <w:bCs w:val="1"/>
                <w:color w:val="auto"/>
              </w:rPr>
              <w:t>###</w:t>
            </w:r>
          </w:p>
        </w:tc>
      </w:tr>
      <w:tr>
        <w:trPr>
          <w:trHeight w:val="513"/>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780" w:type="dxa"/>
            <w:vAlign w:val="bottom"/>
          </w:tcPr>
          <w:p>
            <w:pPr>
              <w:spacing w:after="0"/>
              <w:rPr>
                <w:sz w:val="24"/>
                <w:szCs w:val="24"/>
                <w:color w:val="auto"/>
              </w:rPr>
            </w:pPr>
          </w:p>
        </w:tc>
      </w:tr>
      <w:tr>
        <w:trPr>
          <w:trHeight w:val="239"/>
        </w:trPr>
        <w:tc>
          <w:tcPr>
            <w:tcW w:w="5020" w:type="dxa"/>
            <w:vAlign w:val="bottom"/>
            <w:gridSpan w:val="3"/>
          </w:tcPr>
          <w:p>
            <w:pPr>
              <w:spacing w:after="0"/>
              <w:rPr>
                <w:sz w:val="20"/>
                <w:szCs w:val="20"/>
                <w:color w:val="auto"/>
              </w:rPr>
            </w:pPr>
            <w:r>
              <w:rPr>
                <w:rFonts w:ascii="Arial" w:cs="Arial" w:eastAsia="Arial" w:hAnsi="Arial"/>
                <w:sz w:val="18"/>
                <w:szCs w:val="18"/>
                <w:color w:val="auto"/>
              </w:rPr>
              <w:t>Jim Cain</w:t>
            </w:r>
          </w:p>
        </w:tc>
        <w:tc>
          <w:tcPr>
            <w:tcW w:w="1780" w:type="dxa"/>
            <w:vAlign w:val="bottom"/>
          </w:tcPr>
          <w:p>
            <w:pPr>
              <w:spacing w:after="0"/>
              <w:rPr>
                <w:sz w:val="20"/>
                <w:szCs w:val="20"/>
                <w:color w:val="auto"/>
              </w:rPr>
            </w:pPr>
            <w:r>
              <w:rPr>
                <w:rFonts w:ascii="Arial" w:cs="Arial" w:eastAsia="Arial" w:hAnsi="Arial"/>
                <w:sz w:val="18"/>
                <w:szCs w:val="18"/>
                <w:color w:val="auto"/>
              </w:rPr>
              <w:t>Ashish Kohli, CFA</w:t>
            </w: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20"/>
                <w:szCs w:val="20"/>
                <w:color w:val="auto"/>
              </w:rPr>
            </w:pPr>
            <w:r>
              <w:rPr>
                <w:rFonts w:ascii="Arial" w:cs="Arial" w:eastAsia="Arial" w:hAnsi="Arial"/>
                <w:sz w:val="18"/>
                <w:szCs w:val="18"/>
                <w:color w:val="auto"/>
                <w:w w:val="98"/>
              </w:rPr>
              <w:t>GM Investor Relations</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313-407-2843</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847-964-3459</w:t>
            </w: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0563C1"/>
              </w:rPr>
              <w:t>james.cain@chevrolet.com</w:t>
            </w:r>
          </w:p>
        </w:tc>
        <w:tc>
          <w:tcPr>
            <w:tcW w:w="1780" w:type="dxa"/>
            <w:vAlign w:val="bottom"/>
          </w:tcPr>
          <w:p>
            <w:pPr>
              <w:spacing w:after="0" w:line="195" w:lineRule="exact"/>
              <w:rPr>
                <w:sz w:val="20"/>
                <w:szCs w:val="20"/>
                <w:color w:val="auto"/>
              </w:rPr>
            </w:pPr>
            <w:r>
              <w:rPr>
                <w:rFonts w:ascii="Arial" w:cs="Arial" w:eastAsia="Arial" w:hAnsi="Arial"/>
                <w:sz w:val="18"/>
                <w:szCs w:val="18"/>
                <w:color w:val="0563C1"/>
                <w:w w:val="99"/>
              </w:rPr>
              <w:t>ashish.kohli@gm.com</w:t>
            </w:r>
          </w:p>
        </w:tc>
      </w:tr>
      <w:tr>
        <w:trPr>
          <w:trHeight w:val="515"/>
        </w:trPr>
        <w:tc>
          <w:tcPr>
            <w:tcW w:w="2160" w:type="dxa"/>
            <w:vAlign w:val="bottom"/>
            <w:tcBorders>
              <w:top w:val="single" w:sz="8" w:color="0563C1"/>
            </w:tcBorders>
            <w:gridSpan w:val="2"/>
          </w:tcPr>
          <w:p>
            <w:pPr>
              <w:spacing w:after="0"/>
              <w:rPr>
                <w:sz w:val="20"/>
                <w:szCs w:val="20"/>
                <w:color w:val="auto"/>
              </w:rPr>
            </w:pPr>
            <w:r>
              <w:rPr>
                <w:rFonts w:ascii="Arial" w:cs="Arial" w:eastAsia="Arial" w:hAnsi="Arial"/>
                <w:sz w:val="18"/>
                <w:szCs w:val="18"/>
                <w:color w:val="auto"/>
              </w:rPr>
              <w:t>David Caldwell</w:t>
            </w:r>
          </w:p>
        </w:tc>
        <w:tc>
          <w:tcPr>
            <w:tcW w:w="2860" w:type="dxa"/>
            <w:vAlign w:val="bottom"/>
          </w:tcPr>
          <w:p>
            <w:pPr>
              <w:spacing w:after="0"/>
              <w:rPr>
                <w:sz w:val="24"/>
                <w:szCs w:val="24"/>
                <w:color w:val="auto"/>
              </w:rPr>
            </w:pPr>
          </w:p>
        </w:tc>
        <w:tc>
          <w:tcPr>
            <w:tcW w:w="1780" w:type="dxa"/>
            <w:vAlign w:val="bottom"/>
            <w:tcBorders>
              <w:top w:val="single" w:sz="8" w:color="0563C1"/>
            </w:tcBorders>
          </w:tcPr>
          <w:p>
            <w:pPr>
              <w:spacing w:after="0"/>
              <w:rPr>
                <w:sz w:val="24"/>
                <w:szCs w:val="24"/>
                <w:color w:val="auto"/>
              </w:rPr>
            </w:pP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586-899-7861</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0563C1"/>
              </w:rPr>
              <w:t>david.caldwell@gm.com</w:t>
            </w:r>
          </w:p>
        </w:tc>
        <w:tc>
          <w:tcPr>
            <w:tcW w:w="1780" w:type="dxa"/>
            <w:vAlign w:val="bottom"/>
          </w:tcPr>
          <w:p>
            <w:pPr>
              <w:spacing w:after="0"/>
              <w:rPr>
                <w:sz w:val="16"/>
                <w:szCs w:val="16"/>
                <w:color w:val="auto"/>
              </w:rPr>
            </w:pPr>
          </w:p>
        </w:tc>
      </w:tr>
      <w:tr>
        <w:trPr>
          <w:trHeight w:val="20"/>
        </w:trPr>
        <w:tc>
          <w:tcPr>
            <w:tcW w:w="19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3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Cautionary Note on Forward-Looking Statements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press release and related comments by management may include “forward-looking statements” within the meaning of the U.S. federal securities laws. Forward-looking statements are any statements other than statements of historical fact and represent our current judgment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factors, many of which are described in our most recent Annual Report on Form 10-K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Guidance Reconciliations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expected Net income attributable to stockholders to expected EBIT-adjusted (dollars in billions):</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500" w:type="dxa"/>
            <w:vAlign w:val="bottom"/>
          </w:tcPr>
          <w:p>
            <w:pPr>
              <w:spacing w:after="0"/>
              <w:rPr>
                <w:sz w:val="17"/>
                <w:szCs w:val="17"/>
                <w:color w:val="auto"/>
              </w:rPr>
            </w:pPr>
          </w:p>
        </w:tc>
        <w:tc>
          <w:tcPr>
            <w:tcW w:w="28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Year Ending December 31, 2025</w:t>
            </w: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2820" w:type="dxa"/>
            <w:vAlign w:val="bottom"/>
          </w:tcPr>
          <w:p>
            <w:pPr>
              <w:jc w:val="right"/>
              <w:spacing w:after="0"/>
              <w:rPr>
                <w:sz w:val="20"/>
                <w:szCs w:val="20"/>
                <w:color w:val="auto"/>
              </w:rPr>
            </w:pPr>
            <w:r>
              <w:rPr>
                <w:rFonts w:ascii="Arial" w:cs="Arial" w:eastAsia="Arial" w:hAnsi="Arial"/>
                <w:sz w:val="16"/>
                <w:szCs w:val="16"/>
                <w:color w:val="auto"/>
              </w:rPr>
              <w:t>$ 7.7-9.5</w:t>
            </w:r>
          </w:p>
        </w:tc>
      </w:tr>
      <w:tr>
        <w:trPr>
          <w:trHeight w:val="215"/>
        </w:trPr>
        <w:tc>
          <w:tcPr>
            <w:tcW w:w="5500" w:type="dxa"/>
            <w:vAlign w:val="bottom"/>
          </w:tcPr>
          <w:p>
            <w:pPr>
              <w:spacing w:after="0"/>
              <w:rPr>
                <w:sz w:val="20"/>
                <w:szCs w:val="20"/>
                <w:color w:val="auto"/>
              </w:rPr>
            </w:pPr>
            <w:r>
              <w:rPr>
                <w:rFonts w:ascii="Arial" w:cs="Arial" w:eastAsia="Arial" w:hAnsi="Arial"/>
                <w:sz w:val="16"/>
                <w:szCs w:val="16"/>
                <w:color w:val="auto"/>
              </w:rPr>
              <w:t>Income tax expense</w:t>
            </w:r>
          </w:p>
        </w:tc>
        <w:tc>
          <w:tcPr>
            <w:tcW w:w="2820" w:type="dxa"/>
            <w:vAlign w:val="bottom"/>
          </w:tcPr>
          <w:p>
            <w:pPr>
              <w:jc w:val="right"/>
              <w:spacing w:after="0"/>
              <w:rPr>
                <w:sz w:val="20"/>
                <w:szCs w:val="20"/>
                <w:color w:val="auto"/>
              </w:rPr>
            </w:pPr>
            <w:r>
              <w:rPr>
                <w:rFonts w:ascii="Arial" w:cs="Arial" w:eastAsia="Arial" w:hAnsi="Arial"/>
                <w:sz w:val="16"/>
                <w:szCs w:val="16"/>
                <w:color w:val="auto"/>
              </w:rPr>
              <w:t>1.6-2.3</w:t>
            </w: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Automotive interest income, net</w:t>
            </w:r>
          </w:p>
        </w:tc>
        <w:tc>
          <w:tcPr>
            <w:tcW w:w="282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Adjustments(a)</w:t>
            </w:r>
          </w:p>
        </w:tc>
        <w:tc>
          <w:tcPr>
            <w:tcW w:w="2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0.7</w:t>
            </w: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EBIT-adjusted</w:t>
            </w:r>
          </w:p>
        </w:tc>
        <w:tc>
          <w:tcPr>
            <w:tcW w:w="2820" w:type="dxa"/>
            <w:vAlign w:val="bottom"/>
          </w:tcPr>
          <w:p>
            <w:pPr>
              <w:jc w:val="right"/>
              <w:spacing w:after="0"/>
              <w:rPr>
                <w:sz w:val="20"/>
                <w:szCs w:val="20"/>
                <w:color w:val="auto"/>
              </w:rPr>
            </w:pPr>
            <w:r>
              <w:rPr>
                <w:rFonts w:ascii="Arial" w:cs="Arial" w:eastAsia="Arial" w:hAnsi="Arial"/>
                <w:sz w:val="16"/>
                <w:szCs w:val="16"/>
                <w:color w:val="auto"/>
              </w:rPr>
              <w:t>$ 10.0-12.5</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hanging="332"/>
        <w:spacing w:after="0" w:line="284"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to EBIT-adjusted and segment profit (loss) for adjustment details. These expected financial results do not include the potential impact of future adjustments related to special items.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expected EPS-diluted to expected EPS-diluted-adjusted:</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500" w:type="dxa"/>
            <w:vAlign w:val="bottom"/>
          </w:tcPr>
          <w:p>
            <w:pPr>
              <w:spacing w:after="0"/>
              <w:rPr>
                <w:sz w:val="17"/>
                <w:szCs w:val="17"/>
                <w:color w:val="auto"/>
              </w:rPr>
            </w:pPr>
          </w:p>
        </w:tc>
        <w:tc>
          <w:tcPr>
            <w:tcW w:w="28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Year Ending December 31, 2025</w:t>
            </w: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2820" w:type="dxa"/>
            <w:vAlign w:val="bottom"/>
          </w:tcPr>
          <w:p>
            <w:pPr>
              <w:jc w:val="right"/>
              <w:spacing w:after="0"/>
              <w:rPr>
                <w:sz w:val="20"/>
                <w:szCs w:val="20"/>
                <w:color w:val="auto"/>
              </w:rPr>
            </w:pPr>
            <w:r>
              <w:rPr>
                <w:rFonts w:ascii="Arial" w:cs="Arial" w:eastAsia="Arial" w:hAnsi="Arial"/>
                <w:sz w:val="16"/>
                <w:szCs w:val="16"/>
                <w:color w:val="auto"/>
              </w:rPr>
              <w:t>$ 8.22-9.97</w:t>
            </w:r>
          </w:p>
        </w:tc>
      </w:tr>
      <w:tr>
        <w:trPr>
          <w:trHeight w:val="215"/>
        </w:trPr>
        <w:tc>
          <w:tcPr>
            <w:tcW w:w="5500" w:type="dxa"/>
            <w:vAlign w:val="bottom"/>
          </w:tcPr>
          <w:p>
            <w:pPr>
              <w:spacing w:after="0"/>
              <w:rPr>
                <w:sz w:val="20"/>
                <w:szCs w:val="20"/>
                <w:color w:val="auto"/>
              </w:rPr>
            </w:pPr>
            <w:r>
              <w:rPr>
                <w:rFonts w:ascii="Arial" w:cs="Arial" w:eastAsia="Arial" w:hAnsi="Arial"/>
                <w:sz w:val="16"/>
                <w:szCs w:val="16"/>
                <w:color w:val="auto"/>
              </w:rPr>
              <w:t>Adjustments(a)</w:t>
            </w:r>
          </w:p>
        </w:tc>
        <w:tc>
          <w:tcPr>
            <w:tcW w:w="2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0.03</w:t>
            </w: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EPS-diluted-adjusted</w:t>
            </w:r>
          </w:p>
        </w:tc>
        <w:tc>
          <w:tcPr>
            <w:tcW w:w="2820" w:type="dxa"/>
            <w:vAlign w:val="bottom"/>
          </w:tcPr>
          <w:p>
            <w:pPr>
              <w:jc w:val="right"/>
              <w:spacing w:after="0"/>
              <w:rPr>
                <w:sz w:val="20"/>
                <w:szCs w:val="20"/>
                <w:color w:val="auto"/>
              </w:rPr>
            </w:pPr>
            <w:r>
              <w:rPr>
                <w:rFonts w:ascii="Arial" w:cs="Arial" w:eastAsia="Arial" w:hAnsi="Arial"/>
                <w:sz w:val="16"/>
                <w:szCs w:val="16"/>
                <w:color w:val="auto"/>
              </w:rPr>
              <w:t>$ 8.25-10.00</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hanging="332"/>
        <w:spacing w:after="0" w:line="284"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Refer to the reconciliation of diluted earnings per common share to EPS-diluted-adjusted for adjustment details. These expected financial results do not include the potential impact of future adjustments related to special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 reconciles expected automotive net cash provided by operating activities to expected adjusted automotive free cash flow (dollars in billions):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500" w:type="dxa"/>
            <w:vAlign w:val="bottom"/>
          </w:tcPr>
          <w:p>
            <w:pPr>
              <w:spacing w:after="0"/>
              <w:rPr>
                <w:sz w:val="17"/>
                <w:szCs w:val="17"/>
                <w:color w:val="auto"/>
              </w:rPr>
            </w:pPr>
          </w:p>
        </w:tc>
        <w:tc>
          <w:tcPr>
            <w:tcW w:w="28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Year Ending December 31, 2025</w:t>
            </w: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Net automotive cash provided by operating activities</w:t>
            </w:r>
          </w:p>
        </w:tc>
        <w:tc>
          <w:tcPr>
            <w:tcW w:w="2820" w:type="dxa"/>
            <w:vAlign w:val="bottom"/>
          </w:tcPr>
          <w:p>
            <w:pPr>
              <w:jc w:val="right"/>
              <w:spacing w:after="0"/>
              <w:rPr>
                <w:sz w:val="20"/>
                <w:szCs w:val="20"/>
                <w:color w:val="auto"/>
              </w:rPr>
            </w:pPr>
            <w:r>
              <w:rPr>
                <w:rFonts w:ascii="Arial" w:cs="Arial" w:eastAsia="Arial" w:hAnsi="Arial"/>
                <w:sz w:val="16"/>
                <w:szCs w:val="16"/>
                <w:color w:val="auto"/>
              </w:rPr>
              <w:t>$ 17.0-20.5</w:t>
            </w:r>
          </w:p>
        </w:tc>
      </w:tr>
      <w:tr>
        <w:trPr>
          <w:trHeight w:val="215"/>
        </w:trPr>
        <w:tc>
          <w:tcPr>
            <w:tcW w:w="5500" w:type="dxa"/>
            <w:vAlign w:val="bottom"/>
          </w:tcPr>
          <w:p>
            <w:pPr>
              <w:spacing w:after="0"/>
              <w:rPr>
                <w:sz w:val="20"/>
                <w:szCs w:val="20"/>
                <w:color w:val="auto"/>
              </w:rPr>
            </w:pPr>
            <w:r>
              <w:rPr>
                <w:rFonts w:ascii="Arial" w:cs="Arial" w:eastAsia="Arial" w:hAnsi="Arial"/>
                <w:sz w:val="16"/>
                <w:szCs w:val="16"/>
                <w:color w:val="auto"/>
              </w:rPr>
              <w:t>Less: Capital expenditures</w:t>
            </w:r>
          </w:p>
        </w:tc>
        <w:tc>
          <w:tcPr>
            <w:tcW w:w="2820" w:type="dxa"/>
            <w:vAlign w:val="bottom"/>
          </w:tcPr>
          <w:p>
            <w:pPr>
              <w:jc w:val="right"/>
              <w:spacing w:after="0"/>
              <w:rPr>
                <w:sz w:val="20"/>
                <w:szCs w:val="20"/>
                <w:color w:val="auto"/>
              </w:rPr>
            </w:pPr>
            <w:r>
              <w:rPr>
                <w:rFonts w:ascii="Arial" w:cs="Arial" w:eastAsia="Arial" w:hAnsi="Arial"/>
                <w:sz w:val="16"/>
                <w:szCs w:val="16"/>
                <w:color w:val="auto"/>
              </w:rPr>
              <w:t>10.0-11.0</w:t>
            </w: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Adjustments</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Adjusted automotive free cash flow(a)</w:t>
            </w:r>
          </w:p>
        </w:tc>
        <w:tc>
          <w:tcPr>
            <w:tcW w:w="2820" w:type="dxa"/>
            <w:vAlign w:val="bottom"/>
          </w:tcPr>
          <w:p>
            <w:pPr>
              <w:jc w:val="right"/>
              <w:spacing w:after="0"/>
              <w:rPr>
                <w:sz w:val="20"/>
                <w:szCs w:val="20"/>
                <w:color w:val="auto"/>
              </w:rPr>
            </w:pPr>
            <w:r>
              <w:rPr>
                <w:rFonts w:ascii="Arial" w:cs="Arial" w:eastAsia="Arial" w:hAnsi="Arial"/>
                <w:sz w:val="16"/>
                <w:szCs w:val="16"/>
                <w:color w:val="auto"/>
              </w:rPr>
              <w:t>$ 7.5-10.0</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These expected financial results do not include the potential impact of future adjustments related to special items.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3" w:lineRule="exact"/>
        <w:rPr>
          <w:rFonts w:ascii="Arial" w:cs="Arial" w:eastAsia="Arial" w:hAnsi="Arial"/>
          <w:sz w:val="14"/>
          <w:szCs w:val="14"/>
          <w:color w:val="auto"/>
        </w:rPr>
      </w:pPr>
    </w:p>
    <w:p>
      <w:pPr>
        <w:ind w:left="5900"/>
        <w:spacing w:after="0"/>
        <w:rPr>
          <w:rFonts w:ascii="Arial" w:cs="Arial" w:eastAsia="Arial" w:hAnsi="Arial"/>
          <w:sz w:val="14"/>
          <w:szCs w:val="14"/>
          <w:color w:val="auto"/>
        </w:rPr>
      </w:pPr>
      <w:r>
        <w:rPr>
          <w:rFonts w:ascii="Arial" w:cs="Arial" w:eastAsia="Arial" w:hAnsi="Arial"/>
          <w:sz w:val="16"/>
          <w:szCs w:val="16"/>
          <w:color w:val="auto"/>
        </w:rPr>
        <w:t>4</w:t>
      </w:r>
    </w:p>
    <w:p>
      <w:pPr>
        <w:sectPr>
          <w:pgSz w:w="11900" w:h="16838" w:orient="portrait"/>
          <w:cols w:equalWidth="0" w:num="1">
            <w:col w:w="11220"/>
          </w:cols>
          <w:pgMar w:left="320" w:top="1440" w:right="359" w:bottom="1440" w:gutter="0" w:footer="0" w:header="0"/>
        </w:sectPr>
      </w:pPr>
    </w:p>
    <w:bookmarkStart w:id="7" w:name="page8"/>
    <w:bookmarkEnd w:id="7"/>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Combining Income Statement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millions) (Unaudited)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6"/>
          </w:tcPr>
          <w:p>
            <w:pPr>
              <w:jc w:val="center"/>
              <w:ind w:right="74"/>
              <w:spacing w:after="0"/>
              <w:rPr>
                <w:sz w:val="20"/>
                <w:szCs w:val="20"/>
                <w:color w:val="auto"/>
              </w:rPr>
            </w:pPr>
            <w:r>
              <w:rPr>
                <w:rFonts w:ascii="Arial" w:cs="Arial" w:eastAsia="Arial" w:hAnsi="Arial"/>
                <w:sz w:val="11"/>
                <w:szCs w:val="11"/>
                <w:b w:val="1"/>
                <w:bCs w:val="1"/>
                <w:color w:val="auto"/>
                <w:w w:val="98"/>
              </w:rPr>
              <w:t>Three Months Ended June 30, 2025</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9"/>
          </w:tcPr>
          <w:p>
            <w:pPr>
              <w:jc w:val="center"/>
              <w:ind w:left="310"/>
              <w:spacing w:after="0"/>
              <w:rPr>
                <w:sz w:val="20"/>
                <w:szCs w:val="20"/>
                <w:color w:val="auto"/>
              </w:rPr>
            </w:pPr>
            <w:r>
              <w:rPr>
                <w:rFonts w:ascii="Arial" w:cs="Arial" w:eastAsia="Arial" w:hAnsi="Arial"/>
                <w:sz w:val="11"/>
                <w:szCs w:val="11"/>
                <w:b w:val="1"/>
                <w:bCs w:val="1"/>
                <w:color w:val="auto"/>
                <w:w w:val="98"/>
              </w:rPr>
              <w:t>Three Months Ended June 30, 2024</w:t>
            </w: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460" w:type="dxa"/>
            <w:vAlign w:val="bottom"/>
            <w:vMerge w:val="restart"/>
          </w:tcPr>
          <w:p>
            <w:pPr>
              <w:jc w:val="right"/>
              <w:ind w:right="29"/>
              <w:spacing w:after="0"/>
              <w:rPr>
                <w:sz w:val="20"/>
                <w:szCs w:val="20"/>
                <w:color w:val="auto"/>
              </w:rPr>
            </w:pPr>
            <w:r>
              <w:rPr>
                <w:rFonts w:ascii="Arial" w:cs="Arial" w:eastAsia="Arial" w:hAnsi="Arial"/>
                <w:sz w:val="11"/>
                <w:szCs w:val="11"/>
                <w:b w:val="1"/>
                <w:bCs w:val="1"/>
                <w:color w:val="auto"/>
                <w:w w:val="99"/>
              </w:rPr>
              <w:t>Cruise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00" w:type="dxa"/>
            <w:vAlign w:val="bottom"/>
          </w:tcPr>
          <w:p>
            <w:pPr>
              <w:spacing w:after="0"/>
              <w:rPr>
                <w:sz w:val="9"/>
                <w:szCs w:val="9"/>
                <w:color w:val="auto"/>
              </w:rPr>
            </w:pPr>
          </w:p>
        </w:tc>
        <w:tc>
          <w:tcPr>
            <w:tcW w:w="620" w:type="dxa"/>
            <w:vAlign w:val="bottom"/>
            <w:vMerge w:val="restart"/>
          </w:tcPr>
          <w:p>
            <w:pPr>
              <w:jc w:val="right"/>
              <w:ind w:right="29"/>
              <w:spacing w:after="0"/>
              <w:rPr>
                <w:sz w:val="20"/>
                <w:szCs w:val="20"/>
                <w:color w:val="auto"/>
              </w:rPr>
            </w:pPr>
            <w:r>
              <w:rPr>
                <w:rFonts w:ascii="Arial" w:cs="Arial" w:eastAsia="Arial" w:hAnsi="Arial"/>
                <w:sz w:val="11"/>
                <w:szCs w:val="11"/>
                <w:b w:val="1"/>
                <w:bCs w:val="1"/>
                <w:color w:val="auto"/>
                <w:w w:val="92"/>
              </w:rPr>
              <w:t>Combined</w:t>
            </w:r>
          </w:p>
        </w:tc>
        <w:tc>
          <w:tcPr>
            <w:tcW w:w="100" w:type="dxa"/>
            <w:vAlign w:val="bottom"/>
          </w:tcPr>
          <w:p>
            <w:pPr>
              <w:spacing w:after="0"/>
              <w:rPr>
                <w:sz w:val="9"/>
                <w:szCs w:val="9"/>
                <w:color w:val="auto"/>
              </w:rPr>
            </w:pPr>
          </w:p>
        </w:tc>
        <w:tc>
          <w:tcPr>
            <w:tcW w:w="84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9"/>
                <w:szCs w:val="9"/>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Cruise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3"/>
          </w:tcPr>
          <w:p>
            <w:pPr>
              <w:jc w:val="center"/>
              <w:ind w:right="220"/>
              <w:spacing w:after="0" w:line="109" w:lineRule="exact"/>
              <w:rPr>
                <w:sz w:val="20"/>
                <w:szCs w:val="20"/>
                <w:color w:val="auto"/>
              </w:rPr>
            </w:pPr>
            <w:r>
              <w:rPr>
                <w:rFonts w:ascii="Arial" w:cs="Arial" w:eastAsia="Arial" w:hAnsi="Arial"/>
                <w:sz w:val="11"/>
                <w:szCs w:val="11"/>
                <w:b w:val="1"/>
                <w:bCs w:val="1"/>
                <w:color w:val="auto"/>
              </w:rPr>
              <w:t>GM</w:t>
            </w:r>
          </w:p>
        </w:tc>
        <w:tc>
          <w:tcPr>
            <w:tcW w:w="170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00" w:type="dxa"/>
            <w:vAlign w:val="bottom"/>
          </w:tcPr>
          <w:p>
            <w:pPr>
              <w:spacing w:after="0"/>
              <w:rPr>
                <w:sz w:val="9"/>
                <w:szCs w:val="9"/>
                <w:color w:val="auto"/>
              </w:rPr>
            </w:pPr>
          </w:p>
        </w:tc>
        <w:tc>
          <w:tcPr>
            <w:tcW w:w="620" w:type="dxa"/>
            <w:vAlign w:val="bottom"/>
            <w:vMerge w:val="restart"/>
          </w:tcPr>
          <w:p>
            <w:pPr>
              <w:jc w:val="right"/>
              <w:ind w:right="29"/>
              <w:spacing w:after="0"/>
              <w:rPr>
                <w:sz w:val="20"/>
                <w:szCs w:val="20"/>
                <w:color w:val="auto"/>
              </w:rPr>
            </w:pPr>
            <w:r>
              <w:rPr>
                <w:rFonts w:ascii="Arial" w:cs="Arial" w:eastAsia="Arial" w:hAnsi="Arial"/>
                <w:sz w:val="11"/>
                <w:szCs w:val="11"/>
                <w:b w:val="1"/>
                <w:bCs w:val="1"/>
                <w:color w:val="auto"/>
                <w:w w:val="92"/>
              </w:rPr>
              <w:t>Combined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20" w:type="dxa"/>
            <w:vAlign w:val="bottom"/>
            <w:gridSpan w:val="2"/>
          </w:tcPr>
          <w:p>
            <w:pPr>
              <w:ind w:left="20"/>
              <w:spacing w:after="0"/>
              <w:rPr>
                <w:sz w:val="20"/>
                <w:szCs w:val="20"/>
                <w:color w:val="auto"/>
              </w:rPr>
            </w:pPr>
            <w:r>
              <w:rPr>
                <w:rFonts w:ascii="Arial" w:cs="Arial" w:eastAsia="Arial" w:hAnsi="Arial"/>
                <w:sz w:val="13"/>
                <w:szCs w:val="13"/>
                <w:b w:val="1"/>
                <w:bCs w:val="1"/>
                <w:color w:val="auto"/>
              </w:rPr>
              <w:t>Net sales and revenue</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7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Automotive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42,869</w:t>
            </w: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44,060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44,060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20" w:type="dxa"/>
            <w:vAlign w:val="bottom"/>
            <w:gridSpan w:val="2"/>
          </w:tcPr>
          <w:p>
            <w:pPr>
              <w:ind w:left="140"/>
              <w:spacing w:after="0"/>
              <w:rPr>
                <w:sz w:val="20"/>
                <w:szCs w:val="20"/>
                <w:color w:val="auto"/>
              </w:rPr>
            </w:pPr>
            <w:r>
              <w:rPr>
                <w:rFonts w:ascii="Arial" w:cs="Arial" w:eastAsia="Arial" w:hAnsi="Arial"/>
                <w:sz w:val="13"/>
                <w:szCs w:val="13"/>
                <w:color w:val="auto"/>
              </w:rPr>
              <w:t>GM Financial</w:t>
            </w:r>
          </w:p>
        </w:tc>
        <w:tc>
          <w:tcPr>
            <w:tcW w:w="160" w:type="dxa"/>
            <w:vAlign w:val="bottom"/>
          </w:tcPr>
          <w:p>
            <w:pPr>
              <w:spacing w:after="0"/>
              <w:rPr>
                <w:sz w:val="17"/>
                <w:szCs w:val="17"/>
                <w:color w:val="auto"/>
              </w:rPr>
            </w:pPr>
          </w:p>
        </w:tc>
        <w:tc>
          <w:tcPr>
            <w:tcW w:w="68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4,255</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3,918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3,908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7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w w:val="97"/>
              </w:rPr>
              <w:t>Total net sales and revenue</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42,869</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4,255</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47,122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44,060</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3,918</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47,969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20" w:type="dxa"/>
            <w:vAlign w:val="bottom"/>
            <w:gridSpan w:val="2"/>
          </w:tcPr>
          <w:p>
            <w:pPr>
              <w:ind w:left="20"/>
              <w:spacing w:after="0"/>
              <w:rPr>
                <w:sz w:val="20"/>
                <w:szCs w:val="20"/>
                <w:color w:val="auto"/>
              </w:rPr>
            </w:pPr>
            <w:r>
              <w:rPr>
                <w:rFonts w:ascii="Arial" w:cs="Arial" w:eastAsia="Arial" w:hAnsi="Arial"/>
                <w:sz w:val="13"/>
                <w:szCs w:val="13"/>
                <w:b w:val="1"/>
                <w:bCs w:val="1"/>
                <w:color w:val="auto"/>
              </w:rPr>
              <w:t>Costs and expenses</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720" w:type="dxa"/>
            <w:vAlign w:val="bottom"/>
            <w:gridSpan w:val="2"/>
            <w:shd w:val="clear" w:color="auto" w:fill="CCEEFF"/>
          </w:tcPr>
          <w:p>
            <w:pPr>
              <w:ind w:left="140"/>
              <w:spacing w:after="0" w:line="123" w:lineRule="exact"/>
              <w:rPr>
                <w:sz w:val="20"/>
                <w:szCs w:val="20"/>
                <w:color w:val="auto"/>
              </w:rPr>
            </w:pPr>
            <w:r>
              <w:rPr>
                <w:rFonts w:ascii="Arial" w:cs="Arial" w:eastAsia="Arial" w:hAnsi="Arial"/>
                <w:sz w:val="13"/>
                <w:szCs w:val="13"/>
                <w:color w:val="auto"/>
              </w:rPr>
              <w:t>Automotive and other cost</w:t>
            </w: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39,289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39,289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37,592</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1,023</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0"/>
                <w:szCs w:val="10"/>
                <w:color w:val="auto"/>
              </w:rPr>
            </w:pPr>
          </w:p>
        </w:tc>
        <w:tc>
          <w:tcPr>
            <w:tcW w:w="620" w:type="dxa"/>
            <w:vAlign w:val="bottom"/>
            <w:gridSpan w:val="4"/>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38,615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of sales</w:t>
            </w:r>
          </w:p>
        </w:tc>
        <w:tc>
          <w:tcPr>
            <w:tcW w:w="1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3"/>
            <w:vMerge w:val="continue"/>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20" w:type="dxa"/>
            <w:vAlign w:val="bottom"/>
            <w:gridSpan w:val="2"/>
          </w:tcPr>
          <w:p>
            <w:pPr>
              <w:ind w:left="140"/>
              <w:spacing w:after="0" w:line="122" w:lineRule="exact"/>
              <w:rPr>
                <w:sz w:val="20"/>
                <w:szCs w:val="20"/>
                <w:color w:val="auto"/>
              </w:rPr>
            </w:pPr>
            <w:r>
              <w:rPr>
                <w:rFonts w:ascii="Arial" w:cs="Arial" w:eastAsia="Arial" w:hAnsi="Arial"/>
                <w:sz w:val="13"/>
                <w:szCs w:val="13"/>
                <w:color w:val="auto"/>
              </w:rPr>
              <w:t>GM Financial interest,</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ind w:left="300"/>
              <w:spacing w:after="0" w:line="122" w:lineRule="exact"/>
              <w:rPr>
                <w:sz w:val="20"/>
                <w:szCs w:val="20"/>
                <w:color w:val="auto"/>
              </w:rPr>
            </w:pPr>
            <w:r>
              <w:rPr>
                <w:rFonts w:ascii="Arial" w:cs="Arial" w:eastAsia="Arial" w:hAnsi="Arial"/>
                <w:sz w:val="13"/>
                <w:szCs w:val="13"/>
                <w:color w:val="auto"/>
              </w:rPr>
              <w:t>operating and other</w:t>
            </w:r>
          </w:p>
        </w:tc>
        <w:tc>
          <w:tcPr>
            <w:tcW w:w="160" w:type="dxa"/>
            <w:vAlign w:val="bottom"/>
          </w:tcPr>
          <w:p>
            <w:pPr>
              <w:spacing w:after="0"/>
              <w:rPr>
                <w:sz w:val="10"/>
                <w:szCs w:val="10"/>
                <w:color w:val="auto"/>
              </w:rPr>
            </w:pPr>
          </w:p>
        </w:tc>
        <w:tc>
          <w:tcPr>
            <w:tcW w:w="68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3,567</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4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3,567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3,109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gridSpan w:val="4"/>
            <w:vMerge w:val="restart"/>
          </w:tcPr>
          <w:p>
            <w:pPr>
              <w:ind w:lef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3,109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720" w:type="dxa"/>
            <w:vAlign w:val="bottom"/>
            <w:gridSpan w:val="2"/>
          </w:tcPr>
          <w:p>
            <w:pPr>
              <w:ind w:left="300"/>
              <w:spacing w:after="0"/>
              <w:rPr>
                <w:sz w:val="20"/>
                <w:szCs w:val="20"/>
                <w:color w:val="auto"/>
              </w:rPr>
            </w:pPr>
            <w:r>
              <w:rPr>
                <w:rFonts w:ascii="Arial" w:cs="Arial" w:eastAsia="Arial" w:hAnsi="Arial"/>
                <w:sz w:val="13"/>
                <w:szCs w:val="13"/>
                <w:color w:val="auto"/>
              </w:rPr>
              <w:t>expenses</w:t>
            </w:r>
          </w:p>
        </w:tc>
        <w:tc>
          <w:tcPr>
            <w:tcW w:w="160" w:type="dxa"/>
            <w:vAlign w:val="bottom"/>
          </w:tcPr>
          <w:p>
            <w:pPr>
              <w:spacing w:after="0"/>
              <w:rPr>
                <w:sz w:val="16"/>
                <w:szCs w:val="16"/>
                <w:color w:val="auto"/>
              </w:rPr>
            </w:pPr>
          </w:p>
        </w:tc>
        <w:tc>
          <w:tcPr>
            <w:tcW w:w="6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gridSpan w:val="2"/>
            <w:shd w:val="clear" w:color="auto" w:fill="CCEEFF"/>
          </w:tcPr>
          <w:p>
            <w:pPr>
              <w:ind w:left="140"/>
              <w:spacing w:after="0" w:line="126" w:lineRule="exact"/>
              <w:rPr>
                <w:sz w:val="20"/>
                <w:szCs w:val="20"/>
                <w:color w:val="auto"/>
              </w:rPr>
            </w:pPr>
            <w:r>
              <w:rPr>
                <w:rFonts w:ascii="Arial" w:cs="Arial" w:eastAsia="Arial" w:hAnsi="Arial"/>
                <w:sz w:val="13"/>
                <w:szCs w:val="13"/>
                <w:color w:val="auto"/>
              </w:rPr>
              <w:t>Automotive and other</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ind w:left="300"/>
              <w:spacing w:after="0" w:line="122" w:lineRule="exact"/>
              <w:rPr>
                <w:sz w:val="20"/>
                <w:szCs w:val="20"/>
                <w:color w:val="auto"/>
              </w:rPr>
            </w:pPr>
            <w:r>
              <w:rPr>
                <w:rFonts w:ascii="Arial" w:cs="Arial" w:eastAsia="Arial" w:hAnsi="Arial"/>
                <w:sz w:val="13"/>
                <w:szCs w:val="13"/>
                <w:color w:val="auto"/>
              </w:rPr>
              <w:t>selling, general and</w:t>
            </w: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2,234</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7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administrative expense</w:t>
            </w:r>
          </w:p>
        </w:tc>
        <w:tc>
          <w:tcPr>
            <w:tcW w:w="1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3"/>
            <w:vMerge w:val="continue"/>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Total costs and expenses</w:t>
            </w: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41,431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3,567</w:t>
            </w:r>
          </w:p>
        </w:tc>
        <w:tc>
          <w:tcPr>
            <w:tcW w:w="10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44,995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39,827</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3,109</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44,096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7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Operating income (loss)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20" w:type="dxa"/>
            <w:vAlign w:val="bottom"/>
            <w:gridSpan w:val="2"/>
          </w:tcPr>
          <w:p>
            <w:pPr>
              <w:ind w:left="20"/>
              <w:spacing w:after="0"/>
              <w:rPr>
                <w:sz w:val="20"/>
                <w:szCs w:val="20"/>
                <w:color w:val="auto"/>
              </w:rPr>
            </w:pPr>
            <w:r>
              <w:rPr>
                <w:rFonts w:ascii="Arial" w:cs="Arial" w:eastAsia="Arial" w:hAnsi="Arial"/>
                <w:sz w:val="13"/>
                <w:szCs w:val="13"/>
                <w:color w:val="auto"/>
              </w:rPr>
              <w:t>Automotive interest expense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20" w:type="dxa"/>
            <w:vAlign w:val="bottom"/>
            <w:gridSpan w:val="2"/>
            <w:shd w:val="clear" w:color="auto" w:fill="CCEEFF"/>
          </w:tcPr>
          <w:p>
            <w:pPr>
              <w:ind w:left="20"/>
              <w:spacing w:after="0" w:line="126" w:lineRule="exact"/>
              <w:rPr>
                <w:sz w:val="20"/>
                <w:szCs w:val="20"/>
                <w:color w:val="auto"/>
              </w:rPr>
            </w:pPr>
            <w:r>
              <w:rPr>
                <w:rFonts w:ascii="Arial" w:cs="Arial" w:eastAsia="Arial" w:hAnsi="Arial"/>
                <w:sz w:val="13"/>
                <w:szCs w:val="13"/>
                <w:color w:val="auto"/>
              </w:rPr>
              <w:t>Interest income and other</w:t>
            </w: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non-operating income, net</w:t>
            </w:r>
          </w:p>
        </w:tc>
        <w:tc>
          <w:tcPr>
            <w:tcW w:w="1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3"/>
            <w:vMerge w:val="continue"/>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Equity income (loss)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72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2"/>
                <w:szCs w:val="12"/>
                <w:color w:val="auto"/>
              </w:rPr>
              <w:t>Income (loss) before income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100" w:type="dxa"/>
            <w:vAlign w:val="bottom"/>
            <w:shd w:val="clear" w:color="auto" w:fill="CCEEFF"/>
          </w:tcPr>
          <w:p>
            <w:pPr>
              <w:spacing w:after="0"/>
              <w:rPr>
                <w:sz w:val="9"/>
                <w:szCs w:val="9"/>
                <w:color w:val="auto"/>
              </w:rPr>
            </w:pPr>
          </w:p>
        </w:tc>
        <w:tc>
          <w:tcPr>
            <w:tcW w:w="1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26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4,063</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20" w:type="dxa"/>
            <w:vAlign w:val="bottom"/>
            <w:shd w:val="clear" w:color="auto" w:fill="CCEEFF"/>
          </w:tcPr>
          <w:p>
            <w:pPr>
              <w:spacing w:after="0"/>
              <w:rPr>
                <w:sz w:val="9"/>
                <w:szCs w:val="9"/>
                <w:color w:val="auto"/>
              </w:rPr>
            </w:pP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taxes</w:t>
            </w:r>
          </w:p>
        </w:tc>
        <w:tc>
          <w:tcPr>
            <w:tcW w:w="16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260" w:type="dxa"/>
            <w:vAlign w:val="bottom"/>
            <w:gridSpan w:val="3"/>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3"/>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Income tax expense (benefit)</w:t>
            </w: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9"/>
              </w:rPr>
              <w:t>Net loss (income) attributable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72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to noncontrolling interests</w:t>
            </w:r>
          </w:p>
        </w:tc>
        <w:tc>
          <w:tcPr>
            <w:tcW w:w="1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2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rPr>
              <w:t>Net income (loss)</w:t>
            </w: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rPr>
              <w:t>attributable to</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1,895</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2,933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3"/>
                <w:szCs w:val="13"/>
                <w:b w:val="1"/>
                <w:bCs w:val="1"/>
                <w:color w:val="auto"/>
              </w:rPr>
              <w:t>Net income (loss)</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rPr>
              <w:t>attributable to common</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1,865</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3"/>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center"/>
              <w:ind w:right="114"/>
              <w:spacing w:after="0"/>
              <w:rPr>
                <w:sz w:val="20"/>
                <w:szCs w:val="20"/>
                <w:color w:val="auto"/>
              </w:rPr>
            </w:pPr>
            <w:r>
              <w:rPr>
                <w:rFonts w:ascii="Arial" w:cs="Arial" w:eastAsia="Arial" w:hAnsi="Arial"/>
                <w:sz w:val="11"/>
                <w:szCs w:val="11"/>
                <w:b w:val="1"/>
                <w:bCs w:val="1"/>
                <w:color w:val="auto"/>
                <w:w w:val="97"/>
              </w:rPr>
              <w:t>Six Months Ended June 30, 2025</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center"/>
              <w:ind w:right="134"/>
              <w:spacing w:after="0"/>
              <w:rPr>
                <w:sz w:val="20"/>
                <w:szCs w:val="20"/>
                <w:color w:val="auto"/>
              </w:rPr>
            </w:pPr>
            <w:r>
              <w:rPr>
                <w:rFonts w:ascii="Arial" w:cs="Arial" w:eastAsia="Arial" w:hAnsi="Arial"/>
                <w:sz w:val="11"/>
                <w:szCs w:val="11"/>
                <w:b w:val="1"/>
                <w:bCs w:val="1"/>
                <w:color w:val="auto"/>
                <w:w w:val="98"/>
              </w:rPr>
              <w:t>Six Months Ended June 30, 2024</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460" w:type="dxa"/>
            <w:vAlign w:val="bottom"/>
            <w:vMerge w:val="restart"/>
          </w:tcPr>
          <w:p>
            <w:pPr>
              <w:jc w:val="right"/>
              <w:ind w:right="29"/>
              <w:spacing w:after="0"/>
              <w:rPr>
                <w:sz w:val="20"/>
                <w:szCs w:val="20"/>
                <w:color w:val="auto"/>
              </w:rPr>
            </w:pPr>
            <w:r>
              <w:rPr>
                <w:rFonts w:ascii="Arial" w:cs="Arial" w:eastAsia="Arial" w:hAnsi="Arial"/>
                <w:sz w:val="11"/>
                <w:szCs w:val="11"/>
                <w:b w:val="1"/>
                <w:bCs w:val="1"/>
                <w:color w:val="auto"/>
                <w:w w:val="99"/>
              </w:rPr>
              <w:t>Cruise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00" w:type="dxa"/>
            <w:vAlign w:val="bottom"/>
          </w:tcPr>
          <w:p>
            <w:pPr>
              <w:spacing w:after="0"/>
              <w:rPr>
                <w:sz w:val="9"/>
                <w:szCs w:val="9"/>
                <w:color w:val="auto"/>
              </w:rPr>
            </w:pPr>
          </w:p>
        </w:tc>
        <w:tc>
          <w:tcPr>
            <w:tcW w:w="620" w:type="dxa"/>
            <w:vAlign w:val="bottom"/>
            <w:vMerge w:val="restart"/>
          </w:tcPr>
          <w:p>
            <w:pPr>
              <w:jc w:val="right"/>
              <w:ind w:right="29"/>
              <w:spacing w:after="0"/>
              <w:rPr>
                <w:sz w:val="20"/>
                <w:szCs w:val="20"/>
                <w:color w:val="auto"/>
              </w:rPr>
            </w:pPr>
            <w:r>
              <w:rPr>
                <w:rFonts w:ascii="Arial" w:cs="Arial" w:eastAsia="Arial" w:hAnsi="Arial"/>
                <w:sz w:val="11"/>
                <w:szCs w:val="11"/>
                <w:b w:val="1"/>
                <w:bCs w:val="1"/>
                <w:color w:val="auto"/>
                <w:w w:val="92"/>
              </w:rPr>
              <w:t>Combined</w:t>
            </w:r>
          </w:p>
        </w:tc>
        <w:tc>
          <w:tcPr>
            <w:tcW w:w="100" w:type="dxa"/>
            <w:vAlign w:val="bottom"/>
          </w:tcPr>
          <w:p>
            <w:pPr>
              <w:spacing w:after="0"/>
              <w:rPr>
                <w:sz w:val="9"/>
                <w:szCs w:val="9"/>
                <w:color w:val="auto"/>
              </w:rPr>
            </w:pPr>
          </w:p>
        </w:tc>
        <w:tc>
          <w:tcPr>
            <w:tcW w:w="84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9"/>
                <w:szCs w:val="9"/>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3"/>
          </w:tcPr>
          <w:p>
            <w:pPr>
              <w:jc w:val="center"/>
              <w:ind w:right="260"/>
              <w:spacing w:after="0" w:line="109" w:lineRule="exact"/>
              <w:rPr>
                <w:sz w:val="20"/>
                <w:szCs w:val="20"/>
                <w:color w:val="auto"/>
              </w:rPr>
            </w:pPr>
            <w:r>
              <w:rPr>
                <w:rFonts w:ascii="Arial" w:cs="Arial" w:eastAsia="Arial" w:hAnsi="Arial"/>
                <w:sz w:val="11"/>
                <w:szCs w:val="11"/>
                <w:b w:val="1"/>
                <w:bCs w:val="1"/>
                <w:color w:val="auto"/>
              </w:rPr>
              <w:t>GM</w:t>
            </w:r>
          </w:p>
        </w:tc>
        <w:tc>
          <w:tcPr>
            <w:tcW w:w="170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720" w:type="dxa"/>
            <w:vAlign w:val="bottom"/>
            <w:gridSpan w:val="2"/>
            <w:vMerge w:val="restart"/>
          </w:tcPr>
          <w:p>
            <w:pPr>
              <w:jc w:val="right"/>
              <w:ind w:right="29"/>
              <w:spacing w:after="0"/>
              <w:rPr>
                <w:sz w:val="20"/>
                <w:szCs w:val="20"/>
                <w:color w:val="auto"/>
              </w:rPr>
            </w:pPr>
            <w:r>
              <w:rPr>
                <w:rFonts w:ascii="Arial" w:cs="Arial" w:eastAsia="Arial" w:hAnsi="Arial"/>
                <w:sz w:val="11"/>
                <w:szCs w:val="11"/>
                <w:b w:val="1"/>
                <w:bCs w:val="1"/>
                <w:color w:val="auto"/>
              </w:rPr>
              <w:t>Combined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5"/>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00" w:type="dxa"/>
            <w:vAlign w:val="bottom"/>
          </w:tcPr>
          <w:p>
            <w:pPr>
              <w:spacing w:after="0"/>
              <w:rPr>
                <w:sz w:val="20"/>
                <w:szCs w:val="20"/>
                <w:color w:val="auto"/>
              </w:rPr>
            </w:pPr>
            <w:r>
              <w:rPr>
                <w:rFonts w:ascii="Arial" w:cs="Arial" w:eastAsia="Arial" w:hAnsi="Arial"/>
                <w:sz w:val="13"/>
                <w:szCs w:val="13"/>
                <w:b w:val="1"/>
                <w:bCs w:val="1"/>
                <w:color w:val="auto"/>
              </w:rPr>
              <w:t>Net sales and revenue</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Automotive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82,730</w:t>
            </w: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83,272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83,273</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GM Financial</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8,419</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7,710</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98"/>
              </w:rPr>
              <w:t>Total net sales and revenue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83,272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90,983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20" w:type="dxa"/>
            <w:vAlign w:val="bottom"/>
            <w:gridSpan w:val="2"/>
          </w:tcPr>
          <w:p>
            <w:pPr>
              <w:spacing w:after="0"/>
              <w:rPr>
                <w:sz w:val="20"/>
                <w:szCs w:val="20"/>
                <w:color w:val="auto"/>
              </w:rPr>
            </w:pPr>
            <w:r>
              <w:rPr>
                <w:rFonts w:ascii="Arial" w:cs="Arial" w:eastAsia="Arial" w:hAnsi="Arial"/>
                <w:sz w:val="13"/>
                <w:szCs w:val="13"/>
                <w:b w:val="1"/>
                <w:bCs w:val="1"/>
                <w:color w:val="auto"/>
              </w:rPr>
              <w:t>Costs and expenses</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3"/>
                <w:szCs w:val="13"/>
                <w:color w:val="auto"/>
              </w:rPr>
              <w:t>Automotive and other cost</w:t>
            </w: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74,318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74,480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71,189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72,611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of sales</w:t>
            </w: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3"/>
            <w:vMerge w:val="continue"/>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20" w:type="dxa"/>
            <w:vAlign w:val="bottom"/>
            <w:gridSpan w:val="2"/>
          </w:tcPr>
          <w:p>
            <w:pPr>
              <w:ind w:left="120"/>
              <w:spacing w:after="0" w:line="131" w:lineRule="exact"/>
              <w:rPr>
                <w:sz w:val="20"/>
                <w:szCs w:val="20"/>
                <w:color w:val="auto"/>
              </w:rPr>
            </w:pPr>
            <w:r>
              <w:rPr>
                <w:rFonts w:ascii="Arial" w:cs="Arial" w:eastAsia="Arial" w:hAnsi="Arial"/>
                <w:sz w:val="13"/>
                <w:szCs w:val="13"/>
                <w:color w:val="auto"/>
              </w:rPr>
              <w:t>GM Financial interest,</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20" w:type="dxa"/>
            <w:vAlign w:val="bottom"/>
            <w:gridSpan w:val="2"/>
          </w:tcPr>
          <w:p>
            <w:pPr>
              <w:ind w:left="280"/>
              <w:spacing w:after="0" w:line="126" w:lineRule="exact"/>
              <w:rPr>
                <w:sz w:val="20"/>
                <w:szCs w:val="20"/>
                <w:color w:val="auto"/>
              </w:rPr>
            </w:pPr>
            <w:r>
              <w:rPr>
                <w:rFonts w:ascii="Arial" w:cs="Arial" w:eastAsia="Arial" w:hAnsi="Arial"/>
                <w:sz w:val="13"/>
                <w:szCs w:val="13"/>
                <w:color w:val="auto"/>
              </w:rPr>
              <w:t>operating and other</w:t>
            </w:r>
          </w:p>
        </w:tc>
        <w:tc>
          <w:tcPr>
            <w:tcW w:w="160" w:type="dxa"/>
            <w:vAlign w:val="bottom"/>
          </w:tcPr>
          <w:p>
            <w:pPr>
              <w:spacing w:after="0"/>
              <w:rPr>
                <w:sz w:val="10"/>
                <w:szCs w:val="10"/>
                <w:color w:val="auto"/>
              </w:rPr>
            </w:pPr>
          </w:p>
        </w:tc>
        <w:tc>
          <w:tcPr>
            <w:tcW w:w="680" w:type="dxa"/>
            <w:vAlign w:val="bottom"/>
            <w:gridSpan w:val="4"/>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7,058</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4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7,058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6,215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9"/>
              <w:spacing w:after="0"/>
              <w:rPr>
                <w:sz w:val="20"/>
                <w:szCs w:val="20"/>
                <w:color w:val="auto"/>
              </w:rPr>
            </w:pPr>
            <w:r>
              <w:rPr>
                <w:rFonts w:ascii="Arial" w:cs="Arial" w:eastAsia="Arial" w:hAnsi="Arial"/>
                <w:sz w:val="14"/>
                <w:szCs w:val="14"/>
                <w:color w:val="auto"/>
              </w:rPr>
              <w:t>6,215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gridSpan w:val="2"/>
          </w:tcPr>
          <w:p>
            <w:pPr>
              <w:ind w:left="280"/>
              <w:spacing w:after="0"/>
              <w:rPr>
                <w:sz w:val="20"/>
                <w:szCs w:val="20"/>
                <w:color w:val="auto"/>
              </w:rPr>
            </w:pPr>
            <w:r>
              <w:rPr>
                <w:rFonts w:ascii="Arial" w:cs="Arial" w:eastAsia="Arial" w:hAnsi="Arial"/>
                <w:sz w:val="13"/>
                <w:szCs w:val="13"/>
                <w:color w:val="auto"/>
              </w:rPr>
              <w:t>expenses</w:t>
            </w:r>
          </w:p>
        </w:tc>
        <w:tc>
          <w:tcPr>
            <w:tcW w:w="160" w:type="dxa"/>
            <w:vAlign w:val="bottom"/>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120"/>
              <w:spacing w:after="0" w:line="134" w:lineRule="exact"/>
              <w:rPr>
                <w:sz w:val="20"/>
                <w:szCs w:val="20"/>
                <w:color w:val="auto"/>
              </w:rPr>
            </w:pPr>
            <w:r>
              <w:rPr>
                <w:rFonts w:ascii="Arial" w:cs="Arial" w:eastAsia="Arial" w:hAnsi="Arial"/>
                <w:sz w:val="13"/>
                <w:szCs w:val="13"/>
                <w:color w:val="auto"/>
              </w:rPr>
              <w:t>Automotive and other</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ind w:left="280"/>
              <w:spacing w:after="0" w:line="126" w:lineRule="exact"/>
              <w:rPr>
                <w:sz w:val="20"/>
                <w:szCs w:val="20"/>
                <w:color w:val="auto"/>
              </w:rPr>
            </w:pPr>
            <w:r>
              <w:rPr>
                <w:rFonts w:ascii="Arial" w:cs="Arial" w:eastAsia="Arial" w:hAnsi="Arial"/>
                <w:sz w:val="13"/>
                <w:szCs w:val="13"/>
                <w:color w:val="auto"/>
              </w:rPr>
              <w:t>selling, general and</w:t>
            </w: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4,016</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4,124</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4,269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4,547</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administrative expense</w:t>
            </w: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Total costs and expenses</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78,334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7,058</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85,662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75,459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83,372</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Operating income (loss)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(1,650)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7,611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Arial" w:cs="Arial" w:eastAsia="Arial" w:hAnsi="Arial"/>
                <w:sz w:val="13"/>
                <w:szCs w:val="13"/>
                <w:color w:val="auto"/>
              </w:rPr>
              <w:t>Automotive interest expense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spacing w:after="0" w:line="134" w:lineRule="exact"/>
              <w:rPr>
                <w:sz w:val="20"/>
                <w:szCs w:val="20"/>
                <w:color w:val="auto"/>
              </w:rPr>
            </w:pPr>
            <w:r>
              <w:rPr>
                <w:rFonts w:ascii="Arial" w:cs="Arial" w:eastAsia="Arial" w:hAnsi="Arial"/>
                <w:sz w:val="13"/>
                <w:szCs w:val="13"/>
                <w:color w:val="auto"/>
              </w:rPr>
              <w:t>Interest income and other</w:t>
            </w: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non-operating income, net</w:t>
            </w: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3"/>
            <w:vMerge w:val="continue"/>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Equity income (loss)</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9"/>
                <w:szCs w:val="9"/>
                <w:color w:val="auto"/>
              </w:rPr>
            </w:pPr>
          </w:p>
        </w:tc>
        <w:tc>
          <w:tcPr>
            <w:tcW w:w="170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Income (loss) before income</w:t>
            </w:r>
          </w:p>
        </w:tc>
        <w:tc>
          <w:tcPr>
            <w:tcW w:w="2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4,859</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1,389</w:t>
            </w:r>
          </w:p>
        </w:tc>
        <w:tc>
          <w:tcPr>
            <w:tcW w:w="100" w:type="dxa"/>
            <w:vAlign w:val="bottom"/>
            <w:shd w:val="clear" w:color="auto" w:fill="CCEEFF"/>
          </w:tcPr>
          <w:p>
            <w:pPr>
              <w:spacing w:after="0"/>
              <w:rPr>
                <w:sz w:val="9"/>
                <w:szCs w:val="9"/>
                <w:color w:val="auto"/>
              </w:rPr>
            </w:pPr>
          </w:p>
        </w:tc>
        <w:tc>
          <w:tcPr>
            <w:tcW w:w="1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5,946</w:t>
            </w:r>
          </w:p>
        </w:tc>
        <w:tc>
          <w:tcPr>
            <w:tcW w:w="26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7,561</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(1,761)</w:t>
            </w:r>
          </w:p>
        </w:tc>
        <w:tc>
          <w:tcPr>
            <w:tcW w:w="20" w:type="dxa"/>
            <w:vAlign w:val="bottom"/>
            <w:shd w:val="clear" w:color="auto" w:fill="CCEEFF"/>
          </w:tcPr>
          <w:p>
            <w:pPr>
              <w:spacing w:after="0"/>
              <w:rPr>
                <w:sz w:val="9"/>
                <w:szCs w:val="9"/>
                <w:color w:val="auto"/>
              </w:rPr>
            </w:pPr>
          </w:p>
        </w:tc>
        <w:tc>
          <w:tcPr>
            <w:tcW w:w="240" w:type="dxa"/>
            <w:vAlign w:val="bottom"/>
            <w:gridSpan w:val="3"/>
            <w:vMerge w:val="restart"/>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1,559</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7,359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taxes</w:t>
            </w:r>
          </w:p>
        </w:tc>
        <w:tc>
          <w:tcPr>
            <w:tcW w:w="16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gridSpan w:val="3"/>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620" w:type="dxa"/>
            <w:vAlign w:val="bottom"/>
            <w:gridSpan w:val="4"/>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17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Income tax expense (benefit)</w:t>
            </w: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1,529</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income (loss)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5,830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20" w:type="dxa"/>
            <w:vAlign w:val="bottom"/>
            <w:gridSpan w:val="2"/>
          </w:tcPr>
          <w:p>
            <w:pPr>
              <w:spacing w:after="0" w:line="131" w:lineRule="exact"/>
              <w:rPr>
                <w:sz w:val="20"/>
                <w:szCs w:val="20"/>
                <w:color w:val="auto"/>
              </w:rPr>
            </w:pPr>
            <w:r>
              <w:rPr>
                <w:rFonts w:ascii="Arial" w:cs="Arial" w:eastAsia="Arial" w:hAnsi="Arial"/>
                <w:sz w:val="13"/>
                <w:szCs w:val="13"/>
                <w:color w:val="auto"/>
              </w:rPr>
              <w:t>Net loss (income) attributable</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9"/>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to noncontrolling interests</w:t>
            </w:r>
          </w:p>
        </w:tc>
        <w:tc>
          <w:tcPr>
            <w:tcW w:w="16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9"/>
                <w:szCs w:val="9"/>
                <w:color w:val="auto"/>
              </w:rPr>
            </w:pPr>
          </w:p>
        </w:tc>
        <w:tc>
          <w:tcPr>
            <w:tcW w:w="1720" w:type="dxa"/>
            <w:vAlign w:val="bottom"/>
            <w:gridSpan w:val="2"/>
            <w:shd w:val="clear" w:color="auto" w:fill="CCEEFF"/>
          </w:tcPr>
          <w:p>
            <w:pPr>
              <w:spacing w:after="0" w:line="114" w:lineRule="exact"/>
              <w:rPr>
                <w:sz w:val="20"/>
                <w:szCs w:val="20"/>
                <w:color w:val="auto"/>
              </w:rPr>
            </w:pPr>
            <w:r>
              <w:rPr>
                <w:rFonts w:ascii="Arial" w:cs="Arial" w:eastAsia="Arial" w:hAnsi="Arial"/>
                <w:sz w:val="13"/>
                <w:szCs w:val="13"/>
                <w:b w:val="1"/>
                <w:bCs w:val="1"/>
                <w:color w:val="auto"/>
              </w:rPr>
              <w:t>Net income (loss)</w:t>
            </w: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ind w:left="160"/>
              <w:spacing w:after="0" w:line="126" w:lineRule="exact"/>
              <w:rPr>
                <w:sz w:val="20"/>
                <w:szCs w:val="20"/>
                <w:color w:val="auto"/>
              </w:rPr>
            </w:pPr>
            <w:r>
              <w:rPr>
                <w:rFonts w:ascii="Arial" w:cs="Arial" w:eastAsia="Arial" w:hAnsi="Arial"/>
                <w:sz w:val="13"/>
                <w:szCs w:val="13"/>
                <w:b w:val="1"/>
                <w:bCs w:val="1"/>
                <w:color w:val="auto"/>
              </w:rPr>
              <w:t>attributable to</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4,680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5,913</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stockholders</w:t>
            </w: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Net income (loss)</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ind w:left="160"/>
              <w:spacing w:after="0" w:line="126" w:lineRule="exact"/>
              <w:rPr>
                <w:sz w:val="20"/>
                <w:szCs w:val="20"/>
                <w:color w:val="auto"/>
              </w:rPr>
            </w:pPr>
            <w:r>
              <w:rPr>
                <w:rFonts w:ascii="Arial" w:cs="Arial" w:eastAsia="Arial" w:hAnsi="Arial"/>
                <w:sz w:val="13"/>
                <w:szCs w:val="13"/>
                <w:b w:val="1"/>
                <w:bCs w:val="1"/>
                <w:color w:val="auto"/>
              </w:rPr>
              <w:t>attributable to common</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5,224</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5,889</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stockholders</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ind w:left="100" w:hanging="92"/>
        <w:spacing w:after="0" w:line="224" w:lineRule="auto"/>
        <w:tabs>
          <w:tab w:leader="none" w:pos="10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Certain columns and rows may not add due to rounding.</w:t>
      </w:r>
    </w:p>
    <w:p>
      <w:pPr>
        <w:sectPr>
          <w:pgSz w:w="11900" w:h="16838" w:orient="portrait"/>
          <w:cols w:equalWidth="0" w:num="1">
            <w:col w:w="11220"/>
          </w:cols>
          <w:pgMar w:left="320" w:top="854" w:right="359" w:bottom="1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20"/>
          </w:cols>
          <w:pgMar w:left="320" w:top="854" w:right="359" w:bottom="1155" w:gutter="0" w:footer="0" w:header="0"/>
          <w:type w:val="continuous"/>
        </w:sectPr>
      </w:pPr>
    </w:p>
    <w:bookmarkStart w:id="8" w:name="page9"/>
    <w:bookmarkEnd w:id="8"/>
    <w:p>
      <w:pPr>
        <w:ind w:left="398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Basic and Diluted Earnings per Share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(Unaudited)</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summarizes basic and diluted earnings per share (in 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80" w:type="dxa"/>
            <w:vAlign w:val="bottom"/>
            <w:gridSpan w:val="5"/>
          </w:tcPr>
          <w:p>
            <w:pPr>
              <w:ind w:left="70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5"/>
                <w:szCs w:val="15"/>
                <w:color w:val="auto"/>
              </w:rPr>
            </w:pPr>
          </w:p>
        </w:tc>
        <w:tc>
          <w:tcPr>
            <w:tcW w:w="2900" w:type="dxa"/>
            <w:vAlign w:val="bottom"/>
            <w:gridSpan w:val="4"/>
          </w:tcPr>
          <w:p>
            <w:pPr>
              <w:jc w:val="right"/>
              <w:ind w:right="941"/>
              <w:spacing w:after="0"/>
              <w:rPr>
                <w:sz w:val="20"/>
                <w:szCs w:val="20"/>
                <w:color w:val="auto"/>
              </w:rPr>
            </w:pPr>
            <w:r>
              <w:rPr>
                <w:rFonts w:ascii="Arial" w:cs="Arial" w:eastAsia="Arial" w:hAnsi="Arial"/>
                <w:sz w:val="13"/>
                <w:szCs w:val="13"/>
                <w:b w:val="1"/>
                <w:bCs w:val="1"/>
                <w:color w:val="auto"/>
              </w:rPr>
              <w:t>Six Months Ended</w:t>
            </w:r>
          </w:p>
        </w:tc>
      </w:tr>
      <w:tr>
        <w:trPr>
          <w:trHeight w:val="169"/>
        </w:trPr>
        <w:tc>
          <w:tcPr>
            <w:tcW w:w="49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June 30, 2025</w:t>
            </w: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June 30, 2024</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June 30, 2025</w:t>
            </w: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June 30, 2024</w:t>
            </w:r>
          </w:p>
        </w:tc>
      </w:tr>
      <w:tr>
        <w:trPr>
          <w:trHeight w:val="185"/>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17"/>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stockholders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5,913</w:t>
            </w:r>
          </w:p>
        </w:tc>
      </w:tr>
      <w:tr>
        <w:trPr>
          <w:trHeight w:val="215"/>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Adjustments(a)</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35"/>
        </w:trPr>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common stockholders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5,889</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6"/>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common shares outstanding</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1,145</w:t>
            </w:r>
          </w:p>
        </w:tc>
      </w:tr>
      <w:tr>
        <w:trPr>
          <w:trHeight w:val="108"/>
        </w:trPr>
        <w:tc>
          <w:tcPr>
            <w:tcW w:w="4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16"/>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 earnings per common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5.14</w:t>
            </w:r>
          </w:p>
        </w:tc>
      </w:tr>
      <w:tr>
        <w:trPr>
          <w:trHeight w:val="202"/>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7"/>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common stockholders – diluted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5,889</w:t>
            </w:r>
          </w:p>
        </w:tc>
      </w:tr>
      <w:tr>
        <w:trPr>
          <w:trHeight w:val="108"/>
        </w:trPr>
        <w:tc>
          <w:tcPr>
            <w:tcW w:w="4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16"/>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common shares outstanding – diluted</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1,155</w:t>
            </w:r>
          </w:p>
        </w:tc>
      </w:tr>
      <w:tr>
        <w:trPr>
          <w:trHeight w:val="108"/>
        </w:trPr>
        <w:tc>
          <w:tcPr>
            <w:tcW w:w="4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16"/>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 earnings per common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5.10</w:t>
            </w:r>
          </w:p>
        </w:tc>
      </w:tr>
      <w:tr>
        <w:trPr>
          <w:trHeight w:val="215"/>
        </w:trPr>
        <w:tc>
          <w:tcPr>
            <w:tcW w:w="4900" w:type="dxa"/>
            <w:vAlign w:val="bottom"/>
          </w:tcPr>
          <w:p>
            <w:pPr>
              <w:ind w:left="140"/>
              <w:spacing w:after="0"/>
              <w:rPr>
                <w:sz w:val="20"/>
                <w:szCs w:val="20"/>
                <w:color w:val="auto"/>
              </w:rPr>
            </w:pPr>
            <w:r>
              <w:rPr>
                <w:rFonts w:ascii="Arial" w:cs="Arial" w:eastAsia="Arial" w:hAnsi="Arial"/>
                <w:sz w:val="14"/>
                <w:szCs w:val="14"/>
                <w:color w:val="auto"/>
              </w:rPr>
              <w:t>Potentially dilutive securities(b)</w:t>
            </w:r>
          </w:p>
        </w:tc>
        <w:tc>
          <w:tcPr>
            <w:tcW w:w="22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4</w:t>
            </w: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80" w:hanging="332"/>
        <w:spacing w:after="0" w:line="261" w:lineRule="auto"/>
        <w:tabs>
          <w:tab w:leader="none" w:pos="367"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a $593 million return from the preferred shareholders related to the redemption of Cruise preferred shares from noncontrolling interest holders in the six months ended June 30, 2025.</w:t>
      </w:r>
    </w:p>
    <w:p>
      <w:pPr>
        <w:ind w:left="380" w:right="20" w:hanging="332"/>
        <w:spacing w:after="0" w:line="284" w:lineRule="auto"/>
        <w:tabs>
          <w:tab w:leader="none" w:pos="367" w:val="left"/>
        </w:tabs>
        <w:numPr>
          <w:ilvl w:val="0"/>
          <w:numId w:val="7"/>
        </w:numPr>
        <w:rPr>
          <w:rFonts w:ascii="Arial" w:cs="Arial" w:eastAsia="Arial" w:hAnsi="Arial"/>
          <w:sz w:val="14"/>
          <w:szCs w:val="14"/>
          <w:color w:val="auto"/>
        </w:rPr>
      </w:pPr>
      <w:r>
        <w:rPr>
          <w:rFonts w:ascii="Arial" w:cs="Arial" w:eastAsia="Arial" w:hAnsi="Arial"/>
          <w:sz w:val="14"/>
          <w:szCs w:val="14"/>
          <w:color w:val="auto"/>
        </w:rPr>
        <w:t>Potentially dilutive securities attributable to outstanding stock options, Performance Stock Units and Restricted Stock Units (RSUs) at June 30, 2025 and stock options and RSUs at June 30, 2024, were excluded from the computation of diluted earnings per share (EPS) because the securities would have had an antidilutive effect.</w:t>
      </w:r>
    </w:p>
    <w:p>
      <w:pPr>
        <w:spacing w:after="0" w:line="200" w:lineRule="exact"/>
        <w:rPr>
          <w:sz w:val="20"/>
          <w:szCs w:val="20"/>
          <w:color w:val="auto"/>
        </w:rPr>
      </w:pPr>
    </w:p>
    <w:p>
      <w:pPr>
        <w:spacing w:after="0" w:line="359"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280" w:top="854" w:right="339" w:bottom="1440" w:gutter="0" w:footer="0" w:header="0"/>
        </w:sectPr>
      </w:pPr>
    </w:p>
    <w:bookmarkStart w:id="9" w:name="page10"/>
    <w:bookmarkEnd w:id="9"/>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Combining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except per share amounts) (Unaudited)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340"/>
              <w:spacing w:after="0"/>
              <w:rPr>
                <w:sz w:val="20"/>
                <w:szCs w:val="20"/>
                <w:color w:val="auto"/>
              </w:rPr>
            </w:pPr>
            <w:r>
              <w:rPr>
                <w:rFonts w:ascii="Arial" w:cs="Arial" w:eastAsia="Arial" w:hAnsi="Arial"/>
                <w:sz w:val="13"/>
                <w:szCs w:val="13"/>
                <w:b w:val="1"/>
                <w:bCs w:val="1"/>
                <w:color w:val="auto"/>
              </w:rPr>
              <w:t>June 30, 2025</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rPr>
              <w:t>December 31, 2024</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920" w:type="dxa"/>
            <w:vAlign w:val="bottom"/>
          </w:tcPr>
          <w:p>
            <w:pPr>
              <w:spacing w:after="0"/>
              <w:rPr>
                <w:sz w:val="9"/>
                <w:szCs w:val="9"/>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660" w:type="dxa"/>
            <w:vAlign w:val="bottom"/>
            <w:gridSpan w:val="2"/>
          </w:tcPr>
          <w:p>
            <w:pPr>
              <w:jc w:val="center"/>
              <w:ind w:right="180"/>
              <w:spacing w:after="0" w:line="106" w:lineRule="exact"/>
              <w:rPr>
                <w:sz w:val="20"/>
                <w:szCs w:val="20"/>
                <w:color w:val="auto"/>
              </w:rPr>
            </w:pPr>
            <w:r>
              <w:rPr>
                <w:rFonts w:ascii="Arial" w:cs="Arial" w:eastAsia="Arial" w:hAnsi="Arial"/>
                <w:sz w:val="11"/>
                <w:szCs w:val="11"/>
                <w:b w:val="1"/>
                <w:bCs w:val="1"/>
                <w:color w:val="auto"/>
                <w:w w:val="90"/>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80" w:type="dxa"/>
            <w:vAlign w:val="bottom"/>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Combined</w:t>
            </w: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68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90"/>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00" w:type="dxa"/>
            <w:vAlign w:val="bottom"/>
          </w:tcPr>
          <w:p>
            <w:pPr>
              <w:spacing w:after="0"/>
              <w:rPr>
                <w:sz w:val="9"/>
                <w:szCs w:val="9"/>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1"/>
                <w:szCs w:val="11"/>
                <w:b w:val="1"/>
                <w:bCs w:val="1"/>
                <w:color w:val="auto"/>
                <w:w w:val="92"/>
              </w:rPr>
              <w:t>Combined</w:t>
            </w: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Financial</w:t>
            </w:r>
          </w:p>
        </w:tc>
        <w:tc>
          <w:tcPr>
            <w:tcW w:w="16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Financial</w:t>
            </w:r>
          </w:p>
        </w:tc>
        <w:tc>
          <w:tcPr>
            <w:tcW w:w="16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20" w:type="dxa"/>
            <w:vAlign w:val="bottom"/>
          </w:tcPr>
          <w:p>
            <w:pPr>
              <w:ind w:left="700"/>
              <w:spacing w:after="0"/>
              <w:rPr>
                <w:sz w:val="20"/>
                <w:szCs w:val="20"/>
                <w:color w:val="auto"/>
              </w:rPr>
            </w:pPr>
            <w:r>
              <w:rPr>
                <w:rFonts w:ascii="Arial" w:cs="Arial" w:eastAsia="Arial" w:hAnsi="Arial"/>
                <w:sz w:val="13"/>
                <w:szCs w:val="13"/>
                <w:b w:val="1"/>
                <w:bCs w:val="1"/>
                <w:color w:val="auto"/>
              </w:rPr>
              <w:t>ASSETS</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92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8,403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22,381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14,470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5,094</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19,872</w:t>
            </w:r>
          </w:p>
        </w:tc>
        <w:tc>
          <w:tcPr>
            <w:tcW w:w="0" w:type="dxa"/>
            <w:vAlign w:val="bottom"/>
          </w:tcPr>
          <w:p>
            <w:pPr>
              <w:spacing w:after="0"/>
              <w:rPr>
                <w:sz w:val="1"/>
                <w:szCs w:val="1"/>
                <w:color w:val="auto"/>
              </w:rPr>
            </w:pPr>
          </w:p>
        </w:tc>
      </w:tr>
      <w:tr>
        <w:trPr>
          <w:trHeight w:val="171"/>
        </w:trPr>
        <w:tc>
          <w:tcPr>
            <w:tcW w:w="1920" w:type="dxa"/>
            <w:vAlign w:val="bottom"/>
          </w:tcPr>
          <w:p>
            <w:pPr>
              <w:ind w:left="140"/>
              <w:spacing w:after="0"/>
              <w:rPr>
                <w:sz w:val="20"/>
                <w:szCs w:val="20"/>
                <w:color w:val="auto"/>
              </w:rPr>
            </w:pPr>
            <w:r>
              <w:rPr>
                <w:rFonts w:ascii="Arial" w:cs="Arial" w:eastAsia="Arial" w:hAnsi="Arial"/>
                <w:sz w:val="13"/>
                <w:szCs w:val="13"/>
                <w:color w:val="auto"/>
              </w:rPr>
              <w:t>Marketable debt securities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6,958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6,958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7,265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7,265</w:t>
            </w: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Accounts and notes</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receivable, net(a)</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1,678</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11,498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12,827</w:t>
            </w:r>
          </w:p>
        </w:tc>
        <w:tc>
          <w:tcPr>
            <w:tcW w:w="0" w:type="dxa"/>
            <w:vAlign w:val="bottom"/>
          </w:tcPr>
          <w:p>
            <w:pPr>
              <w:spacing w:after="0"/>
              <w:rPr>
                <w:sz w:val="1"/>
                <w:szCs w:val="1"/>
                <w:color w:val="auto"/>
              </w:rPr>
            </w:pPr>
          </w:p>
        </w:tc>
      </w:tr>
      <w:tr>
        <w:trPr>
          <w:trHeight w:val="122"/>
        </w:trPr>
        <w:tc>
          <w:tcPr>
            <w:tcW w:w="1920" w:type="dxa"/>
            <w:vAlign w:val="bottom"/>
          </w:tcPr>
          <w:p>
            <w:pPr>
              <w:ind w:left="140"/>
              <w:spacing w:after="0" w:line="122" w:lineRule="exact"/>
              <w:rPr>
                <w:sz w:val="20"/>
                <w:szCs w:val="20"/>
                <w:color w:val="auto"/>
              </w:rPr>
            </w:pPr>
            <w:r>
              <w:rPr>
                <w:rFonts w:ascii="Arial" w:cs="Arial" w:eastAsia="Arial" w:hAnsi="Arial"/>
                <w:sz w:val="13"/>
                <w:szCs w:val="13"/>
                <w:color w:val="auto"/>
              </w:rPr>
              <w:t>GM Financial receivables,</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20" w:type="dxa"/>
            <w:vAlign w:val="bottom"/>
          </w:tcPr>
          <w:p>
            <w:pPr>
              <w:ind w:left="140"/>
              <w:spacing w:after="0"/>
              <w:rPr>
                <w:sz w:val="20"/>
                <w:szCs w:val="20"/>
                <w:color w:val="auto"/>
              </w:rPr>
            </w:pPr>
            <w:r>
              <w:rPr>
                <w:rFonts w:ascii="Arial" w:cs="Arial" w:eastAsia="Arial" w:hAnsi="Arial"/>
                <w:sz w:val="13"/>
                <w:szCs w:val="13"/>
                <w:color w:val="auto"/>
              </w:rPr>
              <w:t>net(d)</w:t>
            </w:r>
          </w:p>
        </w:tc>
        <w:tc>
          <w:tcPr>
            <w:tcW w:w="1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44,797</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44,473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46,760</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46,362</w:t>
            </w:r>
          </w:p>
        </w:tc>
        <w:tc>
          <w:tcPr>
            <w:tcW w:w="0" w:type="dxa"/>
            <w:vAlign w:val="bottom"/>
          </w:tcPr>
          <w:p>
            <w:pPr>
              <w:spacing w:after="0"/>
              <w:rPr>
                <w:sz w:val="1"/>
                <w:szCs w:val="1"/>
                <w:color w:val="auto"/>
              </w:rPr>
            </w:pPr>
          </w:p>
        </w:tc>
      </w:tr>
      <w:tr>
        <w:trPr>
          <w:trHeight w:val="183"/>
        </w:trPr>
        <w:tc>
          <w:tcPr>
            <w:tcW w:w="1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14,569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14,564</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current assets</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5,220</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8,297</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2,816</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4,799</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7,655</w:t>
            </w:r>
          </w:p>
        </w:tc>
        <w:tc>
          <w:tcPr>
            <w:tcW w:w="0" w:type="dxa"/>
            <w:vAlign w:val="bottom"/>
          </w:tcPr>
          <w:p>
            <w:pPr>
              <w:spacing w:after="0"/>
              <w:rPr>
                <w:sz w:val="1"/>
                <w:szCs w:val="1"/>
                <w:color w:val="auto"/>
              </w:rPr>
            </w:pPr>
          </w:p>
        </w:tc>
      </w:tr>
      <w:tr>
        <w:trPr>
          <w:trHeight w:val="174"/>
        </w:trPr>
        <w:tc>
          <w:tcPr>
            <w:tcW w:w="1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60,098</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114,285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50,618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58,640</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108,545</w:t>
            </w:r>
          </w:p>
        </w:tc>
        <w:tc>
          <w:tcPr>
            <w:tcW w:w="0" w:type="dxa"/>
            <w:vAlign w:val="bottom"/>
          </w:tcPr>
          <w:p>
            <w:pPr>
              <w:spacing w:after="0"/>
              <w:rPr>
                <w:sz w:val="1"/>
                <w:szCs w:val="1"/>
                <w:color w:val="auto"/>
              </w:rPr>
            </w:pPr>
          </w:p>
        </w:tc>
      </w:tr>
      <w:tr>
        <w:trPr>
          <w:trHeight w:val="174"/>
        </w:trPr>
        <w:tc>
          <w:tcPr>
            <w:tcW w:w="192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920" w:type="dxa"/>
            <w:vAlign w:val="bottom"/>
            <w:shd w:val="clear" w:color="auto" w:fill="CCEEFF"/>
          </w:tcPr>
          <w:p>
            <w:pPr>
              <w:ind w:left="140"/>
              <w:spacing w:after="0" w:line="123" w:lineRule="exact"/>
              <w:rPr>
                <w:sz w:val="20"/>
                <w:szCs w:val="20"/>
                <w:color w:val="auto"/>
              </w:rPr>
            </w:pPr>
            <w:r>
              <w:rPr>
                <w:rFonts w:ascii="Arial" w:cs="Arial" w:eastAsia="Arial" w:hAnsi="Arial"/>
                <w:sz w:val="13"/>
                <w:szCs w:val="13"/>
                <w:color w:val="auto"/>
              </w:rPr>
              <w:t>GM Financial receivables,</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net(c)</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47,043</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46,750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46,474</w:t>
            </w:r>
          </w:p>
        </w:tc>
        <w:tc>
          <w:tcPr>
            <w:tcW w:w="0" w:type="dxa"/>
            <w:vAlign w:val="bottom"/>
          </w:tcPr>
          <w:p>
            <w:pPr>
              <w:spacing w:after="0"/>
              <w:rPr>
                <w:sz w:val="1"/>
                <w:szCs w:val="1"/>
                <w:color w:val="auto"/>
              </w:rPr>
            </w:pPr>
          </w:p>
        </w:tc>
      </w:tr>
      <w:tr>
        <w:trPr>
          <w:trHeight w:val="121"/>
        </w:trPr>
        <w:tc>
          <w:tcPr>
            <w:tcW w:w="1920" w:type="dxa"/>
            <w:vAlign w:val="bottom"/>
          </w:tcPr>
          <w:p>
            <w:pPr>
              <w:ind w:left="140"/>
              <w:spacing w:after="0" w:line="122" w:lineRule="exact"/>
              <w:rPr>
                <w:sz w:val="20"/>
                <w:szCs w:val="20"/>
                <w:color w:val="auto"/>
              </w:rPr>
            </w:pPr>
            <w:r>
              <w:rPr>
                <w:rFonts w:ascii="Arial" w:cs="Arial" w:eastAsia="Arial" w:hAnsi="Arial"/>
                <w:sz w:val="13"/>
                <w:szCs w:val="13"/>
                <w:color w:val="auto"/>
              </w:rPr>
              <w:t>Equity in net assets of</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20" w:type="dxa"/>
            <w:vAlign w:val="bottom"/>
          </w:tcPr>
          <w:p>
            <w:pPr>
              <w:ind w:left="300"/>
              <w:spacing w:after="0"/>
              <w:rPr>
                <w:sz w:val="20"/>
                <w:szCs w:val="20"/>
                <w:color w:val="auto"/>
              </w:rPr>
            </w:pPr>
            <w:r>
              <w:rPr>
                <w:rFonts w:ascii="Arial" w:cs="Arial" w:eastAsia="Arial" w:hAnsi="Arial"/>
                <w:sz w:val="13"/>
                <w:szCs w:val="13"/>
                <w:color w:val="auto"/>
              </w:rPr>
              <w:t>nonconsolidated affiliates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4,846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1,257</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6,103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5,896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1,206</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7,102</w:t>
            </w:r>
          </w:p>
        </w:tc>
        <w:tc>
          <w:tcPr>
            <w:tcW w:w="0" w:type="dxa"/>
            <w:vAlign w:val="bottom"/>
          </w:tcPr>
          <w:p>
            <w:pPr>
              <w:spacing w:after="0"/>
              <w:rPr>
                <w:sz w:val="1"/>
                <w:szCs w:val="1"/>
                <w:color w:val="auto"/>
              </w:rPr>
            </w:pPr>
          </w:p>
        </w:tc>
      </w:tr>
      <w:tr>
        <w:trPr>
          <w:trHeight w:val="183"/>
        </w:trPr>
        <w:tc>
          <w:tcPr>
            <w:tcW w:w="1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net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101</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51,729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51,904</w:t>
            </w:r>
          </w:p>
        </w:tc>
        <w:tc>
          <w:tcPr>
            <w:tcW w:w="0" w:type="dxa"/>
            <w:vAlign w:val="bottom"/>
          </w:tcPr>
          <w:p>
            <w:pPr>
              <w:spacing w:after="0"/>
              <w:rPr>
                <w:sz w:val="1"/>
                <w:szCs w:val="1"/>
                <w:color w:val="auto"/>
              </w:rPr>
            </w:pPr>
          </w:p>
        </w:tc>
      </w:tr>
      <w:tr>
        <w:trPr>
          <w:trHeight w:val="122"/>
        </w:trPr>
        <w:tc>
          <w:tcPr>
            <w:tcW w:w="1920" w:type="dxa"/>
            <w:vAlign w:val="bottom"/>
          </w:tcPr>
          <w:p>
            <w:pPr>
              <w:ind w:left="140"/>
              <w:spacing w:after="0" w:line="122" w:lineRule="exact"/>
              <w:rPr>
                <w:sz w:val="20"/>
                <w:szCs w:val="20"/>
                <w:color w:val="auto"/>
              </w:rPr>
            </w:pPr>
            <w:r>
              <w:rPr>
                <w:rFonts w:ascii="Arial" w:cs="Arial" w:eastAsia="Arial" w:hAnsi="Arial"/>
                <w:sz w:val="13"/>
                <w:szCs w:val="13"/>
                <w:color w:val="auto"/>
                <w:w w:val="98"/>
              </w:rPr>
              <w:t>Goodwill and intangible assets,</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20" w:type="dxa"/>
            <w:vAlign w:val="bottom"/>
          </w:tcPr>
          <w:p>
            <w:pPr>
              <w:ind w:left="300"/>
              <w:spacing w:after="0"/>
              <w:rPr>
                <w:sz w:val="20"/>
                <w:szCs w:val="20"/>
                <w:color w:val="auto"/>
              </w:rPr>
            </w:pPr>
            <w:r>
              <w:rPr>
                <w:rFonts w:ascii="Arial" w:cs="Arial" w:eastAsia="Arial" w:hAnsi="Arial"/>
                <w:sz w:val="13"/>
                <w:szCs w:val="13"/>
                <w:color w:val="auto"/>
              </w:rPr>
              <w:t>net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1,346</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2,642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1,339</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4,551</w:t>
            </w:r>
          </w:p>
        </w:tc>
        <w:tc>
          <w:tcPr>
            <w:tcW w:w="0" w:type="dxa"/>
            <w:vAlign w:val="bottom"/>
          </w:tcPr>
          <w:p>
            <w:pPr>
              <w:spacing w:after="0"/>
              <w:rPr>
                <w:sz w:val="1"/>
                <w:szCs w:val="1"/>
                <w:color w:val="auto"/>
              </w:rPr>
            </w:pPr>
          </w:p>
        </w:tc>
      </w:tr>
      <w:tr>
        <w:trPr>
          <w:trHeight w:val="128"/>
        </w:trPr>
        <w:tc>
          <w:tcPr>
            <w:tcW w:w="192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Equipment on operating</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leases, net</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33,196</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33,196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31,586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31,586</w:t>
            </w:r>
          </w:p>
        </w:tc>
        <w:tc>
          <w:tcPr>
            <w:tcW w:w="0" w:type="dxa"/>
            <w:vAlign w:val="bottom"/>
          </w:tcPr>
          <w:p>
            <w:pPr>
              <w:spacing w:after="0"/>
              <w:rPr>
                <w:sz w:val="1"/>
                <w:szCs w:val="1"/>
                <w:color w:val="auto"/>
              </w:rPr>
            </w:pPr>
          </w:p>
        </w:tc>
      </w:tr>
      <w:tr>
        <w:trPr>
          <w:trHeight w:val="171"/>
        </w:trPr>
        <w:tc>
          <w:tcPr>
            <w:tcW w:w="192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23,045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(1,567)</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21,478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21,149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(1,795)</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21,254</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assets(b)</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1,420</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9,340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8,346</w:t>
            </w:r>
          </w:p>
        </w:tc>
        <w:tc>
          <w:tcPr>
            <w:tcW w:w="0" w:type="dxa"/>
            <w:vAlign w:val="bottom"/>
          </w:tcPr>
          <w:p>
            <w:pPr>
              <w:spacing w:after="0"/>
              <w:rPr>
                <w:sz w:val="1"/>
                <w:szCs w:val="1"/>
                <w:color w:val="auto"/>
              </w:rPr>
            </w:pPr>
          </w:p>
        </w:tc>
      </w:tr>
      <w:tr>
        <w:trPr>
          <w:trHeight w:val="164"/>
        </w:trPr>
        <w:tc>
          <w:tcPr>
            <w:tcW w:w="19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non-current assets</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92,204</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82,796</w:t>
            </w:r>
          </w:p>
        </w:tc>
        <w:tc>
          <w:tcPr>
            <w:tcW w:w="8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175,099</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90,756</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2,579</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80,516</w:t>
            </w:r>
          </w:p>
        </w:tc>
        <w:tc>
          <w:tcPr>
            <w:tcW w:w="12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(2,635)</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171,216</w:t>
            </w:r>
          </w:p>
        </w:tc>
        <w:tc>
          <w:tcPr>
            <w:tcW w:w="0" w:type="dxa"/>
            <w:vAlign w:val="bottom"/>
          </w:tcPr>
          <w:p>
            <w:pPr>
              <w:spacing w:after="0"/>
              <w:rPr>
                <w:sz w:val="1"/>
                <w:szCs w:val="1"/>
                <w:color w:val="auto"/>
              </w:rPr>
            </w:pPr>
          </w:p>
        </w:tc>
      </w:tr>
      <w:tr>
        <w:trPr>
          <w:trHeight w:val="199"/>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147,384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142,893</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289,384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141,374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139,156</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279,761</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3"/>
                <w:szCs w:val="13"/>
                <w:b w:val="1"/>
                <w:bCs w:val="1"/>
                <w:color w:val="auto"/>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9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920" w:type="dxa"/>
            <w:vAlign w:val="bottom"/>
          </w:tcPr>
          <w:p>
            <w:pPr>
              <w:ind w:left="140"/>
              <w:spacing w:after="0" w:line="122" w:lineRule="exact"/>
              <w:rPr>
                <w:sz w:val="20"/>
                <w:szCs w:val="20"/>
                <w:color w:val="auto"/>
              </w:rPr>
            </w:pPr>
            <w:r>
              <w:rPr>
                <w:rFonts w:ascii="Arial" w:cs="Arial" w:eastAsia="Arial" w:hAnsi="Arial"/>
                <w:sz w:val="13"/>
                <w:szCs w:val="13"/>
                <w:color w:val="auto"/>
              </w:rPr>
              <w:t>Accounts payable (principally</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20" w:type="dxa"/>
            <w:vAlign w:val="bottom"/>
          </w:tcPr>
          <w:p>
            <w:pPr>
              <w:ind w:left="300"/>
              <w:spacing w:after="0"/>
              <w:rPr>
                <w:sz w:val="20"/>
                <w:szCs w:val="20"/>
                <w:color w:val="auto"/>
              </w:rPr>
            </w:pPr>
            <w:r>
              <w:rPr>
                <w:rFonts w:ascii="Arial" w:cs="Arial" w:eastAsia="Arial" w:hAnsi="Arial"/>
                <w:sz w:val="13"/>
                <w:szCs w:val="13"/>
                <w:color w:val="auto"/>
              </w:rPr>
              <w:t>trade)(a)</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27,356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493</w:t>
            </w:r>
          </w:p>
        </w:tc>
        <w:tc>
          <w:tcPr>
            <w:tcW w:w="8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(774)</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27,077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25,446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714</w:t>
            </w:r>
          </w:p>
        </w:tc>
        <w:tc>
          <w:tcPr>
            <w:tcW w:w="120" w:type="dxa"/>
            <w:vAlign w:val="bottom"/>
          </w:tcPr>
          <w:p>
            <w:pPr>
              <w:spacing w:after="0"/>
              <w:rPr>
                <w:sz w:val="15"/>
                <w:szCs w:val="15"/>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(681)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25,680</w:t>
            </w:r>
          </w:p>
        </w:tc>
        <w:tc>
          <w:tcPr>
            <w:tcW w:w="0" w:type="dxa"/>
            <w:vAlign w:val="bottom"/>
          </w:tcPr>
          <w:p>
            <w:pPr>
              <w:spacing w:after="0"/>
              <w:rPr>
                <w:sz w:val="1"/>
                <w:szCs w:val="1"/>
                <w:color w:val="auto"/>
              </w:rPr>
            </w:pPr>
          </w:p>
        </w:tc>
      </w:tr>
      <w:tr>
        <w:trPr>
          <w:trHeight w:val="128"/>
        </w:trPr>
        <w:tc>
          <w:tcPr>
            <w:tcW w:w="192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Short-term debt and current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portion of long-term debt</w:t>
            </w: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tcPr>
          <w:p>
            <w:pPr>
              <w:ind w:left="300"/>
              <w:spacing w:after="0"/>
              <w:rPr>
                <w:sz w:val="20"/>
                <w:szCs w:val="20"/>
                <w:color w:val="auto"/>
              </w:rPr>
            </w:pPr>
            <w:r>
              <w:rPr>
                <w:rFonts w:ascii="Arial" w:cs="Arial" w:eastAsia="Arial" w:hAnsi="Arial"/>
                <w:sz w:val="13"/>
                <w:szCs w:val="13"/>
                <w:color w:val="auto"/>
              </w:rPr>
              <w:t>Automotive(a)(d)</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2,413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2,141</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GM Financial</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36,627</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37,291</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37,291</w:t>
            </w:r>
          </w:p>
        </w:tc>
        <w:tc>
          <w:tcPr>
            <w:tcW w:w="0" w:type="dxa"/>
            <w:vAlign w:val="bottom"/>
          </w:tcPr>
          <w:p>
            <w:pPr>
              <w:spacing w:after="0"/>
              <w:rPr>
                <w:sz w:val="1"/>
                <w:szCs w:val="1"/>
                <w:color w:val="auto"/>
              </w:rPr>
            </w:pPr>
          </w:p>
        </w:tc>
      </w:tr>
      <w:tr>
        <w:trPr>
          <w:trHeight w:val="171"/>
        </w:trPr>
        <w:tc>
          <w:tcPr>
            <w:tcW w:w="1920" w:type="dxa"/>
            <w:vAlign w:val="bottom"/>
          </w:tcPr>
          <w:p>
            <w:pPr>
              <w:ind w:left="300"/>
              <w:spacing w:after="0"/>
              <w:rPr>
                <w:sz w:val="20"/>
                <w:szCs w:val="20"/>
                <w:color w:val="auto"/>
              </w:rPr>
            </w:pPr>
            <w:r>
              <w:rPr>
                <w:rFonts w:ascii="Arial" w:cs="Arial" w:eastAsia="Arial" w:hAnsi="Arial"/>
                <w:sz w:val="13"/>
                <w:szCs w:val="13"/>
                <w:color w:val="auto"/>
              </w:rPr>
              <w:t>Cruise(d)</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liabilities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4,693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24,949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5,661</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31,154</w:t>
            </w:r>
          </w:p>
        </w:tc>
        <w:tc>
          <w:tcPr>
            <w:tcW w:w="0" w:type="dxa"/>
            <w:vAlign w:val="bottom"/>
          </w:tcPr>
          <w:p>
            <w:pPr>
              <w:spacing w:after="0"/>
              <w:rPr>
                <w:sz w:val="1"/>
                <w:szCs w:val="1"/>
                <w:color w:val="auto"/>
              </w:rPr>
            </w:pPr>
          </w:p>
        </w:tc>
      </w:tr>
      <w:tr>
        <w:trPr>
          <w:trHeight w:val="164"/>
        </w:trPr>
        <w:tc>
          <w:tcPr>
            <w:tcW w:w="1920" w:type="dxa"/>
            <w:vAlign w:val="bottom"/>
          </w:tcPr>
          <w:p>
            <w:pPr>
              <w:ind w:left="140"/>
              <w:spacing w:after="0"/>
              <w:rPr>
                <w:sz w:val="20"/>
                <w:szCs w:val="20"/>
                <w:color w:val="auto"/>
              </w:rPr>
            </w:pPr>
            <w:r>
              <w:rPr>
                <w:rFonts w:ascii="Arial" w:cs="Arial" w:eastAsia="Arial" w:hAnsi="Arial"/>
                <w:sz w:val="13"/>
                <w:szCs w:val="13"/>
                <w:color w:val="auto"/>
              </w:rPr>
              <w:t>Total current liabilities</w:t>
            </w: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53,133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41,813</w:t>
            </w:r>
          </w:p>
        </w:tc>
        <w:tc>
          <w:tcPr>
            <w:tcW w:w="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(1,335)</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93,812</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52,808</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874</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43,666</w:t>
            </w: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(1,082)</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96,265</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20" w:type="dxa"/>
            <w:vAlign w:val="bottom"/>
          </w:tcPr>
          <w:p>
            <w:pPr>
              <w:ind w:left="140"/>
              <w:spacing w:after="0"/>
              <w:rPr>
                <w:sz w:val="20"/>
                <w:szCs w:val="20"/>
                <w:color w:val="auto"/>
              </w:rPr>
            </w:pPr>
            <w:r>
              <w:rPr>
                <w:rFonts w:ascii="Arial" w:cs="Arial" w:eastAsia="Arial" w:hAnsi="Arial"/>
                <w:sz w:val="13"/>
                <w:szCs w:val="13"/>
                <w:color w:val="auto"/>
              </w:rPr>
              <w:t>Long-term debt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Automotive(b)</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13,288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13,327</w:t>
            </w:r>
          </w:p>
        </w:tc>
        <w:tc>
          <w:tcPr>
            <w:tcW w:w="0" w:type="dxa"/>
            <w:vAlign w:val="bottom"/>
          </w:tcPr>
          <w:p>
            <w:pPr>
              <w:spacing w:after="0"/>
              <w:rPr>
                <w:sz w:val="1"/>
                <w:szCs w:val="1"/>
                <w:color w:val="auto"/>
              </w:rPr>
            </w:pPr>
          </w:p>
        </w:tc>
      </w:tr>
      <w:tr>
        <w:trPr>
          <w:trHeight w:val="171"/>
        </w:trPr>
        <w:tc>
          <w:tcPr>
            <w:tcW w:w="1920" w:type="dxa"/>
            <w:vAlign w:val="bottom"/>
          </w:tcPr>
          <w:p>
            <w:pPr>
              <w:ind w:left="300"/>
              <w:spacing w:after="0"/>
              <w:rPr>
                <w:sz w:val="20"/>
                <w:szCs w:val="20"/>
                <w:color w:val="auto"/>
              </w:rPr>
            </w:pPr>
            <w:r>
              <w:rPr>
                <w:rFonts w:ascii="Arial" w:cs="Arial" w:eastAsia="Arial" w:hAnsi="Arial"/>
                <w:sz w:val="13"/>
                <w:szCs w:val="13"/>
                <w:color w:val="auto"/>
              </w:rPr>
              <w:t>GM Financial</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81,905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81,905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76,973</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76,973</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Cruise(c)</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920" w:type="dxa"/>
            <w:vAlign w:val="bottom"/>
          </w:tcPr>
          <w:p>
            <w:pPr>
              <w:ind w:left="140"/>
              <w:spacing w:after="0" w:line="122" w:lineRule="exact"/>
              <w:rPr>
                <w:sz w:val="20"/>
                <w:szCs w:val="20"/>
                <w:color w:val="auto"/>
              </w:rPr>
            </w:pPr>
            <w:r>
              <w:rPr>
                <w:rFonts w:ascii="Arial" w:cs="Arial" w:eastAsia="Arial" w:hAnsi="Arial"/>
                <w:sz w:val="13"/>
                <w:szCs w:val="13"/>
                <w:color w:val="auto"/>
              </w:rPr>
              <w:t>Postretirement benefits other</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20" w:type="dxa"/>
            <w:vAlign w:val="bottom"/>
          </w:tcPr>
          <w:p>
            <w:pPr>
              <w:ind w:left="300"/>
              <w:spacing w:after="0"/>
              <w:rPr>
                <w:sz w:val="20"/>
                <w:szCs w:val="20"/>
                <w:color w:val="auto"/>
              </w:rPr>
            </w:pPr>
            <w:r>
              <w:rPr>
                <w:rFonts w:ascii="Arial" w:cs="Arial" w:eastAsia="Arial" w:hAnsi="Arial"/>
                <w:sz w:val="13"/>
                <w:szCs w:val="13"/>
                <w:color w:val="auto"/>
              </w:rPr>
              <w:t>than pensions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3,989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3,989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3,990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3,990</w:t>
            </w:r>
          </w:p>
        </w:tc>
        <w:tc>
          <w:tcPr>
            <w:tcW w:w="0" w:type="dxa"/>
            <w:vAlign w:val="bottom"/>
          </w:tcPr>
          <w:p>
            <w:pPr>
              <w:spacing w:after="0"/>
              <w:rPr>
                <w:sz w:val="1"/>
                <w:szCs w:val="1"/>
                <w:color w:val="auto"/>
              </w:rPr>
            </w:pPr>
          </w:p>
        </w:tc>
      </w:tr>
      <w:tr>
        <w:trPr>
          <w:trHeight w:val="183"/>
        </w:trPr>
        <w:tc>
          <w:tcPr>
            <w:tcW w:w="1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Pensions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5,779</w:t>
            </w:r>
          </w:p>
        </w:tc>
        <w:tc>
          <w:tcPr>
            <w:tcW w:w="0" w:type="dxa"/>
            <w:vAlign w:val="bottom"/>
          </w:tcPr>
          <w:p>
            <w:pPr>
              <w:spacing w:after="0"/>
              <w:rPr>
                <w:sz w:val="1"/>
                <w:szCs w:val="1"/>
                <w:color w:val="auto"/>
              </w:rPr>
            </w:pPr>
          </w:p>
        </w:tc>
      </w:tr>
      <w:tr>
        <w:trPr>
          <w:trHeight w:val="171"/>
        </w:trPr>
        <w:tc>
          <w:tcPr>
            <w:tcW w:w="1920" w:type="dxa"/>
            <w:vAlign w:val="bottom"/>
          </w:tcPr>
          <w:p>
            <w:pPr>
              <w:ind w:left="140"/>
              <w:spacing w:after="0"/>
              <w:rPr>
                <w:sz w:val="20"/>
                <w:szCs w:val="20"/>
                <w:color w:val="auto"/>
              </w:rPr>
            </w:pPr>
            <w:r>
              <w:rPr>
                <w:rFonts w:ascii="Arial" w:cs="Arial" w:eastAsia="Arial" w:hAnsi="Arial"/>
                <w:sz w:val="13"/>
                <w:szCs w:val="13"/>
                <w:color w:val="auto"/>
              </w:rPr>
              <w:t>Other liabilities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16,144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3,191</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19,622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14,635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2,904</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17,836</w:t>
            </w:r>
          </w:p>
        </w:tc>
        <w:tc>
          <w:tcPr>
            <w:tcW w:w="0" w:type="dxa"/>
            <w:vAlign w:val="bottom"/>
          </w:tcPr>
          <w:p>
            <w:pPr>
              <w:spacing w:after="0"/>
              <w:rPr>
                <w:sz w:val="1"/>
                <w:szCs w:val="1"/>
                <w:color w:val="auto"/>
              </w:rPr>
            </w:pPr>
          </w:p>
        </w:tc>
      </w:tr>
      <w:tr>
        <w:trPr>
          <w:trHeight w:val="174"/>
        </w:trPr>
        <w:tc>
          <w:tcPr>
            <w:tcW w:w="19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non-current liabilities</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41,685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85,104</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127,113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37,686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79,885</w:t>
            </w: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117,906</w:t>
            </w:r>
          </w:p>
        </w:tc>
        <w:tc>
          <w:tcPr>
            <w:tcW w:w="0" w:type="dxa"/>
            <w:vAlign w:val="bottom"/>
          </w:tcPr>
          <w:p>
            <w:pPr>
              <w:spacing w:after="0"/>
              <w:rPr>
                <w:sz w:val="1"/>
                <w:szCs w:val="1"/>
                <w:color w:val="auto"/>
              </w:rPr>
            </w:pPr>
          </w:p>
        </w:tc>
      </w:tr>
      <w:tr>
        <w:trPr>
          <w:trHeight w:val="165"/>
        </w:trPr>
        <w:tc>
          <w:tcPr>
            <w:tcW w:w="1920" w:type="dxa"/>
            <w:vAlign w:val="bottom"/>
          </w:tcPr>
          <w:p>
            <w:pPr>
              <w:ind w:left="20"/>
              <w:spacing w:after="0"/>
              <w:rPr>
                <w:sz w:val="20"/>
                <w:szCs w:val="20"/>
                <w:color w:val="auto"/>
              </w:rPr>
            </w:pPr>
            <w:r>
              <w:rPr>
                <w:rFonts w:ascii="Arial" w:cs="Arial" w:eastAsia="Arial" w:hAnsi="Arial"/>
                <w:sz w:val="13"/>
                <w:szCs w:val="13"/>
                <w:b w:val="1"/>
                <w:bCs w:val="1"/>
                <w:color w:val="auto"/>
              </w:rPr>
              <w:t>Total Liabilities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94,818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126,917</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220,925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90,494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3,844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123,551</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214,171</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20" w:type="dxa"/>
            <w:vAlign w:val="bottom"/>
          </w:tcPr>
          <w:p>
            <w:pPr>
              <w:ind w:left="100"/>
              <w:spacing w:after="0"/>
              <w:rPr>
                <w:sz w:val="20"/>
                <w:szCs w:val="20"/>
                <w:color w:val="auto"/>
              </w:rPr>
            </w:pPr>
            <w:r>
              <w:rPr>
                <w:rFonts w:ascii="Arial" w:cs="Arial" w:eastAsia="Arial" w:hAnsi="Arial"/>
                <w:sz w:val="13"/>
                <w:szCs w:val="13"/>
                <w:color w:val="auto"/>
                <w:w w:val="98"/>
              </w:rPr>
              <w:t>Common stock, $0.01 par value</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Additional paid-in capital(e)</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1,137</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19,632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1,196</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20,843</w:t>
            </w:r>
          </w:p>
        </w:tc>
        <w:tc>
          <w:tcPr>
            <w:tcW w:w="0" w:type="dxa"/>
            <w:vAlign w:val="bottom"/>
          </w:tcPr>
          <w:p>
            <w:pPr>
              <w:spacing w:after="0"/>
              <w:rPr>
                <w:sz w:val="1"/>
                <w:szCs w:val="1"/>
                <w:color w:val="auto"/>
              </w:rPr>
            </w:pPr>
          </w:p>
        </w:tc>
      </w:tr>
      <w:tr>
        <w:trPr>
          <w:trHeight w:val="171"/>
        </w:trPr>
        <w:tc>
          <w:tcPr>
            <w:tcW w:w="1920" w:type="dxa"/>
            <w:vAlign w:val="bottom"/>
          </w:tcPr>
          <w:p>
            <w:pPr>
              <w:ind w:left="100"/>
              <w:spacing w:after="0"/>
              <w:rPr>
                <w:sz w:val="20"/>
                <w:szCs w:val="20"/>
                <w:color w:val="auto"/>
              </w:rPr>
            </w:pPr>
            <w:r>
              <w:rPr>
                <w:rFonts w:ascii="Arial" w:cs="Arial" w:eastAsia="Arial" w:hAnsi="Arial"/>
                <w:sz w:val="13"/>
                <w:szCs w:val="13"/>
                <w:color w:val="auto"/>
              </w:rPr>
              <w:t>Retained earnings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42,382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7"/>
              </w:rPr>
              <w:t>(1,945)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16,236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56,675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40,203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(2,647)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15,916</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53,472</w:t>
            </w: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ind w:left="100"/>
              <w:spacing w:after="0" w:line="126" w:lineRule="exact"/>
              <w:rPr>
                <w:sz w:val="20"/>
                <w:szCs w:val="20"/>
                <w:color w:val="auto"/>
              </w:rPr>
            </w:pPr>
            <w:r>
              <w:rPr>
                <w:rFonts w:ascii="Arial" w:cs="Arial" w:eastAsia="Arial" w:hAnsi="Arial"/>
                <w:sz w:val="13"/>
                <w:szCs w:val="13"/>
                <w:color w:val="auto"/>
              </w:rPr>
              <w:t>Accumulated other</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comprehensive loss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(1,397)</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(9,744)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(11,253)</w:t>
            </w:r>
          </w:p>
        </w:tc>
        <w:tc>
          <w:tcPr>
            <w:tcW w:w="0" w:type="dxa"/>
            <w:vAlign w:val="bottom"/>
          </w:tcPr>
          <w:p>
            <w:pPr>
              <w:spacing w:after="0"/>
              <w:rPr>
                <w:sz w:val="1"/>
                <w:szCs w:val="1"/>
                <w:color w:val="auto"/>
              </w:rPr>
            </w:pPr>
          </w:p>
        </w:tc>
      </w:tr>
      <w:tr>
        <w:trPr>
          <w:trHeight w:val="164"/>
        </w:trPr>
        <w:tc>
          <w:tcPr>
            <w:tcW w:w="1920" w:type="dxa"/>
            <w:vAlign w:val="bottom"/>
          </w:tcPr>
          <w:p>
            <w:pPr>
              <w:ind w:left="100"/>
              <w:spacing w:after="0"/>
              <w:rPr>
                <w:sz w:val="20"/>
                <w:szCs w:val="20"/>
                <w:color w:val="auto"/>
              </w:rPr>
            </w:pPr>
            <w:r>
              <w:rPr>
                <w:rFonts w:ascii="Arial" w:cs="Arial" w:eastAsia="Arial" w:hAnsi="Arial"/>
                <w:sz w:val="13"/>
                <w:szCs w:val="13"/>
                <w:color w:val="auto"/>
              </w:rPr>
              <w:t>Total stockholders’ equity</w:t>
            </w: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51,581</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(83)</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15,976</w:t>
            </w:r>
          </w:p>
        </w:tc>
        <w:tc>
          <w:tcPr>
            <w:tcW w:w="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(1,111)</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66,363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50,100</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(1,464)</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15,606</w:t>
            </w: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(1,170)</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63,072</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Noncontrolling interests(e)</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780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2,518</w:t>
            </w:r>
          </w:p>
        </w:tc>
        <w:tc>
          <w:tcPr>
            <w:tcW w:w="0" w:type="dxa"/>
            <w:vAlign w:val="bottom"/>
          </w:tcPr>
          <w:p>
            <w:pPr>
              <w:spacing w:after="0"/>
              <w:rPr>
                <w:sz w:val="1"/>
                <w:szCs w:val="1"/>
                <w:color w:val="auto"/>
              </w:rPr>
            </w:pPr>
          </w:p>
        </w:tc>
      </w:tr>
      <w:tr>
        <w:trPr>
          <w:trHeight w:val="165"/>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Equity</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52,566</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15,976</w:t>
            </w:r>
          </w:p>
        </w:tc>
        <w:tc>
          <w:tcPr>
            <w:tcW w:w="8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68,459</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50,880</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(896)</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15,606</w:t>
            </w:r>
          </w:p>
        </w:tc>
        <w:tc>
          <w:tcPr>
            <w:tcW w:w="12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65,590</w:t>
            </w:r>
          </w:p>
        </w:tc>
        <w:tc>
          <w:tcPr>
            <w:tcW w:w="0" w:type="dxa"/>
            <w:vAlign w:val="bottom"/>
          </w:tcPr>
          <w:p>
            <w:pPr>
              <w:spacing w:after="0"/>
              <w:rPr>
                <w:sz w:val="1"/>
                <w:szCs w:val="1"/>
                <w:color w:val="auto"/>
              </w:rPr>
            </w:pPr>
          </w:p>
        </w:tc>
      </w:tr>
      <w:tr>
        <w:trPr>
          <w:trHeight w:val="198"/>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147,384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142,893</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289,384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141,374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139,156</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279,761</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jc w:val="both"/>
        <w:ind w:left="340" w:hanging="332"/>
        <w:spacing w:after="0" w:line="247" w:lineRule="auto"/>
        <w:tabs>
          <w:tab w:leader="none" w:pos="337" w:val="left"/>
        </w:tabs>
        <w:numPr>
          <w:ilvl w:val="0"/>
          <w:numId w:val="8"/>
        </w:numPr>
        <w:rPr>
          <w:rFonts w:ascii="Arial" w:cs="Arial" w:eastAsia="Arial" w:hAnsi="Arial"/>
          <w:sz w:val="11"/>
          <w:szCs w:val="11"/>
          <w:color w:val="auto"/>
        </w:rPr>
      </w:pPr>
      <w:r>
        <w:rPr>
          <w:rFonts w:ascii="Arial" w:cs="Arial" w:eastAsia="Arial" w:hAnsi="Arial"/>
          <w:sz w:val="11"/>
          <w:szCs w:val="11"/>
          <w:color w:val="auto"/>
        </w:rPr>
        <w:t>Eliminations primarily include GM Financial accounts and notes receivable of $0.6 billion due from Automotive; Automotive accounts receivable of $0.1 billion primarily due from GM Financial; and Cruise accounts receivable of $0.2 billion due from Automotive at June 30, 2025; and GM Financial accounts and notes receivable of $0.5 billion due from Automotive; and Automotive accounts receivable of $0.2 billion primarily due from GM Financial and Cruise at December 31, 2024.</w:t>
      </w:r>
    </w:p>
    <w:p>
      <w:pPr>
        <w:ind w:left="340" w:hanging="332"/>
        <w:spacing w:after="0" w:line="243" w:lineRule="auto"/>
        <w:tabs>
          <w:tab w:leader="none" w:pos="337" w:val="left"/>
        </w:tabs>
        <w:numPr>
          <w:ilvl w:val="0"/>
          <w:numId w:val="8"/>
        </w:numPr>
        <w:rPr>
          <w:rFonts w:ascii="Arial" w:cs="Arial" w:eastAsia="Arial" w:hAnsi="Arial"/>
          <w:sz w:val="11"/>
          <w:szCs w:val="11"/>
          <w:color w:val="auto"/>
        </w:rPr>
      </w:pPr>
      <w:r>
        <w:rPr>
          <w:rFonts w:ascii="Arial" w:cs="Arial" w:eastAsia="Arial" w:hAnsi="Arial"/>
          <w:sz w:val="11"/>
          <w:szCs w:val="11"/>
          <w:color w:val="auto"/>
        </w:rPr>
        <w:t>Eliminations primarily related to convertible note issued by Cruise to Automotive and deferral agreement between Cruise and Automotive as regards to engineering, capital spending, restructuring and other costs incurred by Automotive on behalf of Cruise resulting in a long-term payable for Cruise offset by a long-term receivable for Automotive at December 31, 2024.</w:t>
      </w:r>
    </w:p>
    <w:p>
      <w:pPr>
        <w:ind w:left="320" w:hanging="312"/>
        <w:spacing w:after="0"/>
        <w:tabs>
          <w:tab w:leader="none" w:pos="320" w:val="left"/>
        </w:tabs>
        <w:numPr>
          <w:ilvl w:val="0"/>
          <w:numId w:val="8"/>
        </w:numPr>
        <w:rPr>
          <w:rFonts w:ascii="Arial" w:cs="Arial" w:eastAsia="Arial" w:hAnsi="Arial"/>
          <w:sz w:val="11"/>
          <w:szCs w:val="11"/>
          <w:color w:val="auto"/>
        </w:rPr>
      </w:pPr>
      <w:r>
        <w:rPr>
          <w:rFonts w:ascii="Arial" w:cs="Arial" w:eastAsia="Arial" w:hAnsi="Arial"/>
          <w:sz w:val="11"/>
          <w:szCs w:val="11"/>
          <w:color w:val="auto"/>
        </w:rPr>
        <w:t>Eliminations primarily related to intercompany loans due from Cruise to GM Financial at December 31, 2024.</w:t>
      </w:r>
    </w:p>
    <w:p>
      <w:pPr>
        <w:spacing w:after="0" w:line="8" w:lineRule="exact"/>
        <w:rPr>
          <w:rFonts w:ascii="Arial" w:cs="Arial" w:eastAsia="Arial" w:hAnsi="Arial"/>
          <w:sz w:val="11"/>
          <w:szCs w:val="11"/>
          <w:color w:val="auto"/>
        </w:rPr>
      </w:pPr>
    </w:p>
    <w:p>
      <w:pPr>
        <w:ind w:left="320" w:hanging="312"/>
        <w:spacing w:after="0" w:line="236" w:lineRule="auto"/>
        <w:tabs>
          <w:tab w:leader="none" w:pos="320" w:val="left"/>
        </w:tabs>
        <w:numPr>
          <w:ilvl w:val="0"/>
          <w:numId w:val="8"/>
        </w:numPr>
        <w:rPr>
          <w:rFonts w:ascii="Arial" w:cs="Arial" w:eastAsia="Arial" w:hAnsi="Arial"/>
          <w:sz w:val="11"/>
          <w:szCs w:val="11"/>
          <w:color w:val="auto"/>
        </w:rPr>
      </w:pPr>
      <w:r>
        <w:rPr>
          <w:rFonts w:ascii="Arial" w:cs="Arial" w:eastAsia="Arial" w:hAnsi="Arial"/>
          <w:sz w:val="11"/>
          <w:szCs w:val="11"/>
          <w:color w:val="auto"/>
        </w:rPr>
        <w:t>Eliminations primarily related to GM Financial accounts receivable due from Automotive and Cruise.</w:t>
      </w:r>
    </w:p>
    <w:p>
      <w:pPr>
        <w:ind w:left="320" w:hanging="312"/>
        <w:spacing w:after="0"/>
        <w:tabs>
          <w:tab w:leader="none" w:pos="320" w:val="left"/>
        </w:tabs>
        <w:numPr>
          <w:ilvl w:val="0"/>
          <w:numId w:val="8"/>
        </w:numPr>
        <w:rPr>
          <w:rFonts w:ascii="Arial" w:cs="Arial" w:eastAsia="Arial" w:hAnsi="Arial"/>
          <w:sz w:val="11"/>
          <w:szCs w:val="11"/>
          <w:color w:val="auto"/>
        </w:rPr>
      </w:pPr>
      <w:r>
        <w:rPr>
          <w:rFonts w:ascii="Arial" w:cs="Arial" w:eastAsia="Arial" w:hAnsi="Arial"/>
          <w:sz w:val="11"/>
          <w:szCs w:val="11"/>
          <w:color w:val="auto"/>
        </w:rPr>
        <w:t>Primarily reclassification of GM Financial Cumulative Perpetual Preferred Stock, Series A, B and C. The preferred stock is classified as noncontrolling interests in our consolidated balance sheets.</w:t>
      </w:r>
    </w:p>
    <w:p>
      <w:pPr>
        <w:sectPr>
          <w:pgSz w:w="11900" w:h="16838" w:orient="portrait"/>
          <w:cols w:equalWidth="0" w:num="1">
            <w:col w:w="11240"/>
          </w:cols>
          <w:pgMar w:left="320" w:top="8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54" w:right="339" w:bottom="1440" w:gutter="0" w:footer="0" w:header="0"/>
          <w:type w:val="continuous"/>
        </w:sectPr>
      </w:pPr>
    </w:p>
    <w:bookmarkStart w:id="10" w:name="page11"/>
    <w:bookmarkEnd w:id="10"/>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Combining Cash Flow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ind w:left="380"/>
              <w:spacing w:after="0"/>
              <w:rPr>
                <w:sz w:val="20"/>
                <w:szCs w:val="20"/>
                <w:color w:val="auto"/>
              </w:rPr>
            </w:pPr>
            <w:r>
              <w:rPr>
                <w:rFonts w:ascii="Arial" w:cs="Arial" w:eastAsia="Arial" w:hAnsi="Arial"/>
                <w:sz w:val="13"/>
                <w:szCs w:val="13"/>
                <w:b w:val="1"/>
                <w:bCs w:val="1"/>
                <w:color w:val="auto"/>
                <w:w w:val="97"/>
              </w:rPr>
              <w:t>Six Months Ended June 30, 2025</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ind w:left="420"/>
              <w:spacing w:after="0"/>
              <w:rPr>
                <w:sz w:val="20"/>
                <w:szCs w:val="20"/>
                <w:color w:val="auto"/>
              </w:rPr>
            </w:pPr>
            <w:r>
              <w:rPr>
                <w:rFonts w:ascii="Arial" w:cs="Arial" w:eastAsia="Arial" w:hAnsi="Arial"/>
                <w:sz w:val="13"/>
                <w:szCs w:val="13"/>
                <w:b w:val="1"/>
                <w:bCs w:val="1"/>
                <w:color w:val="auto"/>
                <w:w w:val="98"/>
              </w:rPr>
              <w:t>Six Months Ended June 30, 2024</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960" w:type="dxa"/>
            <w:vAlign w:val="bottom"/>
          </w:tcPr>
          <w:p>
            <w:pPr>
              <w:spacing w:after="0"/>
              <w:rPr>
                <w:sz w:val="9"/>
                <w:szCs w:val="9"/>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640" w:type="dxa"/>
            <w:vAlign w:val="bottom"/>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80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Combined</w:t>
            </w:r>
          </w:p>
        </w:tc>
        <w:tc>
          <w:tcPr>
            <w:tcW w:w="8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640" w:type="dxa"/>
            <w:vAlign w:val="bottom"/>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rPr>
              <w:t>GM</w:t>
            </w:r>
          </w:p>
        </w:tc>
        <w:tc>
          <w:tcPr>
            <w:tcW w:w="16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Reclassifications/Eliminations</w:t>
            </w:r>
          </w:p>
        </w:tc>
        <w:tc>
          <w:tcPr>
            <w:tcW w:w="80" w:type="dxa"/>
            <w:vAlign w:val="bottom"/>
          </w:tcPr>
          <w:p>
            <w:pPr>
              <w:spacing w:after="0"/>
              <w:rPr>
                <w:sz w:val="9"/>
                <w:szCs w:val="9"/>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6"/>
              </w:rPr>
              <w:t>Financial</w:t>
            </w:r>
          </w:p>
        </w:tc>
        <w:tc>
          <w:tcPr>
            <w:tcW w:w="1680" w:type="dxa"/>
            <w:vAlign w:val="bottom"/>
            <w:gridSpan w:val="3"/>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6"/>
              </w:rPr>
              <w:t>Financial</w:t>
            </w:r>
          </w:p>
        </w:tc>
        <w:tc>
          <w:tcPr>
            <w:tcW w:w="16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8" w:lineRule="exact"/>
              <w:rPr>
                <w:sz w:val="20"/>
                <w:szCs w:val="20"/>
                <w:color w:val="auto"/>
              </w:rPr>
            </w:pPr>
            <w:r>
              <w:rPr>
                <w:rFonts w:ascii="Arial" w:cs="Arial" w:eastAsia="Arial" w:hAnsi="Arial"/>
                <w:sz w:val="12"/>
                <w:szCs w:val="12"/>
                <w:b w:val="1"/>
                <w:bCs w:val="1"/>
                <w:color w:val="auto"/>
              </w:rPr>
              <w:t>Cash flows from operating</w:t>
            </w:r>
          </w:p>
        </w:tc>
        <w:tc>
          <w:tcPr>
            <w:tcW w:w="1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960" w:type="dxa"/>
            <w:vAlign w:val="bottom"/>
          </w:tcPr>
          <w:p>
            <w:pPr>
              <w:ind w:left="180"/>
              <w:spacing w:after="0"/>
              <w:rPr>
                <w:sz w:val="20"/>
                <w:szCs w:val="20"/>
                <w:color w:val="auto"/>
              </w:rPr>
            </w:pPr>
            <w:r>
              <w:rPr>
                <w:rFonts w:ascii="Arial" w:cs="Arial" w:eastAsia="Arial" w:hAnsi="Arial"/>
                <w:sz w:val="13"/>
                <w:szCs w:val="13"/>
                <w:b w:val="1"/>
                <w:bCs w:val="1"/>
                <w:color w:val="auto"/>
              </w:rPr>
              <w:t>activities</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6,051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1,145</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5,830</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w w:val="99"/>
              </w:rPr>
              <w:t>Depreciation and impairment of</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Equipment on operating</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leases, net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2,438</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2,438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2,425</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2,425</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Depreciation, amortization and</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impairment charges on</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Property, net</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3,859</w:t>
            </w:r>
          </w:p>
        </w:tc>
        <w:tc>
          <w:tcPr>
            <w:tcW w:w="0" w:type="dxa"/>
            <w:vAlign w:val="bottom"/>
          </w:tcPr>
          <w:p>
            <w:pPr>
              <w:spacing w:after="0"/>
              <w:rPr>
                <w:sz w:val="1"/>
                <w:szCs w:val="1"/>
                <w:color w:val="auto"/>
              </w:rPr>
            </w:pPr>
          </w:p>
        </w:tc>
      </w:tr>
      <w:tr>
        <w:trPr>
          <w:trHeight w:val="121"/>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Foreign currency</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remeasurement and</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transaction (gains) losses</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Undistributed earnings of</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nonconsolidated affiliates,</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Pension contributions and</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OPEB payments</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183"/>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8"/>
              </w:rPr>
              <w:t>Pension and OPEB income, net</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21"/>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Provision (benefit) for deferred</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taxes</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208</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1,234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289</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1,127</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Change in other operating</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assets and liabilities(a)(c)</w:t>
            </w:r>
          </w:p>
        </w:tc>
        <w:tc>
          <w:tcPr>
            <w:tcW w:w="1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12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2,573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1,406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(617)</w:t>
            </w:r>
          </w:p>
        </w:tc>
        <w:tc>
          <w:tcPr>
            <w:tcW w:w="12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(4,107)</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(3,464)</w:t>
            </w:r>
          </w:p>
        </w:tc>
        <w:tc>
          <w:tcPr>
            <w:tcW w:w="0" w:type="dxa"/>
            <w:vAlign w:val="bottom"/>
          </w:tcPr>
          <w:p>
            <w:pPr>
              <w:spacing w:after="0"/>
              <w:rPr>
                <w:sz w:val="1"/>
                <w:szCs w:val="1"/>
                <w:color w:val="auto"/>
              </w:rPr>
            </w:pPr>
          </w:p>
        </w:tc>
      </w:tr>
      <w:tr>
        <w:trPr>
          <w:trHeight w:val="101"/>
        </w:trPr>
        <w:tc>
          <w:tcPr>
            <w:tcW w:w="196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Net cash provided by (used in)</w:t>
            </w: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180"/>
              <w:spacing w:after="0"/>
              <w:rPr>
                <w:sz w:val="20"/>
                <w:szCs w:val="20"/>
                <w:color w:val="auto"/>
              </w:rPr>
            </w:pPr>
            <w:r>
              <w:rPr>
                <w:rFonts w:ascii="Arial" w:cs="Arial" w:eastAsia="Arial" w:hAnsi="Arial"/>
                <w:sz w:val="13"/>
                <w:szCs w:val="13"/>
                <w:b w:val="1"/>
                <w:bCs w:val="1"/>
                <w:color w:val="auto"/>
              </w:rPr>
              <w:t>operating activities</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7,057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4,065</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2,573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12,969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11,311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3,214</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(4,107)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9,128</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Cash flows from investing</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activities</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Arial" w:cs="Arial" w:eastAsia="Arial" w:hAnsi="Arial"/>
                <w:sz w:val="13"/>
                <w:szCs w:val="13"/>
                <w:color w:val="auto"/>
              </w:rPr>
              <w:t>Expenditures for property</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(3,940)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(3,953)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(5,267)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(5,352)</w:t>
            </w: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Available-for-sale marketable</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securities, acquisitions</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(2,232)</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Available-for-sale marketable</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securities, liquidations</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1,535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1,535</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Purchases of finance</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receivables(a)</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(19,270)</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(19,275)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(20,016)</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(16,639)</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Principal collections and</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recoveries on finance</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receivables(a)(b)</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20,902</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(3,616)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17,286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15,577</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15,578</w:t>
            </w:r>
          </w:p>
        </w:tc>
        <w:tc>
          <w:tcPr>
            <w:tcW w:w="0" w:type="dxa"/>
            <w:vAlign w:val="bottom"/>
          </w:tcPr>
          <w:p>
            <w:pPr>
              <w:spacing w:after="0"/>
              <w:rPr>
                <w:sz w:val="1"/>
                <w:szCs w:val="1"/>
                <w:color w:val="auto"/>
              </w:rPr>
            </w:pPr>
          </w:p>
        </w:tc>
      </w:tr>
      <w:tr>
        <w:trPr>
          <w:trHeight w:val="183"/>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leased vehicles</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(8,591)</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(7,489)</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(7,489)</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Proceeds from termination of</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leased vehicles</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5,326</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5,326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6,157</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6,157</w:t>
            </w:r>
          </w:p>
        </w:tc>
        <w:tc>
          <w:tcPr>
            <w:tcW w:w="0" w:type="dxa"/>
            <w:vAlign w:val="bottom"/>
          </w:tcPr>
          <w:p>
            <w:pPr>
              <w:spacing w:after="0"/>
              <w:rPr>
                <w:sz w:val="1"/>
                <w:szCs w:val="1"/>
                <w:color w:val="auto"/>
              </w:rPr>
            </w:pPr>
          </w:p>
        </w:tc>
      </w:tr>
      <w:tr>
        <w:trPr>
          <w:trHeight w:val="183"/>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investing activities(b)</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02"/>
        </w:trPr>
        <w:tc>
          <w:tcPr>
            <w:tcW w:w="196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Net cash provided by (used in)</w:t>
            </w:r>
          </w:p>
        </w:tc>
        <w:tc>
          <w:tcPr>
            <w:tcW w:w="1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180"/>
              <w:spacing w:after="0"/>
              <w:rPr>
                <w:sz w:val="20"/>
                <w:szCs w:val="20"/>
                <w:color w:val="auto"/>
              </w:rPr>
            </w:pPr>
            <w:r>
              <w:rPr>
                <w:rFonts w:ascii="Arial" w:cs="Arial" w:eastAsia="Arial" w:hAnsi="Arial"/>
                <w:sz w:val="13"/>
                <w:szCs w:val="13"/>
                <w:b w:val="1"/>
                <w:bCs w:val="1"/>
                <w:color w:val="auto"/>
              </w:rPr>
              <w:t>investing activities</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(6,790)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(1,642)</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(11,158)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(7,656)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(5,781)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4,452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(8,987)</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Cash flows from financing</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activities</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Net increase (decrease) in</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short-term debt</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296</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w w:val="98"/>
              </w:rPr>
              <w:t>Proceeds from issuance of debt</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(original maturities greater</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than three months)(b)</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28,650</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30,668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29,350</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29,370</w:t>
            </w:r>
          </w:p>
        </w:tc>
        <w:tc>
          <w:tcPr>
            <w:tcW w:w="0" w:type="dxa"/>
            <w:vAlign w:val="bottom"/>
          </w:tcPr>
          <w:p>
            <w:pPr>
              <w:spacing w:after="0"/>
              <w:rPr>
                <w:sz w:val="1"/>
                <w:szCs w:val="1"/>
                <w:color w:val="auto"/>
              </w:rPr>
            </w:pPr>
          </w:p>
        </w:tc>
      </w:tr>
      <w:tr>
        <w:trPr>
          <w:trHeight w:val="121"/>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Payments on debt (original</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maturities greater than three</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months)</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(26,722)</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(27,316)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(23,815)</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(23,904)</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Payment to purchase common</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stock</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(1,346)</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Issuance (redemption) of</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subsidiary stock(b)</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(255)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paid(c)</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w:t>
            </w: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Arial" w:cs="Arial" w:eastAsia="Arial" w:hAnsi="Arial"/>
                <w:sz w:val="13"/>
                <w:szCs w:val="13"/>
                <w:color w:val="auto"/>
              </w:rPr>
              <w:t>Other financing activities</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(112)</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06"/>
        </w:trPr>
        <w:tc>
          <w:tcPr>
            <w:tcW w:w="1960" w:type="dxa"/>
            <w:vAlign w:val="bottom"/>
            <w:tcBorders>
              <w:top w:val="single" w:sz="8" w:color="CCEEFF"/>
            </w:tcBorders>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rPr>
              <w:t>Net cash provided by (used in)</w:t>
            </w:r>
          </w:p>
        </w:tc>
        <w:tc>
          <w:tcPr>
            <w:tcW w:w="1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financing activities</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1,115</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4,760</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3,793</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Effect of exchange rate</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changes on cash, cash</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60" w:type="dxa"/>
            <w:vAlign w:val="bottom"/>
          </w:tcPr>
          <w:p>
            <w:pPr>
              <w:ind w:left="300"/>
              <w:spacing w:after="0" w:line="131" w:lineRule="exact"/>
              <w:rPr>
                <w:sz w:val="20"/>
                <w:szCs w:val="20"/>
                <w:color w:val="auto"/>
              </w:rPr>
            </w:pPr>
            <w:r>
              <w:rPr>
                <w:rFonts w:ascii="Arial" w:cs="Arial" w:eastAsia="Arial" w:hAnsi="Arial"/>
                <w:sz w:val="13"/>
                <w:szCs w:val="13"/>
                <w:color w:val="auto"/>
              </w:rPr>
              <w:t>equivalents and restricted</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300"/>
              <w:spacing w:after="0"/>
              <w:rPr>
                <w:sz w:val="20"/>
                <w:szCs w:val="20"/>
                <w:color w:val="auto"/>
              </w:rPr>
            </w:pPr>
            <w:r>
              <w:rPr>
                <w:rFonts w:ascii="Arial" w:cs="Arial" w:eastAsia="Arial" w:hAnsi="Arial"/>
                <w:sz w:val="13"/>
                <w:szCs w:val="13"/>
                <w:color w:val="auto"/>
              </w:rPr>
              <w:t>cash</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08"/>
        </w:trPr>
        <w:tc>
          <w:tcPr>
            <w:tcW w:w="1960" w:type="dxa"/>
            <w:vAlign w:val="bottom"/>
            <w:tcBorders>
              <w:top w:val="single" w:sz="8" w:color="CCEEFF"/>
            </w:tcBorders>
            <w:shd w:val="clear" w:color="auto" w:fill="CCEEFF"/>
          </w:tcPr>
          <w:p>
            <w:pPr>
              <w:ind w:left="140"/>
              <w:spacing w:after="0" w:line="108" w:lineRule="exact"/>
              <w:rPr>
                <w:sz w:val="20"/>
                <w:szCs w:val="20"/>
                <w:color w:val="auto"/>
              </w:rPr>
            </w:pPr>
            <w:r>
              <w:rPr>
                <w:rFonts w:ascii="Arial" w:cs="Arial" w:eastAsia="Arial" w:hAnsi="Arial"/>
                <w:sz w:val="12"/>
                <w:szCs w:val="12"/>
                <w:color w:val="auto"/>
              </w:rPr>
              <w:t>Net increase (decrease) in</w:t>
            </w:r>
          </w:p>
        </w:tc>
        <w:tc>
          <w:tcPr>
            <w:tcW w:w="1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cash, cash equivalents and</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restricted cash</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3,602</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2,135</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3,702</w:t>
            </w:r>
          </w:p>
        </w:tc>
        <w:tc>
          <w:tcPr>
            <w:tcW w:w="0" w:type="dxa"/>
            <w:vAlign w:val="bottom"/>
          </w:tcPr>
          <w:p>
            <w:pPr>
              <w:spacing w:after="0"/>
              <w:rPr>
                <w:sz w:val="1"/>
                <w:szCs w:val="1"/>
                <w:color w:val="auto"/>
              </w:rPr>
            </w:pPr>
          </w:p>
        </w:tc>
      </w:tr>
      <w:tr>
        <w:trPr>
          <w:trHeight w:val="121"/>
        </w:trPr>
        <w:tc>
          <w:tcPr>
            <w:tcW w:w="1960" w:type="dxa"/>
            <w:vAlign w:val="bottom"/>
          </w:tcPr>
          <w:p>
            <w:pPr>
              <w:ind w:left="20"/>
              <w:spacing w:after="0" w:line="122" w:lineRule="exact"/>
              <w:rPr>
                <w:sz w:val="20"/>
                <w:szCs w:val="20"/>
                <w:color w:val="auto"/>
              </w:rPr>
            </w:pPr>
            <w:r>
              <w:rPr>
                <w:rFonts w:ascii="Arial" w:cs="Arial" w:eastAsia="Arial" w:hAnsi="Arial"/>
                <w:sz w:val="13"/>
                <w:szCs w:val="13"/>
                <w:color w:val="auto"/>
              </w:rPr>
              <w:t>Cash, cash equivalents and</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180"/>
              <w:spacing w:after="0" w:line="122" w:lineRule="exact"/>
              <w:rPr>
                <w:sz w:val="20"/>
                <w:szCs w:val="20"/>
                <w:color w:val="auto"/>
              </w:rPr>
            </w:pPr>
            <w:r>
              <w:rPr>
                <w:rFonts w:ascii="Arial" w:cs="Arial" w:eastAsia="Arial" w:hAnsi="Arial"/>
                <w:sz w:val="13"/>
                <w:szCs w:val="13"/>
                <w:color w:val="auto"/>
              </w:rPr>
              <w:t>restricted cash at beginning of</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960" w:type="dxa"/>
            <w:vAlign w:val="bottom"/>
          </w:tcPr>
          <w:p>
            <w:pPr>
              <w:ind w:left="180"/>
              <w:spacing w:after="0"/>
              <w:rPr>
                <w:sz w:val="20"/>
                <w:szCs w:val="20"/>
                <w:color w:val="auto"/>
              </w:rPr>
            </w:pPr>
            <w:r>
              <w:rPr>
                <w:rFonts w:ascii="Arial" w:cs="Arial" w:eastAsia="Arial" w:hAnsi="Arial"/>
                <w:sz w:val="13"/>
                <w:szCs w:val="13"/>
                <w:color w:val="auto"/>
              </w:rPr>
              <w:t>period</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14,561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8,081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22,964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12,310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8,249</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21,917</w:t>
            </w:r>
          </w:p>
        </w:tc>
        <w:tc>
          <w:tcPr>
            <w:tcW w:w="0" w:type="dxa"/>
            <w:vAlign w:val="bottom"/>
          </w:tcPr>
          <w:p>
            <w:pPr>
              <w:spacing w:after="0"/>
              <w:rPr>
                <w:sz w:val="1"/>
                <w:szCs w:val="1"/>
                <w:color w:val="auto"/>
              </w:rPr>
            </w:pPr>
          </w:p>
        </w:tc>
      </w:tr>
      <w:tr>
        <w:trPr>
          <w:trHeight w:val="108"/>
        </w:trPr>
        <w:tc>
          <w:tcPr>
            <w:tcW w:w="196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Cash, cash equivalents and</w:t>
            </w:r>
          </w:p>
        </w:tc>
        <w:tc>
          <w:tcPr>
            <w:tcW w:w="1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6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rPr>
              <w:t>restricted cash at end of</w:t>
            </w:r>
          </w:p>
        </w:tc>
        <w:tc>
          <w:tcPr>
            <w:tcW w:w="180" w:type="dxa"/>
            <w:vAlign w:val="bottom"/>
            <w:vMerge w:val="restart"/>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14,025</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11,683</w:t>
            </w:r>
          </w:p>
        </w:tc>
        <w:tc>
          <w:tcPr>
            <w:tcW w:w="12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25,800</w:t>
            </w:r>
          </w:p>
        </w:tc>
        <w:tc>
          <w:tcPr>
            <w:tcW w:w="12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14,123</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1,112</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10,384</w:t>
            </w:r>
          </w:p>
        </w:tc>
        <w:tc>
          <w:tcPr>
            <w:tcW w:w="12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25,620</w:t>
            </w:r>
          </w:p>
        </w:tc>
        <w:tc>
          <w:tcPr>
            <w:tcW w:w="0" w:type="dxa"/>
            <w:vAlign w:val="bottom"/>
          </w:tcPr>
          <w:p>
            <w:pPr>
              <w:spacing w:after="0"/>
              <w:rPr>
                <w:sz w:val="1"/>
                <w:szCs w:val="1"/>
                <w:color w:val="auto"/>
              </w:rPr>
            </w:pPr>
          </w:p>
        </w:tc>
      </w:tr>
      <w:tr>
        <w:trPr>
          <w:trHeight w:val="182"/>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period</w:t>
            </w:r>
          </w:p>
        </w:tc>
        <w:tc>
          <w:tcPr>
            <w:tcW w:w="18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ind w:left="340" w:right="20" w:hanging="332"/>
        <w:spacing w:after="0" w:line="246" w:lineRule="auto"/>
        <w:tabs>
          <w:tab w:leader="none" w:pos="337"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eliminations of $3.3 billion in the six months ended June 30, 2025 and 2024 primarily driven by purchases/collections of wholesale finance receivables resulting from vehicles sold by GM to dealers that have arranged their inventory floor plan financing through GM Financial.</w:t>
      </w:r>
    </w:p>
    <w:p>
      <w:pPr>
        <w:ind w:left="320" w:hanging="312"/>
        <w:spacing w:after="0"/>
        <w:tabs>
          <w:tab w:leader="none" w:pos="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include intercompany funding activity from Automotive and GM Financial to Cruise in the six months ended June 30, 2025 and 2024.</w:t>
      </w:r>
    </w:p>
    <w:p>
      <w:pPr>
        <w:spacing w:after="0" w:line="5" w:lineRule="exact"/>
        <w:rPr>
          <w:rFonts w:ascii="Arial" w:cs="Arial" w:eastAsia="Arial" w:hAnsi="Arial"/>
          <w:sz w:val="11"/>
          <w:szCs w:val="11"/>
          <w:color w:val="auto"/>
        </w:rPr>
      </w:pPr>
    </w:p>
    <w:p>
      <w:pPr>
        <w:ind w:left="320" w:hanging="312"/>
        <w:spacing w:after="0" w:line="211" w:lineRule="auto"/>
        <w:tabs>
          <w:tab w:leader="none" w:pos="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include dividends issued by GM Financial to Automotive in the six months ended June 30, 2025 and 2024.</w:t>
      </w:r>
    </w:p>
    <w:p>
      <w:pPr>
        <w:spacing w:after="0"/>
        <w:rPr>
          <w:sz w:val="20"/>
          <w:szCs w:val="20"/>
          <w:color w:val="auto"/>
        </w:rPr>
      </w:pPr>
      <w:r>
        <w:rPr>
          <w:rFonts w:ascii="Arial" w:cs="Arial" w:eastAsia="Arial" w:hAnsi="Arial"/>
          <w:sz w:val="11"/>
          <w:szCs w:val="11"/>
          <w:color w:val="auto"/>
        </w:rPr>
        <w:t>Note: Certain intercompany transactions that are eliminated in consolidation are presented on a net basis.</w:t>
      </w:r>
    </w:p>
    <w:p>
      <w:pPr>
        <w:sectPr>
          <w:pgSz w:w="11900" w:h="16838" w:orient="portrait"/>
          <w:cols w:equalWidth="0" w:num="1">
            <w:col w:w="11240"/>
          </w:cols>
          <w:pgMar w:left="320" w:top="854" w:right="339" w:bottom="10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54" w:right="339" w:bottom="1006"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key financial information by segment (dollars in millions):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10"/>
                <w:szCs w:val="10"/>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540" w:type="dxa"/>
            <w:vAlign w:val="bottom"/>
          </w:tcPr>
          <w:p>
            <w:pPr>
              <w:ind w:left="20"/>
              <w:spacing w:after="0"/>
              <w:rPr>
                <w:sz w:val="20"/>
                <w:szCs w:val="20"/>
                <w:color w:val="auto"/>
              </w:rPr>
            </w:pPr>
            <w:r>
              <w:rPr>
                <w:rFonts w:ascii="Arial" w:cs="Arial" w:eastAsia="Arial" w:hAnsi="Arial"/>
                <w:sz w:val="11"/>
                <w:szCs w:val="11"/>
                <w:b w:val="1"/>
                <w:bCs w:val="1"/>
                <w:color w:val="auto"/>
              </w:rPr>
              <w:t>Three Months Ended June 30, 2025</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39,486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4,255</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47,122</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2,014</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2,131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2,137</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1,243</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3,026</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378"/>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24"/>
                <w:szCs w:val="2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24"/>
                <w:szCs w:val="24"/>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24"/>
                <w:szCs w:val="2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540" w:type="dxa"/>
            <w:vAlign w:val="bottom"/>
          </w:tcPr>
          <w:p>
            <w:pPr>
              <w:ind w:left="20"/>
              <w:spacing w:after="0"/>
              <w:rPr>
                <w:sz w:val="20"/>
                <w:szCs w:val="20"/>
                <w:color w:val="auto"/>
              </w:rPr>
            </w:pPr>
            <w:r>
              <w:rPr>
                <w:rFonts w:ascii="Arial" w:cs="Arial" w:eastAsia="Arial" w:hAnsi="Arial"/>
                <w:sz w:val="11"/>
                <w:szCs w:val="11"/>
                <w:b w:val="1"/>
                <w:bCs w:val="1"/>
                <w:color w:val="auto"/>
              </w:rPr>
              <w:t>Three Months Ended June 30, 2024</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40,725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3,918</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47,969</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2,461</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2,539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2,569</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2,880</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605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605</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365"/>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24"/>
                <w:szCs w:val="2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24"/>
                <w:szCs w:val="24"/>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24"/>
                <w:szCs w:val="2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40" w:type="dxa"/>
            <w:vAlign w:val="bottom"/>
          </w:tcPr>
          <w:p>
            <w:pPr>
              <w:ind w:left="20"/>
              <w:spacing w:after="0"/>
              <w:rPr>
                <w:sz w:val="20"/>
                <w:szCs w:val="20"/>
                <w:color w:val="auto"/>
              </w:rPr>
            </w:pPr>
            <w:r>
              <w:rPr>
                <w:rFonts w:ascii="Arial" w:cs="Arial" w:eastAsia="Arial" w:hAnsi="Arial"/>
                <w:sz w:val="11"/>
                <w:szCs w:val="11"/>
                <w:b w:val="1"/>
                <w:bCs w:val="1"/>
                <w:color w:val="auto"/>
              </w:rPr>
              <w:t>Six Months Ended June 30, 2025</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76,873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8,419</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91,141</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3,719</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182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3,940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3,953</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2,456</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5,959</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w:t>
            </w:r>
          </w:p>
        </w:tc>
        <w:tc>
          <w:tcPr>
            <w:tcW w:w="0" w:type="dxa"/>
            <w:vAlign w:val="bottom"/>
          </w:tcPr>
          <w:p>
            <w:pPr>
              <w:spacing w:after="0"/>
              <w:rPr>
                <w:sz w:val="1"/>
                <w:szCs w:val="1"/>
                <w:color w:val="auto"/>
              </w:rPr>
            </w:pPr>
          </w:p>
        </w:tc>
      </w:tr>
      <w:tr>
        <w:trPr>
          <w:trHeight w:val="378"/>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24"/>
                <w:szCs w:val="2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24"/>
                <w:szCs w:val="24"/>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24"/>
                <w:szCs w:val="2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40" w:type="dxa"/>
            <w:vAlign w:val="bottom"/>
          </w:tcPr>
          <w:p>
            <w:pPr>
              <w:ind w:left="20"/>
              <w:spacing w:after="0"/>
              <w:rPr>
                <w:sz w:val="20"/>
                <w:szCs w:val="20"/>
                <w:color w:val="auto"/>
              </w:rPr>
            </w:pPr>
            <w:r>
              <w:rPr>
                <w:rFonts w:ascii="Arial" w:cs="Arial" w:eastAsia="Arial" w:hAnsi="Arial"/>
                <w:sz w:val="11"/>
                <w:szCs w:val="11"/>
                <w:b w:val="1"/>
                <w:bCs w:val="1"/>
                <w:color w:val="auto"/>
              </w:rPr>
              <w:t>Six Months Ended June 30, 2024</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7,730</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90,983</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5,091</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5,267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5,352</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2,445</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5,678</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605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605</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8" w:lineRule="exact"/>
        <w:rPr>
          <w:sz w:val="20"/>
          <w:szCs w:val="20"/>
          <w:color w:val="auto"/>
        </w:rPr>
      </w:pPr>
    </w:p>
    <w:p>
      <w:pPr>
        <w:ind w:left="340" w:hanging="332"/>
        <w:spacing w:after="0" w:line="238" w:lineRule="auto"/>
        <w:tabs>
          <w:tab w:leader="none" w:pos="332"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Automotive China joint ventures (Automotive China JVs) equity income (loss) of $71 million and $116 million in the three and six months ended June 30, 2025 and $(104) million and $(210) million in the three and six months ended June 30, 2024.</w:t>
      </w:r>
    </w:p>
    <w:p>
      <w:pPr>
        <w:jc w:val="both"/>
        <w:ind w:left="340" w:hanging="332"/>
        <w:spacing w:after="0" w:line="242" w:lineRule="auto"/>
        <w:tabs>
          <w:tab w:leader="none" w:pos="332" w:val="left"/>
        </w:tabs>
        <w:numPr>
          <w:ilvl w:val="0"/>
          <w:numId w:val="10"/>
        </w:numPr>
        <w:rPr>
          <w:rFonts w:ascii="Arial" w:cs="Arial" w:eastAsia="Arial" w:hAnsi="Arial"/>
          <w:sz w:val="13"/>
          <w:szCs w:val="13"/>
          <w:color w:val="auto"/>
        </w:rPr>
      </w:pPr>
      <w:r>
        <w:rPr>
          <w:rFonts w:ascii="Arial" w:cs="Arial" w:eastAsia="Arial" w:hAnsi="Arial"/>
          <w:sz w:val="13"/>
          <w:szCs w:val="13"/>
          <w:color w:val="auto"/>
        </w:rPr>
        <w:t>Equity earnings related to Ultium Cells Holdings LLC, an equally owned joint venture with LG Energy Solution, are presented in Automotive and other cost of sales as this entity is integral to the operations of our business by providing battery cells for our electric vehicles (EVs). Equity earnings related to Ultium Cells Holdings LLC were $11 million and $252 million in the three and six months ended June 30, 2025 and $324 million and $479 million in the three and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5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General Motors Company (GM) uses both generally accepted accounting principles (GAAP) and non-GAAP financial measures for operational and financial decision making, and to assess Company and segment business performance. Our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i w:val="1"/>
          <w:iCs w:val="1"/>
          <w:color w:val="auto"/>
        </w:rPr>
        <w:t>(Most comparable GAAP measure: Net income attributable to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EBIT-adjusted is presented net of noncontrolling interests and</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an integral part of its financial performance.</w:t>
      </w:r>
    </w:p>
    <w:p>
      <w:pPr>
        <w:spacing w:after="0" w:line="222"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i w:val="1"/>
          <w:iCs w:val="1"/>
          <w:color w:val="auto"/>
        </w:rPr>
        <w:t>(Most comparable GAAP measure: Diluted earnings per common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EPS-diluted-adjusted is used by management and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spacing w:after="0" w:line="200"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ETR-adjusted </w:t>
      </w:r>
      <w:r>
        <w:rPr>
          <w:rFonts w:ascii="Arial" w:cs="Arial" w:eastAsia="Arial" w:hAnsi="Arial"/>
          <w:sz w:val="16"/>
          <w:szCs w:val="16"/>
          <w:i w:val="1"/>
          <w:iCs w:val="1"/>
          <w:color w:val="auto"/>
        </w:rPr>
        <w:t>(Most comparable GAAP measure: Effective tax 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ETR-adjusted is used by management and can be used by investors to review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99"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ROIC-adjusted </w:t>
      </w:r>
      <w:r>
        <w:rPr>
          <w:rFonts w:ascii="Arial" w:cs="Arial" w:eastAsia="Arial" w:hAnsi="Arial"/>
          <w:sz w:val="16"/>
          <w:szCs w:val="16"/>
          <w:i w:val="1"/>
          <w:iCs w:val="1"/>
          <w:color w:val="auto"/>
        </w:rPr>
        <w:t>(Most comparable GAAP measure: Return on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ROIC-adjusted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and capital allocation decisions. We define ROIC-adjusted as EBIT-adjusted for the trailing four quarters divided by ROIC-adjusted average net assets, which is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213"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6"/>
          <w:szCs w:val="16"/>
          <w:b w:val="1"/>
          <w:bCs w:val="1"/>
          <w:i w:val="1"/>
          <w:iCs w:val="1"/>
          <w:color w:val="auto"/>
        </w:rPr>
        <w:t xml:space="preserve">Adjusted automotive free cash flow </w:t>
      </w:r>
      <w:r>
        <w:rPr>
          <w:rFonts w:ascii="Arial" w:cs="Arial" w:eastAsia="Arial" w:hAnsi="Arial"/>
          <w:sz w:val="16"/>
          <w:szCs w:val="16"/>
          <w:i w:val="1"/>
          <w:iCs w:val="1"/>
          <w:color w:val="auto"/>
        </w:rPr>
        <w:t>(Most comparable GAAP measure: Net automotive cash provided by operating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Adjusted automotive free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61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Net income attributable to stockholders to EBIT-adjusted and segment profit (loss)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2025</w:t>
            </w:r>
          </w:p>
        </w:tc>
        <w:tc>
          <w:tcPr>
            <w:tcW w:w="24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2025</w:t>
            </w:r>
          </w:p>
        </w:tc>
        <w:tc>
          <w:tcPr>
            <w:tcW w:w="240" w:type="dxa"/>
            <w:vAlign w:val="bottom"/>
          </w:tcPr>
          <w:p>
            <w:pPr>
              <w:spacing w:after="0"/>
              <w:rPr>
                <w:sz w:val="17"/>
                <w:szCs w:val="17"/>
                <w:color w:val="auto"/>
              </w:rPr>
            </w:pPr>
          </w:p>
        </w:tc>
        <w:tc>
          <w:tcPr>
            <w:tcW w:w="1460" w:type="dxa"/>
            <w:vAlign w:val="bottom"/>
          </w:tcPr>
          <w:p>
            <w:pPr>
              <w:jc w:val="right"/>
              <w:ind w:right="299"/>
              <w:spacing w:after="0"/>
              <w:rPr>
                <w:sz w:val="20"/>
                <w:szCs w:val="20"/>
                <w:color w:val="auto"/>
              </w:rPr>
            </w:pPr>
            <w:r>
              <w:rPr>
                <w:rFonts w:ascii="Arial" w:cs="Arial" w:eastAsia="Arial" w:hAnsi="Arial"/>
                <w:sz w:val="14"/>
                <w:szCs w:val="14"/>
                <w:b w:val="1"/>
                <w:bCs w:val="1"/>
                <w:color w:val="auto"/>
              </w:rPr>
              <w:t>June 30, 2024</w:t>
            </w:r>
          </w:p>
        </w:tc>
      </w:tr>
      <w:tr>
        <w:trPr>
          <w:trHeight w:val="211"/>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stockholders(a)</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5,913</w:t>
            </w:r>
          </w:p>
        </w:tc>
      </w:tr>
      <w:tr>
        <w:trPr>
          <w:trHeight w:val="215"/>
        </w:trPr>
        <w:tc>
          <w:tcPr>
            <w:tcW w:w="416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1,529</w:t>
            </w:r>
          </w:p>
        </w:tc>
      </w:tr>
      <w:tr>
        <w:trPr>
          <w:trHeight w:val="217"/>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Automotive interest expense</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r>
      <w:tr>
        <w:trPr>
          <w:trHeight w:val="215"/>
        </w:trPr>
        <w:tc>
          <w:tcPr>
            <w:tcW w:w="4160" w:type="dxa"/>
            <w:vAlign w:val="bottom"/>
          </w:tcPr>
          <w:p>
            <w:pPr>
              <w:ind w:left="20"/>
              <w:spacing w:after="0"/>
              <w:rPr>
                <w:sz w:val="20"/>
                <w:szCs w:val="20"/>
                <w:color w:val="auto"/>
              </w:rPr>
            </w:pPr>
            <w:r>
              <w:rPr>
                <w:rFonts w:ascii="Arial" w:cs="Arial" w:eastAsia="Arial" w:hAnsi="Arial"/>
                <w:sz w:val="16"/>
                <w:szCs w:val="16"/>
                <w:color w:val="auto"/>
              </w:rPr>
              <w:t>Automotive interest income</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(414)</w:t>
            </w:r>
          </w:p>
        </w:tc>
      </w:tr>
      <w:tr>
        <w:trPr>
          <w:trHeight w:val="217"/>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5"/>
        </w:trPr>
        <w:tc>
          <w:tcPr>
            <w:tcW w:w="4160" w:type="dxa"/>
            <w:vAlign w:val="bottom"/>
          </w:tcPr>
          <w:p>
            <w:pPr>
              <w:ind w:left="140"/>
              <w:spacing w:after="0"/>
              <w:rPr>
                <w:sz w:val="20"/>
                <w:szCs w:val="20"/>
                <w:color w:val="auto"/>
              </w:rPr>
            </w:pPr>
            <w:r>
              <w:rPr>
                <w:rFonts w:ascii="Arial" w:cs="Arial" w:eastAsia="Arial" w:hAnsi="Arial"/>
                <w:sz w:val="16"/>
                <w:szCs w:val="16"/>
                <w:color w:val="auto"/>
              </w:rPr>
              <w:t>Ultium strategic realignment(b)</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China restructuring actions(c)</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160" w:type="dxa"/>
            <w:vAlign w:val="bottom"/>
          </w:tcPr>
          <w:p>
            <w:pPr>
              <w:ind w:left="140"/>
              <w:spacing w:after="0"/>
              <w:rPr>
                <w:sz w:val="20"/>
                <w:szCs w:val="20"/>
                <w:color w:val="auto"/>
              </w:rPr>
            </w:pPr>
            <w:r>
              <w:rPr>
                <w:rFonts w:ascii="Arial" w:cs="Arial" w:eastAsia="Arial" w:hAnsi="Arial"/>
                <w:sz w:val="16"/>
                <w:szCs w:val="16"/>
                <w:color w:val="auto"/>
              </w:rPr>
              <w:t>Restructuring actions(d)</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Cruise restructuring(e)</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r>
      <w:tr>
        <w:trPr>
          <w:trHeight w:val="215"/>
        </w:trPr>
        <w:tc>
          <w:tcPr>
            <w:tcW w:w="4160" w:type="dxa"/>
            <w:vAlign w:val="bottom"/>
          </w:tcPr>
          <w:p>
            <w:pPr>
              <w:ind w:left="140"/>
              <w:spacing w:after="0"/>
              <w:rPr>
                <w:sz w:val="20"/>
                <w:szCs w:val="20"/>
                <w:color w:val="auto"/>
              </w:rPr>
            </w:pPr>
            <w:r>
              <w:rPr>
                <w:rFonts w:ascii="Arial" w:cs="Arial" w:eastAsia="Arial" w:hAnsi="Arial"/>
                <w:sz w:val="16"/>
                <w:szCs w:val="16"/>
                <w:color w:val="auto"/>
              </w:rPr>
              <w:t>GMI plant wind down(f)</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7"/>
        </w:trPr>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Headquarters relocation(g)</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160" w:type="dxa"/>
            <w:vAlign w:val="bottom"/>
          </w:tcPr>
          <w:p>
            <w:pPr>
              <w:ind w:left="140"/>
              <w:spacing w:after="0"/>
              <w:rPr>
                <w:sz w:val="20"/>
                <w:szCs w:val="20"/>
                <w:color w:val="auto"/>
              </w:rPr>
            </w:pPr>
            <w:r>
              <w:rPr>
                <w:rFonts w:ascii="Arial" w:cs="Arial" w:eastAsia="Arial" w:hAnsi="Arial"/>
                <w:sz w:val="16"/>
                <w:szCs w:val="16"/>
                <w:color w:val="auto"/>
              </w:rPr>
              <w:t>Buick dealer strategy(h)</w:t>
            </w: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10"/>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adjustments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w:t>
            </w:r>
          </w:p>
        </w:tc>
      </w:tr>
      <w:tr>
        <w:trPr>
          <w:trHeight w:val="209"/>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EBIT-adjusted</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8,310</w:t>
            </w:r>
          </w:p>
        </w:tc>
      </w:tr>
      <w:tr>
        <w:trPr>
          <w:trHeight w:val="197"/>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segments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5"/>
        </w:trPr>
        <w:tc>
          <w:tcPr>
            <w:tcW w:w="4160" w:type="dxa"/>
            <w:vAlign w:val="bottom"/>
          </w:tcPr>
          <w:p>
            <w:pPr>
              <w:ind w:left="140"/>
              <w:spacing w:after="0"/>
              <w:rPr>
                <w:sz w:val="20"/>
                <w:szCs w:val="20"/>
                <w:color w:val="auto"/>
              </w:rPr>
            </w:pPr>
            <w:r>
              <w:rPr>
                <w:rFonts w:ascii="Arial" w:cs="Arial" w:eastAsia="Arial" w:hAnsi="Arial"/>
                <w:sz w:val="16"/>
                <w:szCs w:val="16"/>
                <w:color w:val="auto"/>
              </w:rPr>
              <w:t>GM North America (GMNA)</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4,433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5,702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8,273</w:t>
            </w:r>
          </w:p>
        </w:tc>
      </w:tr>
      <w:tr>
        <w:trPr>
          <w:trHeight w:val="217"/>
        </w:trPr>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International (GMI)</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5"/>
        </w:trPr>
        <w:tc>
          <w:tcPr>
            <w:tcW w:w="4160" w:type="dxa"/>
            <w:vAlign w:val="bottom"/>
          </w:tcPr>
          <w:p>
            <w:pPr>
              <w:ind w:left="140"/>
              <w:spacing w:after="0"/>
              <w:rPr>
                <w:sz w:val="20"/>
                <w:szCs w:val="20"/>
                <w:color w:val="auto"/>
              </w:rPr>
            </w:pPr>
            <w:r>
              <w:rPr>
                <w:rFonts w:ascii="Arial" w:cs="Arial" w:eastAsia="Arial" w:hAnsi="Arial"/>
                <w:sz w:val="16"/>
                <w:szCs w:val="16"/>
                <w:color w:val="auto"/>
              </w:rPr>
              <w:t>Cruise</w:t>
            </w: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(900)</w:t>
            </w:r>
          </w:p>
        </w:tc>
      </w:tr>
      <w:tr>
        <w:trPr>
          <w:trHeight w:val="217"/>
        </w:trPr>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Financial(i)</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1,559</w:t>
            </w:r>
          </w:p>
        </w:tc>
      </w:tr>
      <w:tr>
        <w:trPr>
          <w:trHeight w:val="209"/>
        </w:trPr>
        <w:tc>
          <w:tcPr>
            <w:tcW w:w="4160" w:type="dxa"/>
            <w:vAlign w:val="bottom"/>
          </w:tcPr>
          <w:p>
            <w:pPr>
              <w:ind w:left="20"/>
              <w:spacing w:after="0"/>
              <w:rPr>
                <w:sz w:val="20"/>
                <w:szCs w:val="20"/>
                <w:color w:val="auto"/>
              </w:rPr>
            </w:pPr>
            <w:r>
              <w:rPr>
                <w:rFonts w:ascii="Arial" w:cs="Arial" w:eastAsia="Arial" w:hAnsi="Arial"/>
                <w:sz w:val="16"/>
                <w:szCs w:val="16"/>
                <w:color w:val="auto"/>
              </w:rPr>
              <w:t>Total operating segments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4,847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7,051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8,971</w:t>
            </w: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eliminations(j)</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w:t>
            </w:r>
          </w:p>
        </w:tc>
      </w:tr>
      <w:tr>
        <w:trPr>
          <w:trHeight w:val="210"/>
        </w:trPr>
        <w:tc>
          <w:tcPr>
            <w:tcW w:w="4160" w:type="dxa"/>
            <w:vAlign w:val="bottom"/>
          </w:tcPr>
          <w:p>
            <w:pPr>
              <w:ind w:left="20"/>
              <w:spacing w:after="0"/>
              <w:rPr>
                <w:sz w:val="20"/>
                <w:szCs w:val="20"/>
                <w:color w:val="auto"/>
              </w:rPr>
            </w:pPr>
            <w:r>
              <w:rPr>
                <w:rFonts w:ascii="Arial" w:cs="Arial" w:eastAsia="Arial" w:hAnsi="Arial"/>
                <w:sz w:val="16"/>
                <w:szCs w:val="16"/>
                <w:color w:val="auto"/>
              </w:rPr>
              <w:t>EBIT-adjusted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8,310</w:t>
            </w:r>
          </w:p>
        </w:tc>
      </w:tr>
      <w:tr>
        <w:trPr>
          <w:trHeight w:val="20"/>
        </w:trPr>
        <w:tc>
          <w:tcPr>
            <w:tcW w:w="4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of net loss attributable to noncontrolling interests.</w:t>
      </w:r>
    </w:p>
    <w:p>
      <w:pPr>
        <w:spacing w:after="0" w:line="1"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Ultium Cells Holdings LLC charges from a strategic realignment to have the right manufacturing and cell capabilities in place to meet EV demand and expected growth.</w:t>
      </w:r>
    </w:p>
    <w:p>
      <w:pPr>
        <w:ind w:left="340" w:right="20" w:hanging="332"/>
        <w:spacing w:after="0" w:line="251"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restructuring activities associated with our operations in China, including an other-than-temporary impairment and restructuring charges recorded in equity earnings associated with our Automotive China JVs.</w:t>
      </w: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employee separation charges.</w:t>
      </w:r>
    </w:p>
    <w:p>
      <w:pPr>
        <w:spacing w:after="0" w:line="14" w:lineRule="exact"/>
        <w:rPr>
          <w:rFonts w:ascii="Arial" w:cs="Arial" w:eastAsia="Arial" w:hAnsi="Arial"/>
          <w:sz w:val="14"/>
          <w:szCs w:val="14"/>
          <w:color w:val="auto"/>
        </w:rPr>
      </w:pPr>
    </w:p>
    <w:p>
      <w:pPr>
        <w:jc w:val="both"/>
        <w:ind w:left="340" w:hanging="332"/>
        <w:spacing w:after="0" w:line="261"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restructuring charges resulting from the plan to combine the Cruise and GM technical efforts to advance autonomous and assisted driving, the indefinite delay of the Cruise Origin and the voluntary pausing in 2023 of Cruise's driverless, supervised and manual AV operations in the U.S. The adjustments primarily consist of non-cash restructuring charges, supplier-related charges and employee separation costs.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the wind down of our manufacturing operations in Colombia and Ecuador.</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the GM headquarters relocation, primarily consisting of accelerated depreciation.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strategic activities to transition certain Buick dealers out of our dealer network as part of Buick’s EV strategy.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GM Financial amounts represent EBT-adjusted.</w:t>
      </w:r>
    </w:p>
    <w:p>
      <w:pPr>
        <w:spacing w:after="0" w:line="14" w:lineRule="exact"/>
        <w:rPr>
          <w:rFonts w:ascii="Arial" w:cs="Arial" w:eastAsia="Arial" w:hAnsi="Arial"/>
          <w:sz w:val="14"/>
          <w:szCs w:val="14"/>
          <w:color w:val="auto"/>
        </w:rPr>
      </w:pPr>
    </w:p>
    <w:p>
      <w:pPr>
        <w:ind w:left="340" w:hanging="332"/>
        <w:spacing w:after="0" w:line="284" w:lineRule="auto"/>
        <w:tabs>
          <w:tab w:leader="none" w:pos="333" w:val="left"/>
        </w:tabs>
        <w:numPr>
          <w:ilvl w:val="0"/>
          <w:numId w:val="11"/>
        </w:numPr>
        <w:rPr>
          <w:rFonts w:ascii="Arial" w:cs="Arial" w:eastAsia="Arial" w:hAnsi="Arial"/>
          <w:sz w:val="14"/>
          <w:szCs w:val="14"/>
          <w:color w:val="auto"/>
        </w:rPr>
      </w:pPr>
      <w:r>
        <w:rPr>
          <w:rFonts w:ascii="Arial" w:cs="Arial" w:eastAsia="Arial" w:hAnsi="Arial"/>
          <w:sz w:val="14"/>
          <w:szCs w:val="14"/>
          <w:color w:val="auto"/>
        </w:rPr>
        <w:t>GM's automotive interest income and interest expense, legacy costs from the Opel/Vauxhall Business (primarily pension costs), corporate expenditures and certain revenues and expenses that are not part of a reportable segment are recorded centrally in Corporate.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61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diluted earnings per common share to EPS-diluted-adjusted (dollars in millions, except per share amounts):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220"/>
              <w:spacing w:after="0"/>
              <w:rPr>
                <w:sz w:val="20"/>
                <w:szCs w:val="20"/>
                <w:color w:val="auto"/>
              </w:rPr>
            </w:pPr>
            <w:r>
              <w:rPr>
                <w:rFonts w:ascii="Arial" w:cs="Arial" w:eastAsia="Arial" w:hAnsi="Arial"/>
                <w:sz w:val="13"/>
                <w:szCs w:val="13"/>
                <w:b w:val="1"/>
                <w:bCs w:val="1"/>
                <w:color w:val="auto"/>
              </w:rPr>
              <w:t>Six Months Ended</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71"/>
        </w:trPr>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ind w:left="320"/>
              <w:spacing w:after="0"/>
              <w:rPr>
                <w:sz w:val="20"/>
                <w:szCs w:val="20"/>
                <w:color w:val="auto"/>
              </w:rPr>
            </w:pPr>
            <w:r>
              <w:rPr>
                <w:rFonts w:ascii="Arial" w:cs="Arial" w:eastAsia="Arial" w:hAnsi="Arial"/>
                <w:sz w:val="13"/>
                <w:szCs w:val="13"/>
                <w:b w:val="1"/>
                <w:bCs w:val="1"/>
                <w:color w:val="auto"/>
              </w:rPr>
              <w:t>June 30, 2025</w:t>
            </w:r>
          </w:p>
        </w:tc>
        <w:tc>
          <w:tcPr>
            <w:tcW w:w="140" w:type="dxa"/>
            <w:vAlign w:val="bottom"/>
          </w:tcPr>
          <w:p>
            <w:pPr>
              <w:spacing w:after="0"/>
              <w:rPr>
                <w:sz w:val="14"/>
                <w:szCs w:val="14"/>
                <w:color w:val="auto"/>
              </w:rPr>
            </w:pPr>
          </w:p>
        </w:tc>
        <w:tc>
          <w:tcPr>
            <w:tcW w:w="1640" w:type="dxa"/>
            <w:vAlign w:val="bottom"/>
            <w:gridSpan w:val="4"/>
          </w:tcPr>
          <w:p>
            <w:pPr>
              <w:jc w:val="right"/>
              <w:ind w:right="402"/>
              <w:spacing w:after="0"/>
              <w:rPr>
                <w:sz w:val="20"/>
                <w:szCs w:val="20"/>
                <w:color w:val="auto"/>
              </w:rPr>
            </w:pPr>
            <w:r>
              <w:rPr>
                <w:rFonts w:ascii="Arial" w:cs="Arial" w:eastAsia="Arial" w:hAnsi="Arial"/>
                <w:sz w:val="13"/>
                <w:szCs w:val="13"/>
                <w:b w:val="1"/>
                <w:bCs w:val="1"/>
                <w:color w:val="auto"/>
              </w:rPr>
              <w:t>June 30, 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ind w:left="340"/>
              <w:spacing w:after="0"/>
              <w:rPr>
                <w:sz w:val="20"/>
                <w:szCs w:val="20"/>
                <w:color w:val="auto"/>
              </w:rPr>
            </w:pPr>
            <w:r>
              <w:rPr>
                <w:rFonts w:ascii="Arial" w:cs="Arial" w:eastAsia="Arial" w:hAnsi="Arial"/>
                <w:sz w:val="13"/>
                <w:szCs w:val="13"/>
                <w:b w:val="1"/>
                <w:bCs w:val="1"/>
                <w:color w:val="auto"/>
              </w:rPr>
              <w:t>June 30, 2025</w:t>
            </w:r>
          </w:p>
        </w:tc>
        <w:tc>
          <w:tcPr>
            <w:tcW w:w="140" w:type="dxa"/>
            <w:vAlign w:val="bottom"/>
          </w:tcPr>
          <w:p>
            <w:pPr>
              <w:spacing w:after="0"/>
              <w:rPr>
                <w:sz w:val="14"/>
                <w:szCs w:val="14"/>
                <w:color w:val="auto"/>
              </w:rPr>
            </w:pPr>
          </w:p>
        </w:tc>
        <w:tc>
          <w:tcPr>
            <w:tcW w:w="1640" w:type="dxa"/>
            <w:vAlign w:val="bottom"/>
            <w:gridSpan w:val="4"/>
          </w:tcPr>
          <w:p>
            <w:pPr>
              <w:jc w:val="right"/>
              <w:ind w:right="402"/>
              <w:spacing w:after="0"/>
              <w:rPr>
                <w:sz w:val="20"/>
                <w:szCs w:val="20"/>
                <w:color w:val="auto"/>
              </w:rPr>
            </w:pPr>
            <w:r>
              <w:rPr>
                <w:rFonts w:ascii="Arial" w:cs="Arial" w:eastAsia="Arial" w:hAnsi="Arial"/>
                <w:sz w:val="13"/>
                <w:szCs w:val="13"/>
                <w:b w:val="1"/>
                <w:bCs w:val="1"/>
                <w:color w:val="auto"/>
              </w:rPr>
              <w:t>June 30, 2024</w:t>
            </w:r>
          </w:p>
        </w:tc>
      </w:tr>
      <w:tr>
        <w:trPr>
          <w:trHeight w:val="169"/>
        </w:trPr>
        <w:tc>
          <w:tcPr>
            <w:tcW w:w="37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95"/>
              </w:rPr>
              <w:t>Per Share</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42"/>
              <w:spacing w:after="0"/>
              <w:rPr>
                <w:sz w:val="20"/>
                <w:szCs w:val="20"/>
                <w:color w:val="auto"/>
              </w:rPr>
            </w:pPr>
            <w:r>
              <w:rPr>
                <w:rFonts w:ascii="Arial" w:cs="Arial" w:eastAsia="Arial" w:hAnsi="Arial"/>
                <w:sz w:val="13"/>
                <w:szCs w:val="13"/>
                <w:b w:val="1"/>
                <w:bCs w:val="1"/>
                <w:color w:val="auto"/>
                <w:w w:val="95"/>
              </w:rPr>
              <w:t>Per Share</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42"/>
              <w:spacing w:after="0"/>
              <w:rPr>
                <w:sz w:val="20"/>
                <w:szCs w:val="20"/>
                <w:color w:val="auto"/>
              </w:rPr>
            </w:pPr>
            <w:r>
              <w:rPr>
                <w:rFonts w:ascii="Arial" w:cs="Arial" w:eastAsia="Arial" w:hAnsi="Arial"/>
                <w:sz w:val="13"/>
                <w:szCs w:val="13"/>
                <w:b w:val="1"/>
                <w:bCs w:val="1"/>
                <w:color w:val="auto"/>
                <w:w w:val="95"/>
              </w:rPr>
              <w:t>Per Share</w:t>
            </w:r>
          </w:p>
        </w:tc>
      </w:tr>
      <w:tr>
        <w:trPr>
          <w:trHeight w:val="211"/>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2,919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5,224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center"/>
              <w:ind w:left="164"/>
              <w:spacing w:after="0"/>
              <w:rPr>
                <w:sz w:val="20"/>
                <w:szCs w:val="20"/>
                <w:color w:val="auto"/>
              </w:rPr>
            </w:pPr>
            <w:r>
              <w:rPr>
                <w:rFonts w:ascii="Arial" w:cs="Arial" w:eastAsia="Arial" w:hAnsi="Arial"/>
                <w:sz w:val="16"/>
                <w:szCs w:val="16"/>
                <w:color w:val="auto"/>
              </w:rPr>
              <w:t>5.28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5,889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r>
      <w:tr>
        <w:trPr>
          <w:trHeight w:val="215"/>
        </w:trPr>
        <w:tc>
          <w:tcPr>
            <w:tcW w:w="3760" w:type="dxa"/>
            <w:vAlign w:val="bottom"/>
          </w:tcPr>
          <w:p>
            <w:pPr>
              <w:ind w:left="20"/>
              <w:spacing w:after="0"/>
              <w:rPr>
                <w:sz w:val="20"/>
                <w:szCs w:val="20"/>
                <w:color w:val="auto"/>
              </w:rPr>
            </w:pPr>
            <w:r>
              <w:rPr>
                <w:rFonts w:ascii="Arial" w:cs="Arial" w:eastAsia="Arial" w:hAnsi="Arial"/>
                <w:sz w:val="16"/>
                <w:szCs w:val="16"/>
                <w:color w:val="auto"/>
              </w:rPr>
              <w:t>Adjustments(a)</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left="164"/>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0.74</w:t>
            </w:r>
          </w:p>
        </w:tc>
      </w:tr>
      <w:tr>
        <w:trPr>
          <w:trHeight w:val="217"/>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 on adjustments(b)</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144"/>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r>
      <w:tr>
        <w:trPr>
          <w:trHeight w:val="215"/>
        </w:trPr>
        <w:tc>
          <w:tcPr>
            <w:tcW w:w="3760" w:type="dxa"/>
            <w:vAlign w:val="bottom"/>
          </w:tcPr>
          <w:p>
            <w:pPr>
              <w:ind w:left="20"/>
              <w:spacing w:after="0"/>
              <w:rPr>
                <w:sz w:val="20"/>
                <w:szCs w:val="20"/>
                <w:color w:val="auto"/>
              </w:rPr>
            </w:pPr>
            <w:r>
              <w:rPr>
                <w:rFonts w:ascii="Arial" w:cs="Arial" w:eastAsia="Arial" w:hAnsi="Arial"/>
                <w:sz w:val="16"/>
                <w:szCs w:val="16"/>
                <w:color w:val="auto"/>
              </w:rPr>
              <w:t>Return from preferred shareholders(c)</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left="144"/>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EPS-diluted-adjusted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3,510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5,250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center"/>
              <w:ind w:left="164"/>
              <w:spacing w:after="0"/>
              <w:rPr>
                <w:sz w:val="20"/>
                <w:szCs w:val="20"/>
                <w:color w:val="auto"/>
              </w:rPr>
            </w:pPr>
            <w:r>
              <w:rPr>
                <w:rFonts w:ascii="Arial" w:cs="Arial" w:eastAsia="Arial" w:hAnsi="Arial"/>
                <w:sz w:val="16"/>
                <w:szCs w:val="16"/>
                <w:color w:val="auto"/>
              </w:rPr>
              <w:t>5.31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6,552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to EBIT-adjusted and segment profit (loss) for adjustment details.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tax effect of each adjustment is determined based on the tax laws and valuation allowance status of the jurisdiction to which the adjustment relates.</w:t>
      </w:r>
    </w:p>
    <w:p>
      <w:pPr>
        <w:spacing w:after="0" w:line="15" w:lineRule="exact"/>
        <w:rPr>
          <w:rFonts w:ascii="Arial" w:cs="Arial" w:eastAsia="Arial" w:hAnsi="Arial"/>
          <w:sz w:val="14"/>
          <w:szCs w:val="14"/>
          <w:color w:val="auto"/>
        </w:rPr>
      </w:pPr>
    </w:p>
    <w:p>
      <w:pPr>
        <w:ind w:left="340" w:hanging="332"/>
        <w:spacing w:after="0" w:line="269"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4"/>
          <w:szCs w:val="14"/>
          <w:color w:val="auto"/>
        </w:rPr>
        <w:t>This adjustment consists of a return from the preferred shareholders related to the redemption of Cruise preferred shares from noncontrolling interest holders in the six months ended June 30, 2025.</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our effective tax rate to ETR-adjusted (dollars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6"/>
              </w:rPr>
              <w:t>June 30, 2025</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w w:val="94"/>
              </w:rPr>
              <w:t>June 30, 2024</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w w:val="96"/>
              </w:rPr>
              <w:t>June 30, 2025</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w w:val="96"/>
              </w:rPr>
              <w:t>June 30, 2024</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center"/>
              <w:ind w:right="74"/>
              <w:spacing w:after="0" w:line="104" w:lineRule="exact"/>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9"/>
                <w:szCs w:val="9"/>
                <w:color w:val="auto"/>
              </w:rPr>
            </w:pPr>
          </w:p>
        </w:tc>
        <w:tc>
          <w:tcPr>
            <w:tcW w:w="74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7"/>
              </w:rPr>
              <w:t>Income tax</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center"/>
              <w:ind w:right="54"/>
              <w:spacing w:after="0" w:line="104" w:lineRule="exact"/>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9"/>
                <w:szCs w:val="9"/>
                <w:color w:val="auto"/>
              </w:rPr>
            </w:pPr>
          </w:p>
        </w:tc>
        <w:tc>
          <w:tcPr>
            <w:tcW w:w="76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Income tax</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ind w:right="110"/>
              <w:spacing w:after="0"/>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rPr>
                <w:sz w:val="9"/>
                <w:szCs w:val="9"/>
                <w:color w:val="auto"/>
              </w:rPr>
            </w:pP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7"/>
              </w:rPr>
              <w:t>Income tax</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ind w:right="130"/>
              <w:spacing w:after="0"/>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rPr>
                <w:sz w:val="9"/>
                <w:szCs w:val="9"/>
                <w:color w:val="auto"/>
              </w:rPr>
            </w:pPr>
          </w:p>
        </w:tc>
        <w:tc>
          <w:tcPr>
            <w:tcW w:w="84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rPr>
              <w:t>Income tax</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center"/>
              <w:ind w:right="74"/>
              <w:spacing w:after="0" w:line="108" w:lineRule="exact"/>
              <w:rPr>
                <w:sz w:val="20"/>
                <w:szCs w:val="20"/>
                <w:color w:val="auto"/>
              </w:rPr>
            </w:pPr>
            <w:r>
              <w:rPr>
                <w:rFonts w:ascii="Arial" w:cs="Arial" w:eastAsia="Arial" w:hAnsi="Arial"/>
                <w:sz w:val="11"/>
                <w:szCs w:val="11"/>
                <w:b w:val="1"/>
                <w:bCs w:val="1"/>
                <w:color w:val="auto"/>
              </w:rPr>
              <w:t>before</w:t>
            </w:r>
          </w:p>
        </w:tc>
        <w:tc>
          <w:tcPr>
            <w:tcW w:w="120" w:type="dxa"/>
            <w:vAlign w:val="bottom"/>
          </w:tcPr>
          <w:p>
            <w:pPr>
              <w:spacing w:after="0"/>
              <w:rPr>
                <w:sz w:val="9"/>
                <w:szCs w:val="9"/>
                <w:color w:val="auto"/>
              </w:rPr>
            </w:pPr>
          </w:p>
        </w:tc>
        <w:tc>
          <w:tcPr>
            <w:tcW w:w="740" w:type="dxa"/>
            <w:vAlign w:val="bottom"/>
            <w:gridSpan w:val="4"/>
            <w:vMerge w:val="continue"/>
          </w:tcPr>
          <w:p>
            <w:pPr>
              <w:spacing w:after="0"/>
              <w:rPr>
                <w:sz w:val="9"/>
                <w:szCs w:val="9"/>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8"/>
              </w:rPr>
              <w:t>Effective tax</w:t>
            </w:r>
          </w:p>
        </w:tc>
        <w:tc>
          <w:tcPr>
            <w:tcW w:w="140" w:type="dxa"/>
            <w:vAlign w:val="bottom"/>
          </w:tcPr>
          <w:p>
            <w:pPr>
              <w:spacing w:after="0"/>
              <w:rPr>
                <w:sz w:val="9"/>
                <w:szCs w:val="9"/>
                <w:color w:val="auto"/>
              </w:rPr>
            </w:pPr>
          </w:p>
        </w:tc>
        <w:tc>
          <w:tcPr>
            <w:tcW w:w="540" w:type="dxa"/>
            <w:vAlign w:val="bottom"/>
          </w:tcPr>
          <w:p>
            <w:pPr>
              <w:jc w:val="center"/>
              <w:ind w:right="54"/>
              <w:spacing w:after="0" w:line="108" w:lineRule="exact"/>
              <w:rPr>
                <w:sz w:val="20"/>
                <w:szCs w:val="20"/>
                <w:color w:val="auto"/>
              </w:rPr>
            </w:pPr>
            <w:r>
              <w:rPr>
                <w:rFonts w:ascii="Arial" w:cs="Arial" w:eastAsia="Arial" w:hAnsi="Arial"/>
                <w:sz w:val="11"/>
                <w:szCs w:val="11"/>
                <w:b w:val="1"/>
                <w:bCs w:val="1"/>
                <w:color w:val="auto"/>
              </w:rPr>
              <w:t>before</w:t>
            </w:r>
          </w:p>
        </w:tc>
        <w:tc>
          <w:tcPr>
            <w:tcW w:w="120" w:type="dxa"/>
            <w:vAlign w:val="bottom"/>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8"/>
              </w:rPr>
              <w:t>Effective tax</w:t>
            </w: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Effective tax</w:t>
            </w: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Effective tax</w:t>
            </w: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center"/>
              <w:ind w:right="74"/>
              <w:spacing w:after="0" w:line="108" w:lineRule="exact"/>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9"/>
                <w:szCs w:val="9"/>
                <w:color w:val="auto"/>
              </w:rPr>
            </w:pPr>
          </w:p>
        </w:tc>
        <w:tc>
          <w:tcPr>
            <w:tcW w:w="740" w:type="dxa"/>
            <w:vAlign w:val="bottom"/>
            <w:gridSpan w:val="4"/>
          </w:tcPr>
          <w:p>
            <w:pPr>
              <w:jc w:val="center"/>
              <w:ind w:right="140"/>
              <w:spacing w:after="0" w:line="108" w:lineRule="exact"/>
              <w:rPr>
                <w:sz w:val="20"/>
                <w:szCs w:val="20"/>
                <w:color w:val="auto"/>
              </w:rPr>
            </w:pPr>
            <w:r>
              <w:rPr>
                <w:rFonts w:ascii="Arial" w:cs="Arial" w:eastAsia="Arial" w:hAnsi="Arial"/>
                <w:sz w:val="11"/>
                <w:szCs w:val="11"/>
                <w:b w:val="1"/>
                <w:bCs w:val="1"/>
                <w:color w:val="auto"/>
                <w:w w:val="99"/>
              </w:rPr>
              <w:t>expense</w:t>
            </w:r>
          </w:p>
        </w:tc>
        <w:tc>
          <w:tcPr>
            <w:tcW w:w="8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center"/>
              <w:ind w:right="54"/>
              <w:spacing w:after="0" w:line="108" w:lineRule="exact"/>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9"/>
                <w:szCs w:val="9"/>
                <w:color w:val="auto"/>
              </w:rPr>
            </w:pPr>
          </w:p>
        </w:tc>
        <w:tc>
          <w:tcPr>
            <w:tcW w:w="760" w:type="dxa"/>
            <w:vAlign w:val="bottom"/>
            <w:gridSpan w:val="4"/>
          </w:tcPr>
          <w:p>
            <w:pPr>
              <w:ind w:left="100"/>
              <w:spacing w:after="0" w:line="108" w:lineRule="exact"/>
              <w:rPr>
                <w:sz w:val="20"/>
                <w:szCs w:val="20"/>
                <w:color w:val="auto"/>
              </w:rPr>
            </w:pPr>
            <w:r>
              <w:rPr>
                <w:rFonts w:ascii="Arial" w:cs="Arial" w:eastAsia="Arial" w:hAnsi="Arial"/>
                <w:sz w:val="11"/>
                <w:szCs w:val="11"/>
                <w:b w:val="1"/>
                <w:bCs w:val="1"/>
                <w:color w:val="auto"/>
              </w:rPr>
              <w:t>expense</w:t>
            </w: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jc w:val="right"/>
              <w:ind w:right="130"/>
              <w:spacing w:after="0" w:line="108" w:lineRule="exact"/>
              <w:rPr>
                <w:sz w:val="20"/>
                <w:szCs w:val="20"/>
                <w:color w:val="auto"/>
              </w:rPr>
            </w:pPr>
            <w:r>
              <w:rPr>
                <w:rFonts w:ascii="Arial" w:cs="Arial" w:eastAsia="Arial" w:hAnsi="Arial"/>
                <w:sz w:val="11"/>
                <w:szCs w:val="11"/>
                <w:b w:val="1"/>
                <w:bCs w:val="1"/>
                <w:color w:val="auto"/>
              </w:rPr>
              <w:t>before</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5"/>
              </w:rPr>
              <w:t>expense</w:t>
            </w:r>
          </w:p>
        </w:tc>
        <w:tc>
          <w:tcPr>
            <w:tcW w:w="9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ind w:right="150"/>
              <w:spacing w:after="0" w:line="108" w:lineRule="exact"/>
              <w:rPr>
                <w:sz w:val="20"/>
                <w:szCs w:val="20"/>
                <w:color w:val="auto"/>
              </w:rPr>
            </w:pPr>
            <w:r>
              <w:rPr>
                <w:rFonts w:ascii="Arial" w:cs="Arial" w:eastAsia="Arial" w:hAnsi="Arial"/>
                <w:sz w:val="11"/>
                <w:szCs w:val="11"/>
                <w:b w:val="1"/>
                <w:bCs w:val="1"/>
                <w:color w:val="auto"/>
              </w:rPr>
              <w:t>before</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5"/>
              </w:rPr>
              <w:t>expense</w:t>
            </w: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center"/>
              <w:ind w:right="74"/>
              <w:spacing w:after="0"/>
              <w:rPr>
                <w:sz w:val="20"/>
                <w:szCs w:val="20"/>
                <w:color w:val="auto"/>
              </w:rPr>
            </w:pPr>
            <w:r>
              <w:rPr>
                <w:rFonts w:ascii="Arial" w:cs="Arial" w:eastAsia="Arial" w:hAnsi="Arial"/>
                <w:sz w:val="11"/>
                <w:szCs w:val="11"/>
                <w:b w:val="1"/>
                <w:bCs w:val="1"/>
                <w:color w:val="auto"/>
                <w:w w:val="92"/>
              </w:rPr>
              <w:t>taxes</w:t>
            </w:r>
          </w:p>
        </w:tc>
        <w:tc>
          <w:tcPr>
            <w:tcW w:w="120" w:type="dxa"/>
            <w:vAlign w:val="bottom"/>
          </w:tcPr>
          <w:p>
            <w:pPr>
              <w:spacing w:after="0"/>
              <w:rPr>
                <w:sz w:val="13"/>
                <w:szCs w:val="13"/>
                <w:color w:val="auto"/>
              </w:rPr>
            </w:pPr>
          </w:p>
        </w:tc>
        <w:tc>
          <w:tcPr>
            <w:tcW w:w="74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6"/>
              </w:rPr>
              <w:t>(benefit)</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rate</w:t>
            </w:r>
          </w:p>
        </w:tc>
        <w:tc>
          <w:tcPr>
            <w:tcW w:w="140" w:type="dxa"/>
            <w:vAlign w:val="bottom"/>
          </w:tcPr>
          <w:p>
            <w:pPr>
              <w:spacing w:after="0"/>
              <w:rPr>
                <w:sz w:val="13"/>
                <w:szCs w:val="13"/>
                <w:color w:val="auto"/>
              </w:rPr>
            </w:pPr>
          </w:p>
        </w:tc>
        <w:tc>
          <w:tcPr>
            <w:tcW w:w="540" w:type="dxa"/>
            <w:vAlign w:val="bottom"/>
          </w:tcPr>
          <w:p>
            <w:pPr>
              <w:jc w:val="center"/>
              <w:ind w:right="74"/>
              <w:spacing w:after="0"/>
              <w:rPr>
                <w:sz w:val="20"/>
                <w:szCs w:val="20"/>
                <w:color w:val="auto"/>
              </w:rPr>
            </w:pPr>
            <w:r>
              <w:rPr>
                <w:rFonts w:ascii="Arial" w:cs="Arial" w:eastAsia="Arial" w:hAnsi="Arial"/>
                <w:sz w:val="11"/>
                <w:szCs w:val="11"/>
                <w:b w:val="1"/>
                <w:bCs w:val="1"/>
                <w:color w:val="auto"/>
                <w:w w:val="99"/>
              </w:rPr>
              <w:t>taxes</w:t>
            </w:r>
          </w:p>
        </w:tc>
        <w:tc>
          <w:tcPr>
            <w:tcW w:w="120" w:type="dxa"/>
            <w:vAlign w:val="bottom"/>
          </w:tcPr>
          <w:p>
            <w:pPr>
              <w:spacing w:after="0"/>
              <w:rPr>
                <w:sz w:val="13"/>
                <w:szCs w:val="13"/>
                <w:color w:val="auto"/>
              </w:rPr>
            </w:pPr>
          </w:p>
        </w:tc>
        <w:tc>
          <w:tcPr>
            <w:tcW w:w="760" w:type="dxa"/>
            <w:vAlign w:val="bottom"/>
            <w:gridSpan w:val="4"/>
          </w:tcPr>
          <w:p>
            <w:pPr>
              <w:ind w:left="100"/>
              <w:spacing w:after="0"/>
              <w:rPr>
                <w:sz w:val="20"/>
                <w:szCs w:val="20"/>
                <w:color w:val="auto"/>
              </w:rPr>
            </w:pPr>
            <w:r>
              <w:rPr>
                <w:rFonts w:ascii="Arial" w:cs="Arial" w:eastAsia="Arial" w:hAnsi="Arial"/>
                <w:sz w:val="11"/>
                <w:szCs w:val="11"/>
                <w:b w:val="1"/>
                <w:bCs w:val="1"/>
                <w:color w:val="auto"/>
              </w:rPr>
              <w:t>(benefit)</w:t>
            </w: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rate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w w:val="97"/>
              </w:rPr>
              <w:t>income taxes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(benefit)</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rate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income taxes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(benefit)</w:t>
            </w:r>
          </w:p>
        </w:tc>
        <w:tc>
          <w:tcPr>
            <w:tcW w:w="820" w:type="dxa"/>
            <w:vAlign w:val="bottom"/>
          </w:tcPr>
          <w:p>
            <w:pPr>
              <w:ind w:left="320"/>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216"/>
        </w:trPr>
        <w:tc>
          <w:tcPr>
            <w:tcW w:w="1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5,946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1,199</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7,359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20.8 %</w:t>
            </w:r>
          </w:p>
        </w:tc>
        <w:tc>
          <w:tcPr>
            <w:tcW w:w="0" w:type="dxa"/>
            <w:vAlign w:val="bottom"/>
          </w:tcPr>
          <w:p>
            <w:pPr>
              <w:spacing w:after="0"/>
              <w:rPr>
                <w:sz w:val="1"/>
                <w:szCs w:val="1"/>
                <w:color w:val="auto"/>
              </w:rPr>
            </w:pPr>
          </w:p>
        </w:tc>
      </w:tr>
      <w:tr>
        <w:trPr>
          <w:trHeight w:val="215"/>
        </w:trPr>
        <w:tc>
          <w:tcPr>
            <w:tcW w:w="1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Adjustments(a)</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6"/>
                <w:szCs w:val="16"/>
                <w:color w:val="auto"/>
              </w:rPr>
              <w:t>689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6"/>
                <w:szCs w:val="16"/>
                <w:color w:val="auto"/>
              </w:rPr>
              <w:t>924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ETR-adjusted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6,635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1,269</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8,283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20.8 %</w:t>
            </w: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jc w:val="both"/>
        <w:ind w:left="340" w:hanging="332"/>
        <w:spacing w:after="0" w:line="272" w:lineRule="auto"/>
        <w:tabs>
          <w:tab w:leader="none" w:pos="3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to EBIT-adjusted and segment profit (loss)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spacing w:after="0" w:line="284" w:lineRule="exact"/>
        <w:rPr>
          <w:sz w:val="20"/>
          <w:szCs w:val="20"/>
          <w:color w:val="auto"/>
        </w:rPr>
      </w:pPr>
    </w:p>
    <w:p>
      <w:pPr>
        <w:jc w:val="both"/>
        <w:ind w:right="20" w:firstLine="162"/>
        <w:spacing w:after="0" w:line="275" w:lineRule="auto"/>
        <w:rPr>
          <w:sz w:val="20"/>
          <w:szCs w:val="20"/>
          <w:color w:val="auto"/>
        </w:rPr>
      </w:pPr>
      <w:r>
        <w:rPr>
          <w:rFonts w:ascii="Arial" w:cs="Arial" w:eastAsia="Arial" w:hAnsi="Arial"/>
          <w:sz w:val="16"/>
          <w:szCs w:val="16"/>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jc w:val="right"/>
              <w:ind w:right="1104"/>
              <w:spacing w:after="0"/>
              <w:rPr>
                <w:sz w:val="20"/>
                <w:szCs w:val="20"/>
                <w:color w:val="auto"/>
              </w:rPr>
            </w:pPr>
            <w:r>
              <w:rPr>
                <w:rFonts w:ascii="Arial" w:cs="Arial" w:eastAsia="Arial" w:hAnsi="Arial"/>
                <w:sz w:val="13"/>
                <w:szCs w:val="13"/>
                <w:b w:val="1"/>
                <w:bCs w:val="1"/>
                <w:color w:val="auto"/>
              </w:rPr>
              <w:t>Four Quarters Ended</w:t>
            </w:r>
          </w:p>
        </w:tc>
      </w:tr>
      <w:tr>
        <w:trPr>
          <w:trHeight w:val="171"/>
        </w:trPr>
        <w:tc>
          <w:tcPr>
            <w:tcW w:w="7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 2025</w:t>
            </w:r>
          </w:p>
        </w:tc>
        <w:tc>
          <w:tcPr>
            <w:tcW w:w="300" w:type="dxa"/>
            <w:vAlign w:val="bottom"/>
          </w:tcPr>
          <w:p>
            <w:pPr>
              <w:spacing w:after="0"/>
              <w:rPr>
                <w:sz w:val="14"/>
                <w:szCs w:val="14"/>
                <w:color w:val="auto"/>
              </w:rPr>
            </w:pPr>
          </w:p>
        </w:tc>
        <w:tc>
          <w:tcPr>
            <w:tcW w:w="1460" w:type="dxa"/>
            <w:vAlign w:val="bottom"/>
          </w:tcPr>
          <w:p>
            <w:pPr>
              <w:jc w:val="right"/>
              <w:ind w:right="384"/>
              <w:spacing w:after="0"/>
              <w:rPr>
                <w:sz w:val="20"/>
                <w:szCs w:val="20"/>
                <w:color w:val="auto"/>
              </w:rPr>
            </w:pPr>
            <w:r>
              <w:rPr>
                <w:rFonts w:ascii="Arial" w:cs="Arial" w:eastAsia="Arial" w:hAnsi="Arial"/>
                <w:sz w:val="13"/>
                <w:szCs w:val="13"/>
                <w:b w:val="1"/>
                <w:bCs w:val="1"/>
                <w:color w:val="auto"/>
              </w:rPr>
              <w:t>June 30, 2024</w:t>
            </w:r>
          </w:p>
        </w:tc>
      </w:tr>
      <w:tr>
        <w:trPr>
          <w:trHeight w:val="211"/>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stockholders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6"/>
                <w:szCs w:val="16"/>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11.1</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Average equity(a)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26"/>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4"/>
              <w:spacing w:after="0"/>
              <w:rPr>
                <w:sz w:val="20"/>
                <w:szCs w:val="20"/>
                <w:color w:val="auto"/>
              </w:rPr>
            </w:pPr>
            <w:r>
              <w:rPr>
                <w:rFonts w:ascii="Arial" w:cs="Arial" w:eastAsia="Arial" w:hAnsi="Arial"/>
                <w:sz w:val="16"/>
                <w:szCs w:val="16"/>
                <w:color w:val="auto"/>
              </w:rPr>
              <w:t>70.4</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ROE</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Includes equity of noncontrolling interests where the corresponding earnings (loss) are included in Net income attributable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61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calculation of ROIC-adjusted (dollars in billions):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Four Quarters Ended</w:t>
            </w:r>
          </w:p>
        </w:tc>
      </w:tr>
      <w:tr>
        <w:trPr>
          <w:trHeight w:val="196"/>
        </w:trPr>
        <w:tc>
          <w:tcPr>
            <w:tcW w:w="7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2025</w:t>
            </w:r>
          </w:p>
        </w:tc>
        <w:tc>
          <w:tcPr>
            <w:tcW w:w="260" w:type="dxa"/>
            <w:vAlign w:val="bottom"/>
          </w:tcPr>
          <w:p>
            <w:pPr>
              <w:spacing w:after="0"/>
              <w:rPr>
                <w:sz w:val="17"/>
                <w:szCs w:val="17"/>
                <w:color w:val="auto"/>
              </w:rPr>
            </w:pPr>
          </w:p>
        </w:tc>
        <w:tc>
          <w:tcPr>
            <w:tcW w:w="1500" w:type="dxa"/>
            <w:vAlign w:val="bottom"/>
          </w:tcPr>
          <w:p>
            <w:pPr>
              <w:jc w:val="right"/>
              <w:ind w:right="320"/>
              <w:spacing w:after="0"/>
              <w:rPr>
                <w:sz w:val="20"/>
                <w:szCs w:val="20"/>
                <w:color w:val="auto"/>
              </w:rPr>
            </w:pPr>
            <w:r>
              <w:rPr>
                <w:rFonts w:ascii="Arial" w:cs="Arial" w:eastAsia="Arial" w:hAnsi="Arial"/>
                <w:sz w:val="14"/>
                <w:szCs w:val="14"/>
                <w:b w:val="1"/>
                <w:bCs w:val="1"/>
                <w:color w:val="auto"/>
              </w:rPr>
              <w:t>June 30, 2024</w:t>
            </w:r>
          </w:p>
        </w:tc>
      </w:tr>
      <w:tr>
        <w:trPr>
          <w:trHeight w:val="211"/>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EBIT-adjusted(a)</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13.2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13.6</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Average equity(b)</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70.4</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Average automotive debt and interest liabilities (excluding finance leases)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16.2</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Add: Average automotive net pension &amp; OPEB liability</w:t>
            </w:r>
          </w:p>
        </w:tc>
        <w:tc>
          <w:tcPr>
            <w:tcW w:w="260" w:type="dxa"/>
            <w:vAlign w:val="bottom"/>
          </w:tcPr>
          <w:p>
            <w:pPr>
              <w:spacing w:after="0"/>
              <w:rPr>
                <w:sz w:val="18"/>
                <w:szCs w:val="18"/>
                <w:color w:val="auto"/>
              </w:rPr>
            </w:pP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9.3</w:t>
            </w: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Average automotive and other net income tax asset</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(22.1)</w:t>
            </w:r>
          </w:p>
        </w:tc>
      </w:tr>
      <w:tr>
        <w:trPr>
          <w:trHeight w:val="210"/>
        </w:trPr>
        <w:tc>
          <w:tcPr>
            <w:tcW w:w="7620" w:type="dxa"/>
            <w:vAlign w:val="bottom"/>
          </w:tcPr>
          <w:p>
            <w:pPr>
              <w:ind w:left="20"/>
              <w:spacing w:after="0"/>
              <w:rPr>
                <w:sz w:val="20"/>
                <w:szCs w:val="20"/>
                <w:color w:val="auto"/>
              </w:rPr>
            </w:pPr>
            <w:r>
              <w:rPr>
                <w:rFonts w:ascii="Arial" w:cs="Arial" w:eastAsia="Arial" w:hAnsi="Arial"/>
                <w:sz w:val="16"/>
                <w:szCs w:val="16"/>
                <w:color w:val="auto"/>
              </w:rPr>
              <w:t>ROIC-adjusted average net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73.8</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ROIC-adjusted</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to EBIT-adjusted and segment profit (loss) for adjustment details.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equity of noncontrolling interests where the corresponding earnings (loss) are included in EBIT-adjusted.</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Net automotive cash provided by operating activities to adjusted automotive free cash flow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2025</w:t>
            </w:r>
          </w:p>
        </w:tc>
        <w:tc>
          <w:tcPr>
            <w:tcW w:w="18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2025</w:t>
            </w:r>
          </w:p>
        </w:tc>
        <w:tc>
          <w:tcPr>
            <w:tcW w:w="180" w:type="dxa"/>
            <w:vAlign w:val="bottom"/>
          </w:tcPr>
          <w:p>
            <w:pPr>
              <w:spacing w:after="0"/>
              <w:rPr>
                <w:sz w:val="17"/>
                <w:szCs w:val="17"/>
                <w:color w:val="auto"/>
              </w:rPr>
            </w:pPr>
          </w:p>
        </w:tc>
        <w:tc>
          <w:tcPr>
            <w:tcW w:w="1260" w:type="dxa"/>
            <w:vAlign w:val="bottom"/>
          </w:tcPr>
          <w:p>
            <w:pPr>
              <w:jc w:val="right"/>
              <w:ind w:right="160"/>
              <w:spacing w:after="0"/>
              <w:rPr>
                <w:sz w:val="20"/>
                <w:szCs w:val="20"/>
                <w:color w:val="auto"/>
              </w:rPr>
            </w:pPr>
            <w:r>
              <w:rPr>
                <w:rFonts w:ascii="Arial" w:cs="Arial" w:eastAsia="Arial" w:hAnsi="Arial"/>
                <w:sz w:val="14"/>
                <w:szCs w:val="14"/>
                <w:b w:val="1"/>
                <w:bCs w:val="1"/>
                <w:color w:val="auto"/>
              </w:rPr>
              <w:t>June 30, 2024</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automotive 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4,653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7,057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11,311</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Less: Capital expenditures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(5,267)</w:t>
            </w: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Buick dealer strategy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Add: Restructuring actions</w:t>
            </w: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GMI plant wind down</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Add: China restructuring actions</w:t>
            </w: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Ultium strategic realignment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Add: Employee separation costs</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35"/>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automotive free cash flow</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61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Sales</w:t>
      </w:r>
    </w:p>
    <w:p>
      <w:pPr>
        <w:spacing w:after="0" w:line="248"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color w:val="auto"/>
        </w:rPr>
        <w:t>GM presents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six months ended June 30, 2025, 25.8% of GM's wholesale vehicle sales volume was generated outside the U.S. The following table summarizes wholesale vehicle sales by our Automotive segments (vehicles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3080" w:type="dxa"/>
            <w:vAlign w:val="bottom"/>
            <w:tcBorders>
              <w:bottom w:val="single" w:sz="8" w:color="auto"/>
            </w:tcBorders>
            <w:gridSpan w:val="3"/>
          </w:tcPr>
          <w:p>
            <w:pPr>
              <w:jc w:val="right"/>
              <w:ind w:right="74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3100" w:type="dxa"/>
            <w:vAlign w:val="bottom"/>
            <w:tcBorders>
              <w:bottom w:val="single" w:sz="8" w:color="auto"/>
            </w:tcBorders>
            <w:gridSpan w:val="3"/>
          </w:tcPr>
          <w:p>
            <w:pPr>
              <w:jc w:val="right"/>
              <w:ind w:right="84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960" w:type="dxa"/>
            <w:vAlign w:val="bottom"/>
          </w:tcPr>
          <w:p>
            <w:pPr>
              <w:spacing w:after="0"/>
              <w:rPr>
                <w:sz w:val="17"/>
                <w:szCs w:val="17"/>
                <w:color w:val="auto"/>
              </w:rPr>
            </w:pPr>
          </w:p>
        </w:tc>
        <w:tc>
          <w:tcPr>
            <w:tcW w:w="160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 2025</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 2024</w:t>
            </w:r>
          </w:p>
        </w:tc>
        <w:tc>
          <w:tcPr>
            <w:tcW w:w="1600" w:type="dxa"/>
            <w:vAlign w:val="bottom"/>
            <w:gridSpan w:val="2"/>
          </w:tcPr>
          <w:p>
            <w:pPr>
              <w:ind w:left="340"/>
              <w:spacing w:after="0"/>
              <w:rPr>
                <w:sz w:val="20"/>
                <w:szCs w:val="20"/>
                <w:color w:val="auto"/>
              </w:rPr>
            </w:pPr>
            <w:r>
              <w:rPr>
                <w:rFonts w:ascii="Arial" w:cs="Arial" w:eastAsia="Arial" w:hAnsi="Arial"/>
                <w:sz w:val="14"/>
                <w:szCs w:val="14"/>
                <w:b w:val="1"/>
                <w:bCs w:val="1"/>
                <w:color w:val="auto"/>
              </w:rPr>
              <w:t>June 30, 2025</w:t>
            </w:r>
          </w:p>
        </w:tc>
        <w:tc>
          <w:tcPr>
            <w:tcW w:w="1500" w:type="dxa"/>
            <w:vAlign w:val="bottom"/>
          </w:tcPr>
          <w:p>
            <w:pPr>
              <w:jc w:val="right"/>
              <w:ind w:right="201"/>
              <w:spacing w:after="0"/>
              <w:rPr>
                <w:sz w:val="20"/>
                <w:szCs w:val="20"/>
                <w:color w:val="auto"/>
              </w:rPr>
            </w:pPr>
            <w:r>
              <w:rPr>
                <w:rFonts w:ascii="Arial" w:cs="Arial" w:eastAsia="Arial" w:hAnsi="Arial"/>
                <w:sz w:val="14"/>
                <w:szCs w:val="14"/>
                <w:b w:val="1"/>
                <w:bCs w:val="1"/>
                <w:color w:val="auto"/>
              </w:rPr>
              <w:t>June 30, 2024</w:t>
            </w: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903</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1,676</w:t>
            </w:r>
          </w:p>
        </w:tc>
        <w:tc>
          <w:tcPr>
            <w:tcW w:w="1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1,695</w:t>
            </w:r>
          </w:p>
        </w:tc>
      </w:tr>
      <w:tr>
        <w:trPr>
          <w:trHeight w:val="215"/>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243</w:t>
            </w:r>
          </w:p>
        </w:tc>
      </w:tr>
      <w:tr>
        <w:trPr>
          <w:trHeight w:val="235"/>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1,043</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1,938</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6"/>
          <w:szCs w:val="16"/>
          <w:color w:val="auto"/>
        </w:rPr>
        <w:t>Total vehicle sales data represents: (1) retail sales (i.e., sales to consumers who purchase new vehicles from dealers or distributors); (2) fleet sales (i.e., sales to large and small businesses, governments and daily rental car companies); and (3) sales of courtesy transportation vehicles (i.e., vehicles previously used by dealers that were sold to the end consumer).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GM's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61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industry and GM total vehicle sales and GM's related competitive position by geographic region (vehicles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8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40" w:type="dxa"/>
            <w:vAlign w:val="bottom"/>
          </w:tcPr>
          <w:p>
            <w:pPr>
              <w:spacing w:after="0"/>
              <w:rPr>
                <w:sz w:val="17"/>
                <w:szCs w:val="17"/>
                <w:color w:val="auto"/>
              </w:rPr>
            </w:pPr>
          </w:p>
        </w:tc>
        <w:tc>
          <w:tcPr>
            <w:tcW w:w="1600" w:type="dxa"/>
            <w:vAlign w:val="bottom"/>
            <w:tcBorders>
              <w:bottom w:val="single" w:sz="8" w:color="auto"/>
            </w:tcBorders>
            <w:gridSpan w:val="5"/>
          </w:tcPr>
          <w:p>
            <w:pPr>
              <w:jc w:val="center"/>
              <w:ind w:left="608"/>
              <w:spacing w:after="0"/>
              <w:rPr>
                <w:sz w:val="20"/>
                <w:szCs w:val="20"/>
                <w:color w:val="auto"/>
              </w:rPr>
            </w:pPr>
            <w:r>
              <w:rPr>
                <w:rFonts w:ascii="Arial" w:cs="Arial" w:eastAsia="Arial" w:hAnsi="Arial"/>
                <w:sz w:val="14"/>
                <w:szCs w:val="14"/>
                <w:b w:val="1"/>
                <w:bCs w:val="1"/>
                <w:color w:val="auto"/>
              </w:rPr>
              <w:t>June 30, 2025</w:t>
            </w:r>
          </w:p>
        </w:tc>
        <w:tc>
          <w:tcPr>
            <w:tcW w:w="6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Borders>
              <w:bottom w:val="single" w:sz="8" w:color="auto"/>
            </w:tcBorders>
            <w:gridSpan w:val="5"/>
          </w:tcPr>
          <w:p>
            <w:pPr>
              <w:jc w:val="center"/>
              <w:ind w:left="588"/>
              <w:spacing w:after="0"/>
              <w:rPr>
                <w:sz w:val="20"/>
                <w:szCs w:val="20"/>
                <w:color w:val="auto"/>
              </w:rPr>
            </w:pPr>
            <w:r>
              <w:rPr>
                <w:rFonts w:ascii="Arial" w:cs="Arial" w:eastAsia="Arial" w:hAnsi="Arial"/>
                <w:sz w:val="14"/>
                <w:szCs w:val="14"/>
                <w:b w:val="1"/>
                <w:bCs w:val="1"/>
                <w:color w:val="auto"/>
              </w:rPr>
              <w:t>June 30, 2024</w:t>
            </w: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bottom w:val="single" w:sz="8" w:color="auto"/>
            </w:tcBorders>
            <w:gridSpan w:val="5"/>
          </w:tcPr>
          <w:p>
            <w:pPr>
              <w:jc w:val="center"/>
              <w:ind w:left="588"/>
              <w:spacing w:after="0"/>
              <w:rPr>
                <w:sz w:val="20"/>
                <w:szCs w:val="20"/>
                <w:color w:val="auto"/>
              </w:rPr>
            </w:pPr>
            <w:r>
              <w:rPr>
                <w:rFonts w:ascii="Arial" w:cs="Arial" w:eastAsia="Arial" w:hAnsi="Arial"/>
                <w:sz w:val="14"/>
                <w:szCs w:val="14"/>
                <w:b w:val="1"/>
                <w:bCs w:val="1"/>
                <w:color w:val="auto"/>
              </w:rPr>
              <w:t>June 30, 2025</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auto"/>
            </w:tcBorders>
            <w:gridSpan w:val="5"/>
          </w:tcPr>
          <w:p>
            <w:pPr>
              <w:jc w:val="center"/>
              <w:ind w:left="588"/>
              <w:spacing w:after="0"/>
              <w:rPr>
                <w:sz w:val="20"/>
                <w:szCs w:val="20"/>
                <w:color w:val="auto"/>
              </w:rPr>
            </w:pPr>
            <w:r>
              <w:rPr>
                <w:rFonts w:ascii="Arial" w:cs="Arial" w:eastAsia="Arial" w:hAnsi="Arial"/>
                <w:sz w:val="14"/>
                <w:szCs w:val="14"/>
                <w:b w:val="1"/>
                <w:bCs w:val="1"/>
                <w:color w:val="auto"/>
              </w:rPr>
              <w:t>June 30, 2024</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84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7"/>
              </w:rPr>
              <w:t>GM</w:t>
            </w:r>
          </w:p>
        </w:tc>
        <w:tc>
          <w:tcPr>
            <w:tcW w:w="7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Market</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7"/>
              </w:rPr>
              <w:t>GM</w:t>
            </w:r>
          </w:p>
        </w:tc>
        <w:tc>
          <w:tcPr>
            <w:tcW w:w="7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Market</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GM</w:t>
            </w:r>
          </w:p>
        </w:tc>
        <w:tc>
          <w:tcPr>
            <w:tcW w:w="76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Market</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GM</w:t>
            </w:r>
          </w:p>
        </w:tc>
        <w:tc>
          <w:tcPr>
            <w:tcW w:w="660" w:type="dxa"/>
            <w:vAlign w:val="bottom"/>
          </w:tcPr>
          <w:p>
            <w:pPr>
              <w:jc w:val="right"/>
              <w:ind w:right="88"/>
              <w:spacing w:after="0" w:line="147"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5"/>
        </w:trPr>
        <w:tc>
          <w:tcPr>
            <w:tcW w:w="1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North America</w:t>
            </w:r>
          </w:p>
        </w:tc>
        <w:tc>
          <w:tcPr>
            <w:tcW w:w="88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Share</w:t>
            </w:r>
          </w:p>
        </w:tc>
        <w:tc>
          <w:tcPr>
            <w:tcW w:w="88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Share</w:t>
            </w:r>
          </w:p>
        </w:tc>
        <w:tc>
          <w:tcPr>
            <w:tcW w:w="92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w:t>
            </w:r>
          </w:p>
        </w:tc>
        <w:tc>
          <w:tcPr>
            <w:tcW w:w="88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81"/>
        </w:trPr>
        <w:tc>
          <w:tcPr>
            <w:tcW w:w="1840" w:type="dxa"/>
            <w:vAlign w:val="bottom"/>
            <w:vMerge w:val="continue"/>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8,329</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17.3 %</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8,026</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16.1 %</w:t>
            </w:r>
          </w:p>
        </w:tc>
        <w:tc>
          <w:tcPr>
            <w:tcW w:w="0" w:type="dxa"/>
            <w:vAlign w:val="bottom"/>
          </w:tcPr>
          <w:p>
            <w:pPr>
              <w:spacing w:after="0"/>
              <w:rPr>
                <w:sz w:val="1"/>
                <w:szCs w:val="1"/>
                <w:color w:val="auto"/>
              </w:rPr>
            </w:pPr>
          </w:p>
        </w:tc>
      </w:tr>
      <w:tr>
        <w:trPr>
          <w:trHeight w:val="198"/>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1,051</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12.5 %</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13.0 %</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1,991</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12.9 %</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1,899</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13.0 %</w:t>
            </w: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North America</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5,348</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5,188</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15.9 %</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10,321</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9,925</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15.5 %</w:t>
            </w:r>
          </w:p>
        </w:tc>
        <w:tc>
          <w:tcPr>
            <w:tcW w:w="0" w:type="dxa"/>
            <w:vAlign w:val="bottom"/>
          </w:tcPr>
          <w:p>
            <w:pPr>
              <w:spacing w:after="0"/>
              <w:rPr>
                <w:sz w:val="1"/>
                <w:szCs w:val="1"/>
                <w:color w:val="auto"/>
              </w:rPr>
            </w:pPr>
          </w:p>
        </w:tc>
      </w:tr>
      <w:tr>
        <w:trPr>
          <w:trHeight w:val="133"/>
        </w:trPr>
        <w:tc>
          <w:tcPr>
            <w:tcW w:w="184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Asia/Pacific, Middle East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840" w:type="dxa"/>
            <w:vAlign w:val="bottom"/>
          </w:tcPr>
          <w:p>
            <w:pPr>
              <w:ind w:left="180"/>
              <w:spacing w:after="0"/>
              <w:rPr>
                <w:sz w:val="20"/>
                <w:szCs w:val="20"/>
                <w:color w:val="auto"/>
              </w:rPr>
            </w:pPr>
            <w:r>
              <w:rPr>
                <w:rFonts w:ascii="Arial" w:cs="Arial" w:eastAsia="Arial" w:hAnsi="Arial"/>
                <w:sz w:val="14"/>
                <w:szCs w:val="14"/>
                <w:b w:val="1"/>
                <w:bCs w:val="1"/>
                <w:color w:val="auto"/>
              </w:rPr>
              <w:t>and Africa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China(a)</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12,403</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11,538</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0" w:type="dxa"/>
            <w:vAlign w:val="bottom"/>
          </w:tcPr>
          <w:p>
            <w:pPr>
              <w:spacing w:after="0"/>
              <w:rPr>
                <w:sz w:val="1"/>
                <w:szCs w:val="1"/>
                <w:color w:val="auto"/>
              </w:rPr>
            </w:pPr>
          </w:p>
        </w:tc>
      </w:tr>
      <w:tr>
        <w:trPr>
          <w:trHeight w:val="198"/>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5,277</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2.2 %</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5,234</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2.3 %</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10,908</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10,734</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137"/>
        </w:trPr>
        <w:tc>
          <w:tcPr>
            <w:tcW w:w="18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Total Asia/Pacific, Middle</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11,869</w:t>
            </w: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11,117</w:t>
            </w: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23,312</w:t>
            </w: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1,110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22,273</w:t>
            </w:r>
          </w:p>
        </w:tc>
        <w:tc>
          <w:tcPr>
            <w:tcW w:w="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190"/>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East and Africa</w:t>
            </w: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South America</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13.4 %</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1,143</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12.3 %</w:t>
            </w:r>
          </w:p>
        </w:tc>
        <w:tc>
          <w:tcPr>
            <w:tcW w:w="0" w:type="dxa"/>
            <w:vAlign w:val="bottom"/>
          </w:tcPr>
          <w:p>
            <w:pPr>
              <w:spacing w:after="0"/>
              <w:rPr>
                <w:sz w:val="1"/>
                <w:szCs w:val="1"/>
                <w:color w:val="auto"/>
              </w:rPr>
            </w:pPr>
          </w:p>
        </w:tc>
      </w:tr>
      <w:tr>
        <w:trPr>
          <w:trHeight w:val="198"/>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7.6 %</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8.4 %</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7.4 %</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627</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8.6 %</w:t>
            </w: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South America</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1,058</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9.0 %</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8.9 %</w:t>
            </w: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1,770</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11.0 %</w:t>
            </w:r>
          </w:p>
        </w:tc>
        <w:tc>
          <w:tcPr>
            <w:tcW w:w="0" w:type="dxa"/>
            <w:vAlign w:val="bottom"/>
          </w:tcPr>
          <w:p>
            <w:pPr>
              <w:spacing w:after="0"/>
              <w:rPr>
                <w:sz w:val="1"/>
                <w:szCs w:val="1"/>
                <w:color w:val="auto"/>
              </w:rPr>
            </w:pPr>
          </w:p>
        </w:tc>
      </w:tr>
      <w:tr>
        <w:trPr>
          <w:trHeight w:val="192"/>
        </w:trPr>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Total in GM markets</w:t>
            </w:r>
          </w:p>
        </w:tc>
        <w:tc>
          <w:tcPr>
            <w:tcW w:w="780" w:type="dxa"/>
            <w:vAlign w:val="bottom"/>
          </w:tcPr>
          <w:p>
            <w:pPr>
              <w:jc w:val="right"/>
              <w:spacing w:after="0"/>
              <w:rPr>
                <w:sz w:val="20"/>
                <w:szCs w:val="20"/>
                <w:color w:val="auto"/>
              </w:rPr>
            </w:pPr>
            <w:r>
              <w:rPr>
                <w:rFonts w:ascii="Arial" w:cs="Arial" w:eastAsia="Arial" w:hAnsi="Arial"/>
                <w:sz w:val="14"/>
                <w:szCs w:val="14"/>
                <w:color w:val="auto"/>
              </w:rPr>
              <w:t>18,275</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8.4 %</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17,252</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8.3 %</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35,642</w:t>
            </w:r>
          </w:p>
        </w:tc>
        <w:tc>
          <w:tcPr>
            <w:tcW w:w="1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2,987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8.4 %</w:t>
            </w:r>
          </w:p>
        </w:tc>
        <w:tc>
          <w:tcPr>
            <w:tcW w:w="1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33,968</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2,778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8.2 %</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Europe</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4,387</w:t>
            </w: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8,639</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8,855</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0"/>
        </w:trPr>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Total Worldwide(b)</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22,662</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6.8 %</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21,738</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6.6 %</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44,281</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2,988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6.7 %</w:t>
            </w: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42,823</w:t>
            </w:r>
          </w:p>
        </w:tc>
        <w:tc>
          <w:tcPr>
            <w:tcW w:w="8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6.5 %</w:t>
            </w: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United States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840" w:type="dxa"/>
            <w:vAlign w:val="bottom"/>
          </w:tcPr>
          <w:p>
            <w:pPr>
              <w:ind w:left="20"/>
              <w:spacing w:after="0"/>
              <w:rPr>
                <w:sz w:val="20"/>
                <w:szCs w:val="20"/>
                <w:color w:val="auto"/>
              </w:rPr>
            </w:pPr>
            <w:r>
              <w:rPr>
                <w:rFonts w:ascii="Arial" w:cs="Arial" w:eastAsia="Arial" w:hAnsi="Arial"/>
                <w:sz w:val="14"/>
                <w:szCs w:val="14"/>
                <w:color w:val="auto"/>
              </w:rPr>
              <w:t>Cars</w:t>
            </w:r>
          </w:p>
        </w:tc>
        <w:tc>
          <w:tcPr>
            <w:tcW w:w="780" w:type="dxa"/>
            <w:vAlign w:val="bottom"/>
          </w:tcPr>
          <w:p>
            <w:pPr>
              <w:jc w:val="right"/>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2.1 %</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6.9 %</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1,416</w:t>
            </w: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1,476</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7.0 %</w:t>
            </w:r>
          </w:p>
        </w:tc>
        <w:tc>
          <w:tcPr>
            <w:tcW w:w="0" w:type="dxa"/>
            <w:vAlign w:val="bottom"/>
          </w:tcPr>
          <w:p>
            <w:pPr>
              <w:spacing w:after="0"/>
              <w:rPr>
                <w:sz w:val="1"/>
                <w:szCs w:val="1"/>
                <w:color w:val="auto"/>
              </w:rPr>
            </w:pPr>
          </w:p>
        </w:tc>
      </w:tr>
      <w:tr>
        <w:trPr>
          <w:trHeight w:val="207"/>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Trucks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32.3 %</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2,279</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32.7 %</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2,044</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31.8 %</w:t>
            </w:r>
          </w:p>
        </w:tc>
        <w:tc>
          <w:tcPr>
            <w:tcW w:w="0" w:type="dxa"/>
            <w:vAlign w:val="bottom"/>
          </w:tcPr>
          <w:p>
            <w:pPr>
              <w:spacing w:after="0"/>
              <w:rPr>
                <w:sz w:val="1"/>
                <w:szCs w:val="1"/>
                <w:color w:val="auto"/>
              </w:rPr>
            </w:pPr>
          </w:p>
        </w:tc>
      </w:tr>
      <w:tr>
        <w:trPr>
          <w:trHeight w:val="198"/>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Crossovers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14.0 %</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2,300</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12.4 %</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4,634</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14.3 %</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4,507</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11.9 %</w:t>
            </w:r>
          </w:p>
        </w:tc>
        <w:tc>
          <w:tcPr>
            <w:tcW w:w="0" w:type="dxa"/>
            <w:vAlign w:val="bottom"/>
          </w:tcPr>
          <w:p>
            <w:pPr>
              <w:spacing w:after="0"/>
              <w:rPr>
                <w:sz w:val="1"/>
                <w:szCs w:val="1"/>
                <w:color w:val="auto"/>
              </w:rPr>
            </w:pPr>
          </w:p>
        </w:tc>
      </w:tr>
      <w:tr>
        <w:trPr>
          <w:trHeight w:val="225"/>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United States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4,297</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17.4 %</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4,181</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8,329</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1,440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17.3 %</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8,026</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16.1 %</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China(a)</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8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SGMW</w:t>
            </w: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6,592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5,883</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12,403</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11,538</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sales by the Automotive China JVs: SAIC General Motors Sales Co., Ltd. (SGMS) and SAIC GM Wuling Automobile Co., Ltd. (SGMW).</w:t>
      </w:r>
    </w:p>
    <w:p>
      <w:pPr>
        <w:spacing w:after="0" w:line="1"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Cuba, Iran, North Korea, Syria and certain regions of Ukraine are subject to broad economic sanctions. Accordingly, these countries are excluded from industry sales data and corresponding calculation of market share.</w:t>
      </w:r>
    </w:p>
    <w:p>
      <w:pPr>
        <w:spacing w:after="0" w:line="289" w:lineRule="exact"/>
        <w:rPr>
          <w:sz w:val="20"/>
          <w:szCs w:val="20"/>
          <w:color w:val="auto"/>
        </w:rPr>
      </w:pPr>
    </w:p>
    <w:p>
      <w:pPr>
        <w:jc w:val="both"/>
        <w:ind w:right="20" w:firstLine="162"/>
        <w:spacing w:after="0" w:line="266" w:lineRule="auto"/>
        <w:rPr>
          <w:sz w:val="20"/>
          <w:szCs w:val="20"/>
          <w:color w:val="auto"/>
        </w:rPr>
      </w:pPr>
      <w:r>
        <w:rPr>
          <w:rFonts w:ascii="Arial" w:cs="Arial" w:eastAsia="Arial" w:hAnsi="Arial"/>
          <w:sz w:val="16"/>
          <w:szCs w:val="16"/>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3280" w:type="dxa"/>
            <w:vAlign w:val="bottom"/>
            <w:tcBorders>
              <w:bottom w:val="single" w:sz="8" w:color="auto"/>
            </w:tcBorders>
            <w:gridSpan w:val="3"/>
          </w:tcPr>
          <w:p>
            <w:pPr>
              <w:jc w:val="right"/>
              <w:ind w:right="84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3300" w:type="dxa"/>
            <w:vAlign w:val="bottom"/>
            <w:tcBorders>
              <w:bottom w:val="single" w:sz="8" w:color="auto"/>
            </w:tcBorders>
            <w:gridSpan w:val="3"/>
          </w:tcPr>
          <w:p>
            <w:pPr>
              <w:jc w:val="right"/>
              <w:ind w:right="96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540" w:type="dxa"/>
            <w:vAlign w:val="bottom"/>
          </w:tcPr>
          <w:p>
            <w:pPr>
              <w:spacing w:after="0"/>
              <w:rPr>
                <w:sz w:val="17"/>
                <w:szCs w:val="17"/>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2025</w:t>
            </w: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2024</w:t>
            </w: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2025</w:t>
            </w:r>
          </w:p>
        </w:tc>
        <w:tc>
          <w:tcPr>
            <w:tcW w:w="1600" w:type="dxa"/>
            <w:vAlign w:val="bottom"/>
          </w:tcPr>
          <w:p>
            <w:pPr>
              <w:jc w:val="right"/>
              <w:ind w:right="261"/>
              <w:spacing w:after="0"/>
              <w:rPr>
                <w:sz w:val="20"/>
                <w:szCs w:val="20"/>
                <w:color w:val="auto"/>
              </w:rPr>
            </w:pPr>
            <w:r>
              <w:rPr>
                <w:rFonts w:ascii="Arial" w:cs="Arial" w:eastAsia="Arial" w:hAnsi="Arial"/>
                <w:sz w:val="14"/>
                <w:szCs w:val="14"/>
                <w:b w:val="1"/>
                <w:bCs w:val="1"/>
                <w:color w:val="auto"/>
              </w:rPr>
              <w:t>June 30, 2024</w:t>
            </w: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58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178</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179</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350</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320</w:t>
            </w:r>
          </w:p>
        </w:tc>
      </w:tr>
      <w:tr>
        <w:trPr>
          <w:trHeight w:val="215"/>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w:t>
            </w:r>
          </w:p>
        </w:tc>
        <w:tc>
          <w:tcPr>
            <w:tcW w:w="15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166</w:t>
            </w:r>
          </w:p>
        </w:tc>
      </w:tr>
      <w:tr>
        <w:trPr>
          <w:trHeight w:val="235"/>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fleet sales</w:t>
            </w:r>
          </w:p>
        </w:tc>
        <w:tc>
          <w:tcPr>
            <w:tcW w:w="15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486</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Fleet sales as a percentage of total vehicle sales</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19.3 %</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17.2 %</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17.5 %</w:t>
            </w:r>
          </w:p>
        </w:tc>
      </w:tr>
      <w:tr>
        <w:trPr>
          <w:trHeight w:val="149"/>
        </w:trPr>
        <w:tc>
          <w:tcPr>
            <w:tcW w:w="4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 capacity two-shift utilization</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117.6 %</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108.1 %</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113.5 %</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105.1 %</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240"/>
      </w:cols>
      <w:pgMar w:left="320" w:top="6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2025-07-22T06:35:41Z</dcterms:created>
  <dcterms:modified xsi:type="dcterms:W3CDTF">2025-07-22T06:35:41Z</dcterms:modified>
</cp:coreProperties>
</file>