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-609600</wp:posOffset>
            </wp:positionV>
            <wp:extent cx="57150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3923665</wp:posOffset>
            </wp:positionH>
            <wp:positionV relativeFrom="paragraph">
              <wp:posOffset>-609600</wp:posOffset>
            </wp:positionV>
            <wp:extent cx="57150" cy="622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641350</wp:posOffset>
            </wp:positionV>
            <wp:extent cx="6997065" cy="5060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506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Reuss Mark L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1240 WOODWARD AVENUE M/C: 482-22381-1003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700" w:firstLine="10"/>
        <w:spacing w:after="0" w:line="247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9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jc w:val="center"/>
              <w:ind w:right="238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9"/>
          </w:tcPr>
          <w:p>
            <w:pPr>
              <w:ind w:left="2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DETROIT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02/04/2026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24,814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122,820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02/04/2026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8,502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86.29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114,318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43,490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43,490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43,490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24,814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24,814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49,628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-2075815</wp:posOffset>
            </wp:positionV>
            <wp:extent cx="28575" cy="2080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8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 Upon vesting, they will be settled in shares of the Company's common stock on a one-for-one basis.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one-third will vest on February 3, 2027, one-third will vest on February 3, 2028, and one-third will vest on February 3, 2029.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hanging="2"/>
        <w:spacing w:after="0" w:line="244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awarded on February 4, 2025. One-third of the RSUs vested on February 4, 2026, and the remaining two-thirds will vest on February 4, 2027 and February 4, 2028. Each RSU represents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Tia Y. Turk, Attorney-In-Fact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Mr. Reuss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5664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18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2362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2026-02-05T15:52:49Z</dcterms:created>
  <dcterms:modified xsi:type="dcterms:W3CDTF">2026-02-05T15:52:49Z</dcterms:modified>
</cp:coreProperties>
</file>