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0"/>
        <w:spacing w:after="0"/>
        <w:rPr>
          <w:sz w:val="20"/>
          <w:szCs w:val="20"/>
          <w:color w:val="auto"/>
        </w:rPr>
      </w:pPr>
      <w:r>
        <w:rPr>
          <w:rFonts w:ascii="Arial" w:cs="Arial" w:eastAsia="Arial" w:hAnsi="Arial"/>
          <w:sz w:val="17"/>
          <w:szCs w:val="17"/>
          <w:color w:val="0000FF"/>
        </w:rPr>
        <w:t>Senior Vice President</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8,453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98,088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5,845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92,243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2,608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2,117</w:t>
            </w:r>
            <w:r>
              <w:rPr>
                <w:rFonts w:ascii="Arial" w:cs="Arial" w:eastAsia="Arial" w:hAnsi="Arial"/>
                <w:sz w:val="22"/>
                <w:szCs w:val="22"/>
                <w:color w:val="008000"/>
                <w:w w:val="85"/>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91,752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1,448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90,304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669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1,383</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91,018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945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90,073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438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2"/>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8,453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16,906</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2"/>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2,117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2,117</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2,117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1,383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122"/>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1,383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2"/>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22,117</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80"/>
              <w:spacing w:after="0" w:line="142" w:lineRule="exact"/>
              <w:rPr>
                <w:sz w:val="20"/>
                <w:szCs w:val="20"/>
                <w:color w:val="auto"/>
              </w:rPr>
            </w:pPr>
            <w:r>
              <w:rPr>
                <w:rFonts w:ascii="Arial" w:cs="Arial" w:eastAsia="Arial" w:hAnsi="Arial"/>
                <w:sz w:val="13"/>
                <w:szCs w:val="13"/>
                <w:color w:val="0000FF"/>
              </w:rPr>
              <w:t>22,117</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22,117</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2009.</w:t>
      </w:r>
    </w:p>
    <w:p>
      <w:pPr>
        <w:spacing w:after="0" w:line="49" w:lineRule="exact"/>
        <w:rPr>
          <w:rFonts w:ascii="Arial" w:cs="Arial" w:eastAsia="Arial" w:hAnsi="Arial"/>
          <w:sz w:val="13"/>
          <w:szCs w:val="13"/>
          <w:color w:val="008000"/>
        </w:rPr>
      </w:pPr>
    </w:p>
    <w:p>
      <w:pPr>
        <w:ind w:left="40" w:right="14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1,383 SSUs, of which 461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4,152 SSUs granted on December 31, 2009 of which 1,383 SSUs became payable on December 31, 2012.</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7. The SSUs reported in this item were granted on December 31, 2012 and will be settled in three equal, annual installments beginning December 31, 2013.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Ms. Barra</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2019-12-17T01:56:32Z</dcterms:created>
  <dcterms:modified xsi:type="dcterms:W3CDTF">2019-12-17T01:56:32Z</dcterms:modified>
</cp:coreProperties>
</file>