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06/30/2013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2"/>
              <w:spacing w:after="0"/>
              <w:rPr>
                <w:sz w:val="20"/>
                <w:szCs w:val="20"/>
                <w:color w:val="auto"/>
              </w:rPr>
            </w:pPr>
            <w:r>
              <w:rPr>
                <w:rFonts w:ascii="Arial" w:cs="Arial" w:eastAsia="Arial" w:hAnsi="Arial"/>
                <w:sz w:val="17"/>
                <w:szCs w:val="17"/>
                <w:color w:val="0000FF"/>
                <w:w w:val="88"/>
              </w:rPr>
              <w:t>16,537</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06/30/2013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0000FF"/>
              </w:rPr>
              <w:t>16,537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0000FF"/>
              </w:rPr>
              <w:t>16,537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9,922</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06/30/2013</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line="145" w:lineRule="exact"/>
              <w:rPr>
                <w:sz w:val="20"/>
                <w:szCs w:val="20"/>
                <w:color w:val="auto"/>
              </w:rPr>
            </w:pPr>
            <w:r>
              <w:rPr>
                <w:rFonts w:ascii="Arial" w:cs="Arial" w:eastAsia="Arial" w:hAnsi="Arial"/>
                <w:sz w:val="13"/>
                <w:szCs w:val="13"/>
                <w:color w:val="0000FF"/>
              </w:rPr>
              <w:t>9,922</w:t>
            </w:r>
          </w:p>
        </w:tc>
        <w:tc>
          <w:tcPr>
            <w:tcW w:w="340" w:type="dxa"/>
            <w:vAlign w:val="bottom"/>
          </w:tcPr>
          <w:p>
            <w:pPr>
              <w:spacing w:after="0"/>
              <w:rPr>
                <w:sz w:val="7"/>
                <w:szCs w:val="7"/>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9,922</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firstLine="8"/>
        <w:spacing w:after="0" w:line="246"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granted on June 30, 2013 pursuant to the Company's Salary Stock Plan (the "GMSSP") and will be settled in three equal, annual installments beginning June 30, 2014. Each SSU is the economic equivalent of one share of the Company's common stock. Grants of SSU are fully vested when made and will be settled in three equal, annual installments beginning one year after the date of grant. As recently amended, the GMSSP gives the employee the option of having a settlement made by delivery of the Stock or of cash in an amount equal to the fair market value of the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$33.26.</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(8) The SSUs reported in this item were granted on June 30, 2013 and will be treated as if they were granted on March 31, 2013 (i.e., granted nunc pro tunc), so that they will be settled in three equal, annual installments beginning March 31, 2014.</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07/02/2013</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Dr. Neumann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2019-12-18T15:32:40Z</dcterms:created>
  <dcterms:modified xsi:type="dcterms:W3CDTF">2019-12-18T15:32:40Z</dcterms:modified>
</cp:coreProperties>
</file>