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3,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June 3,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June 3, 2013, General Motors Company issued a news release announcing May 2013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June 3,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580"/>
          </w:cols>
          <w:pgMar w:left="240" w:top="796" w:right="10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Date: June 5, 2013</w:t>
            </w:r>
          </w:p>
        </w:tc>
        <w:tc>
          <w:tcPr>
            <w:tcW w:w="2720" w:type="dxa"/>
            <w:vAlign w:val="bottom"/>
            <w:vMerge w:val="restart"/>
          </w:tcPr>
          <w:p>
            <w:pPr>
              <w:ind w:left="20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For Release: Monday, June 3, 2013, 10 a.m. EDT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Reports its Highest Monthly Sales Since September 2008</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Cadillac up 38 percent in 2013; Largest increase since 1976</w:t>
      </w:r>
    </w:p>
    <w:p>
      <w:pPr>
        <w:spacing w:after="0" w:line="231"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color w:val="auto"/>
        </w:rPr>
        <w:t xml:space="preserve">DETROIT </w:t>
      </w:r>
      <w:r>
        <w:rPr>
          <w:rFonts w:ascii="Arial" w:cs="Arial" w:eastAsia="Arial" w:hAnsi="Arial"/>
          <w:sz w:val="22"/>
          <w:szCs w:val="22"/>
          <w:color w:val="auto"/>
        </w:rPr>
        <w:t>- General Motors Co. (NYSE: GM) sold 252,894 vehicles in the United States in May, up 3 percent compared</w:t>
      </w:r>
      <w:r>
        <w:rPr>
          <w:rFonts w:ascii="Arial" w:cs="Arial" w:eastAsia="Arial" w:hAnsi="Arial"/>
          <w:sz w:val="22"/>
          <w:szCs w:val="22"/>
          <w:b w:val="1"/>
          <w:bCs w:val="1"/>
          <w:color w:val="auto"/>
        </w:rPr>
        <w:t xml:space="preserve"> </w:t>
      </w:r>
      <w:r>
        <w:rPr>
          <w:rFonts w:ascii="Arial" w:cs="Arial" w:eastAsia="Arial" w:hAnsi="Arial"/>
          <w:sz w:val="22"/>
          <w:szCs w:val="22"/>
          <w:color w:val="auto"/>
        </w:rPr>
        <w:t>with a year ago. Retail sales increased 9 percent, fleet sales were down 10 percent and the fleet mix was 26 percent of total sales.</w:t>
      </w:r>
    </w:p>
    <w:p>
      <w:pPr>
        <w:spacing w:after="0" w:line="196"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“Cadillac is growing faster than it has in almost 40 years, the pickup rebound is in full swing and we're seeing strong retail demand for our crossovers” said Kurt McNeil, vice president of U.S. sales operations. “These are all powerful signs that the gradual recovery in the economy is becoming more broad-based. That's great news for the auto industry and General Motors.”</w:t>
      </w:r>
    </w:p>
    <w:p>
      <w:pPr>
        <w:spacing w:after="0" w:line="210" w:lineRule="exact"/>
        <w:rPr>
          <w:sz w:val="20"/>
          <w:szCs w:val="20"/>
          <w:color w:val="auto"/>
        </w:rPr>
      </w:pPr>
    </w:p>
    <w:p>
      <w:pPr>
        <w:ind w:right="360"/>
        <w:spacing w:after="0" w:line="249" w:lineRule="auto"/>
        <w:rPr>
          <w:sz w:val="20"/>
          <w:szCs w:val="20"/>
          <w:color w:val="auto"/>
        </w:rPr>
      </w:pPr>
      <w:r>
        <w:rPr>
          <w:rFonts w:ascii="Arial" w:cs="Arial" w:eastAsia="Arial" w:hAnsi="Arial"/>
          <w:sz w:val="22"/>
          <w:szCs w:val="22"/>
          <w:color w:val="auto"/>
        </w:rPr>
        <w:t>GM's trucks sales were up 15 percent versus a year ago, including a 23 percent increase for large pickups and a 30 percent increase for large SUVs.</w:t>
      </w:r>
    </w:p>
    <w:p>
      <w:pPr>
        <w:spacing w:after="0" w:line="204" w:lineRule="exact"/>
        <w:rPr>
          <w:sz w:val="20"/>
          <w:szCs w:val="20"/>
          <w:color w:val="auto"/>
        </w:rPr>
      </w:pPr>
    </w:p>
    <w:p>
      <w:pPr>
        <w:ind w:right="120"/>
        <w:spacing w:after="0" w:line="246" w:lineRule="auto"/>
        <w:rPr>
          <w:sz w:val="20"/>
          <w:szCs w:val="20"/>
          <w:color w:val="auto"/>
        </w:rPr>
      </w:pPr>
      <w:r>
        <w:rPr>
          <w:rFonts w:ascii="Arial" w:cs="Arial" w:eastAsia="Arial" w:hAnsi="Arial"/>
          <w:sz w:val="22"/>
          <w:szCs w:val="22"/>
          <w:color w:val="auto"/>
        </w:rPr>
        <w:t>Crossover sales were up 3 percent. Compact crossover sales were up 10 percent and set a monthly record behind the Chevrolet Equinox, which had its best month ever. The Equinox has now posted 17 consecutive monthly sales increases.</w:t>
      </w:r>
    </w:p>
    <w:p>
      <w:pPr>
        <w:spacing w:after="0" w:line="208" w:lineRule="exact"/>
        <w:rPr>
          <w:sz w:val="20"/>
          <w:szCs w:val="20"/>
          <w:color w:val="auto"/>
        </w:rPr>
      </w:pPr>
    </w:p>
    <w:p>
      <w:pPr>
        <w:ind w:right="740"/>
        <w:spacing w:after="0" w:line="249" w:lineRule="auto"/>
        <w:rPr>
          <w:sz w:val="20"/>
          <w:szCs w:val="20"/>
          <w:color w:val="auto"/>
        </w:rPr>
      </w:pPr>
      <w:r>
        <w:rPr>
          <w:rFonts w:ascii="Arial" w:cs="Arial" w:eastAsia="Arial" w:hAnsi="Arial"/>
          <w:sz w:val="22"/>
          <w:szCs w:val="22"/>
          <w:color w:val="auto"/>
        </w:rPr>
        <w:t>Retail passenger car sales were up 2 percent while total sales were down 6 percent. Lower fleet sales were due primarily to the timing of customer deliveries.</w:t>
      </w:r>
    </w:p>
    <w:p>
      <w:pPr>
        <w:spacing w:after="0" w:line="312" w:lineRule="exact"/>
        <w:rPr>
          <w:sz w:val="20"/>
          <w:szCs w:val="20"/>
          <w:color w:val="auto"/>
        </w:rPr>
      </w:pPr>
    </w:p>
    <w:tbl>
      <w:tblPr>
        <w:tblLayout w:type="fixed"/>
        <w:tblInd w:w="1430" w:type="dxa"/>
        <w:tblCellMar>
          <w:top w:w="0" w:type="dxa"/>
          <w:left w:w="0" w:type="dxa"/>
          <w:bottom w:w="0" w:type="dxa"/>
          <w:right w:w="0" w:type="dxa"/>
        </w:tblCellMar>
      </w:tblPr>
      <w:tr>
        <w:trPr>
          <w:trHeight w:val="237"/>
        </w:trPr>
        <w:tc>
          <w:tcPr>
            <w:tcW w:w="2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May 2013 Sales</w:t>
            </w:r>
          </w:p>
        </w:tc>
        <w:tc>
          <w:tcPr>
            <w:tcW w:w="162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Total Sales</w:t>
            </w:r>
          </w:p>
        </w:tc>
        <w:tc>
          <w:tcPr>
            <w:tcW w:w="146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YOY Change</w:t>
            </w:r>
          </w:p>
        </w:tc>
        <w:tc>
          <w:tcPr>
            <w:tcW w:w="17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Retail Sales</w:t>
            </w:r>
          </w:p>
        </w:tc>
        <w:tc>
          <w:tcPr>
            <w:tcW w:w="16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YOY Change</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Chevrolet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179,510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0.9%</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124,897</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5.4%</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GMC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41,594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33,814</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11.5%</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Buick</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17,982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15,897</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Cadillac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13,808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39.9%</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13,050</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36.6%</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Total GM</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252,894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187,658</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8.6%</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May Highlights (vs. 2012)</w:t>
      </w:r>
    </w:p>
    <w:p>
      <w:pPr>
        <w:spacing w:after="0" w:line="3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Cadillac's 40 percent sales increase marked its best May since 2007.</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Chevrolet had its best retail sales month since August 2009.</w:t>
      </w:r>
    </w:p>
    <w:p>
      <w:pPr>
        <w:spacing w:after="0" w:line="3" w:lineRule="exact"/>
        <w:rPr>
          <w:rFonts w:ascii="Arial" w:cs="Arial" w:eastAsia="Arial" w:hAnsi="Arial"/>
          <w:sz w:val="18"/>
          <w:szCs w:val="18"/>
          <w:color w:val="auto"/>
        </w:rPr>
      </w:pPr>
    </w:p>
    <w:p>
      <w:pPr>
        <w:ind w:left="340" w:right="260" w:hanging="332"/>
        <w:spacing w:after="0" w:line="24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Retail sales of GM's redesigned medium crossovers were very strong: the Chevrolet Traverse was up 14 percent, and GMC Acadia and Buick Enclave were up 15 percent and 19 percent, respectively.</w:t>
      </w:r>
    </w:p>
    <w:p>
      <w:pPr>
        <w:sectPr>
          <w:pgSz w:w="11900" w:h="16838" w:orient="portrait"/>
          <w:cols w:equalWidth="0" w:num="1">
            <w:col w:w="11420"/>
          </w:cols>
          <w:pgMar w:left="240" w:top="81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May Highlights (vs. 2012) - continued</w:t>
      </w:r>
    </w:p>
    <w:p>
      <w:pPr>
        <w:spacing w:after="0" w:line="30" w:lineRule="exact"/>
        <w:rPr>
          <w:sz w:val="20"/>
          <w:szCs w:val="20"/>
          <w:color w:val="auto"/>
        </w:rPr>
      </w:pPr>
    </w:p>
    <w:p>
      <w:pPr>
        <w:ind w:left="340" w:right="160" w:hanging="332"/>
        <w:spacing w:after="0" w:line="24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Strong Chevrolet Spark sales and double-digit increases for the Buick Verano, Chevrolet Sonic and Cruze drove a 27 percent increase in sales of mini, small and compact cars.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The Chevrolet Cruze had its best May sales ever, and the Sonic had its best month ever.</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Chevrolet dealers delivered more than 2,350 all-new 2014 Impalas.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Calendar Year-to-Date</w:t>
      </w:r>
    </w:p>
    <w:p>
      <w:pPr>
        <w:spacing w:after="0" w:line="354" w:lineRule="exact"/>
        <w:rPr>
          <w:sz w:val="20"/>
          <w:szCs w:val="20"/>
          <w:color w:val="auto"/>
        </w:rPr>
      </w:pPr>
    </w:p>
    <w:tbl>
      <w:tblPr>
        <w:tblLayout w:type="fixed"/>
        <w:tblInd w:w="1290" w:type="dxa"/>
        <w:tblCellMar>
          <w:top w:w="0" w:type="dxa"/>
          <w:left w:w="0" w:type="dxa"/>
          <w:bottom w:w="0" w:type="dxa"/>
          <w:right w:w="0" w:type="dxa"/>
        </w:tblCellMar>
      </w:tblP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CYTD Sales</w:t>
            </w:r>
          </w:p>
        </w:tc>
        <w:tc>
          <w:tcPr>
            <w:tcW w:w="16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Total Sales</w:t>
            </w:r>
          </w:p>
        </w:tc>
        <w:tc>
          <w:tcPr>
            <w:tcW w:w="15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6"/>
                <w:szCs w:val="16"/>
                <w:b w:val="1"/>
                <w:bCs w:val="1"/>
                <w:color w:val="auto"/>
              </w:rPr>
              <w:t>YOY Change</w:t>
            </w:r>
          </w:p>
        </w:tc>
        <w:tc>
          <w:tcPr>
            <w:tcW w:w="17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Retail Sales</w:t>
            </w:r>
          </w:p>
        </w:tc>
        <w:tc>
          <w:tcPr>
            <w:tcW w:w="23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6"/>
                <w:szCs w:val="16"/>
                <w:b w:val="1"/>
                <w:bCs w:val="1"/>
                <w:color w:val="auto"/>
              </w:rPr>
              <w:t>YOY Change</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Chevrolet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821,674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559,991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6.6%</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GMC</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181,320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11.0%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154,874</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12.7%</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Buick</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82,759</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16.0%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74,113</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16.9%</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Cadillac</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69,750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37.6%</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62,937</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28.6%</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Total GM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1,155,503</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851,915</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Calendar Year-to-Date Highlights (vs. 2012)</w:t>
      </w:r>
    </w:p>
    <w:p>
      <w:pPr>
        <w:spacing w:after="0" w:line="3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The last time Cadillac delivered a larger year-to-date sales increase was in 1976.</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Buick retail sales have increased for 13 consecutive months.</w:t>
      </w:r>
    </w:p>
    <w:p>
      <w:pPr>
        <w:spacing w:after="0" w:line="3" w:lineRule="exact"/>
        <w:rPr>
          <w:rFonts w:ascii="Arial" w:cs="Arial" w:eastAsia="Arial" w:hAnsi="Arial"/>
          <w:sz w:val="18"/>
          <w:szCs w:val="18"/>
          <w:color w:val="auto"/>
        </w:rPr>
      </w:pPr>
    </w:p>
    <w:p>
      <w:pPr>
        <w:ind w:left="34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Truck sales were up 12 percent, including a 22 percent increase in sales of large pickups and a 23 percent increase for large SUVs.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Crossover sales were up 17 percent and car sales were essentially equal to a year ago.</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GM's fleet mix was 26 percent, which is in line with the company's full-year strategy.</w:t>
      </w:r>
    </w:p>
    <w:p>
      <w:pPr>
        <w:spacing w:after="0" w:line="328" w:lineRule="exact"/>
        <w:rPr>
          <w:sz w:val="20"/>
          <w:szCs w:val="20"/>
          <w:color w:val="auto"/>
        </w:rPr>
      </w:pPr>
    </w:p>
    <w:tbl>
      <w:tblPr>
        <w:tblLayout w:type="fixed"/>
        <w:tblInd w:w="930" w:type="dxa"/>
        <w:tblCellMar>
          <w:top w:w="0" w:type="dxa"/>
          <w:left w:w="0" w:type="dxa"/>
          <w:bottom w:w="0" w:type="dxa"/>
          <w:right w:w="0" w:type="dxa"/>
        </w:tblCellMar>
      </w:tblPr>
      <w:tr>
        <w:trPr>
          <w:trHeight w:val="229"/>
        </w:trPr>
        <w:tc>
          <w:tcPr>
            <w:tcW w:w="380" w:type="dxa"/>
            <w:vAlign w:val="bottom"/>
            <w:tcBorders>
              <w:right w:val="single" w:sz="8" w:color="auto"/>
            </w:tcBorders>
          </w:tcPr>
          <w:p>
            <w:pPr>
              <w:spacing w:after="0"/>
              <w:rPr>
                <w:sz w:val="19"/>
                <w:szCs w:val="19"/>
                <w:color w:val="auto"/>
              </w:rPr>
            </w:pP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Inventory</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Units @</w:t>
            </w:r>
          </w:p>
        </w:tc>
        <w:tc>
          <w:tcPr>
            <w:tcW w:w="14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Days Supply (selling</w:t>
            </w:r>
          </w:p>
        </w:tc>
        <w:tc>
          <w:tcPr>
            <w:tcW w:w="6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Units @</w:t>
            </w:r>
          </w:p>
        </w:tc>
        <w:tc>
          <w:tcPr>
            <w:tcW w:w="180" w:type="dxa"/>
            <w:vAlign w:val="bottom"/>
            <w:tcBorders>
              <w:top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0"/>
              </w:rPr>
              <w:t>Days Supply (selling day</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8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Borders>
              <w:right w:val="single" w:sz="8" w:color="auto"/>
            </w:tcBorders>
            <w:vMerge w:val="restart"/>
          </w:tcPr>
          <w:p>
            <w:pPr>
              <w:jc w:val="center"/>
              <w:ind w:right="99"/>
              <w:spacing w:after="0"/>
              <w:rPr>
                <w:sz w:val="20"/>
                <w:szCs w:val="20"/>
                <w:color w:val="auto"/>
              </w:rPr>
            </w:pPr>
            <w:r>
              <w:rPr>
                <w:rFonts w:ascii="Arial" w:cs="Arial" w:eastAsia="Arial" w:hAnsi="Arial"/>
                <w:sz w:val="16"/>
                <w:szCs w:val="16"/>
                <w:b w:val="1"/>
                <w:bCs w:val="1"/>
                <w:color w:val="auto"/>
              </w:rPr>
              <w:t>May 31</w:t>
            </w: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day adjusted)</w:t>
            </w:r>
          </w:p>
        </w:tc>
        <w:tc>
          <w:tcPr>
            <w:tcW w:w="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8"/>
              </w:rPr>
              <w:t>April 30</w:t>
            </w:r>
          </w:p>
        </w:tc>
        <w:tc>
          <w:tcPr>
            <w:tcW w:w="180" w:type="dxa"/>
            <w:vAlign w:val="bottom"/>
          </w:tcPr>
          <w:p>
            <w:pPr>
              <w:spacing w:after="0"/>
              <w:rPr>
                <w:sz w:val="8"/>
                <w:szCs w:val="8"/>
                <w:color w:val="auto"/>
              </w:rPr>
            </w:pPr>
          </w:p>
        </w:tc>
        <w:tc>
          <w:tcPr>
            <w:tcW w:w="2120" w:type="dxa"/>
            <w:vAlign w:val="bottom"/>
            <w:tcBorders>
              <w:right w:val="single" w:sz="8" w:color="auto"/>
            </w:tcBorders>
            <w:vMerge w:val="restart"/>
          </w:tcPr>
          <w:p>
            <w:pPr>
              <w:jc w:val="center"/>
              <w:ind w:right="139"/>
              <w:spacing w:after="0"/>
              <w:rPr>
                <w:sz w:val="20"/>
                <w:szCs w:val="20"/>
                <w:color w:val="auto"/>
              </w:rPr>
            </w:pPr>
            <w:r>
              <w:rPr>
                <w:rFonts w:ascii="Arial" w:cs="Arial" w:eastAsia="Arial" w:hAnsi="Arial"/>
                <w:sz w:val="16"/>
                <w:szCs w:val="16"/>
                <w:b w:val="1"/>
                <w:bCs w:val="1"/>
                <w:color w:val="auto"/>
                <w:w w:val="92"/>
              </w:rPr>
              <w:t>adjusted)</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80" w:type="dxa"/>
            <w:vAlign w:val="bottom"/>
            <w:tcBorders>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vMerge w:val="continue"/>
          </w:tcPr>
          <w:p>
            <w:pPr>
              <w:spacing w:after="0"/>
              <w:rPr>
                <w:sz w:val="11"/>
                <w:szCs w:val="11"/>
                <w:color w:val="auto"/>
              </w:rPr>
            </w:pPr>
          </w:p>
        </w:tc>
        <w:tc>
          <w:tcPr>
            <w:tcW w:w="144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All Vehicles</w:t>
            </w:r>
          </w:p>
        </w:tc>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708,939</w:t>
            </w:r>
          </w:p>
        </w:tc>
        <w:tc>
          <w:tcPr>
            <w:tcW w:w="960" w:type="dxa"/>
            <w:vAlign w:val="bottom"/>
          </w:tcPr>
          <w:p>
            <w:pPr>
              <w:jc w:val="center"/>
              <w:ind w:left="439"/>
              <w:spacing w:after="0"/>
              <w:rPr>
                <w:sz w:val="20"/>
                <w:szCs w:val="20"/>
                <w:color w:val="auto"/>
              </w:rPr>
            </w:pPr>
            <w:r>
              <w:rPr>
                <w:rFonts w:ascii="Arial" w:cs="Arial" w:eastAsia="Arial" w:hAnsi="Arial"/>
                <w:sz w:val="16"/>
                <w:szCs w:val="16"/>
                <w:color w:val="auto"/>
                <w:w w:val="89"/>
              </w:rPr>
              <w:t>73</w:t>
            </w:r>
          </w:p>
        </w:tc>
        <w:tc>
          <w:tcPr>
            <w:tcW w:w="48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720,699</w:t>
            </w:r>
          </w:p>
        </w:tc>
        <w:tc>
          <w:tcPr>
            <w:tcW w:w="2300" w:type="dxa"/>
            <w:vAlign w:val="bottom"/>
            <w:tcBorders>
              <w:right w:val="single" w:sz="8" w:color="auto"/>
            </w:tcBorders>
            <w:gridSpan w:val="2"/>
          </w:tcPr>
          <w:p>
            <w:pPr>
              <w:jc w:val="right"/>
              <w:ind w:right="999"/>
              <w:spacing w:after="0"/>
              <w:rPr>
                <w:sz w:val="20"/>
                <w:szCs w:val="20"/>
                <w:color w:val="auto"/>
              </w:rPr>
            </w:pPr>
            <w:r>
              <w:rPr>
                <w:rFonts w:ascii="Arial" w:cs="Arial" w:eastAsia="Arial" w:hAnsi="Arial"/>
                <w:sz w:val="16"/>
                <w:szCs w:val="16"/>
                <w:color w:val="auto"/>
              </w:rPr>
              <w:t>76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0" w:type="dxa"/>
            <w:vAlign w:val="bottom"/>
            <w:tcBorders>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Full-size Pickups</w:t>
            </w:r>
          </w:p>
        </w:tc>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220,466</w:t>
            </w:r>
          </w:p>
        </w:tc>
        <w:tc>
          <w:tcPr>
            <w:tcW w:w="960" w:type="dxa"/>
            <w:vAlign w:val="bottom"/>
          </w:tcPr>
          <w:p>
            <w:pPr>
              <w:jc w:val="center"/>
              <w:ind w:left="439"/>
              <w:spacing w:after="0"/>
              <w:rPr>
                <w:sz w:val="20"/>
                <w:szCs w:val="20"/>
                <w:color w:val="auto"/>
              </w:rPr>
            </w:pPr>
            <w:r>
              <w:rPr>
                <w:rFonts w:ascii="Arial" w:cs="Arial" w:eastAsia="Arial" w:hAnsi="Arial"/>
                <w:sz w:val="16"/>
                <w:szCs w:val="16"/>
                <w:color w:val="auto"/>
                <w:w w:val="89"/>
              </w:rPr>
              <w:t>93</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228,524</w:t>
            </w:r>
          </w:p>
        </w:tc>
        <w:tc>
          <w:tcPr>
            <w:tcW w:w="2300" w:type="dxa"/>
            <w:vAlign w:val="bottom"/>
            <w:tcBorders>
              <w:right w:val="single" w:sz="8" w:color="auto"/>
            </w:tcBorders>
            <w:gridSpan w:val="2"/>
          </w:tcPr>
          <w:p>
            <w:pPr>
              <w:jc w:val="right"/>
              <w:ind w:right="959"/>
              <w:spacing w:after="0"/>
              <w:rPr>
                <w:sz w:val="20"/>
                <w:szCs w:val="20"/>
                <w:color w:val="auto"/>
              </w:rPr>
            </w:pPr>
            <w:r>
              <w:rPr>
                <w:rFonts w:ascii="Arial" w:cs="Arial" w:eastAsia="Arial" w:hAnsi="Arial"/>
                <w:sz w:val="16"/>
                <w:szCs w:val="16"/>
                <w:color w:val="auto"/>
              </w:rPr>
              <w:t>103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Borders>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Industry Sales</w:t>
            </w:r>
          </w:p>
        </w:tc>
        <w:tc>
          <w:tcPr>
            <w:tcW w:w="1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May SAAR (est.)</w:t>
            </w:r>
          </w:p>
        </w:tc>
        <w:tc>
          <w:tcPr>
            <w:tcW w:w="480" w:type="dxa"/>
            <w:vAlign w:val="bottom"/>
          </w:tcPr>
          <w:p>
            <w:pPr>
              <w:spacing w:after="0"/>
              <w:rPr>
                <w:sz w:val="18"/>
                <w:szCs w:val="18"/>
                <w:color w:val="auto"/>
              </w:rPr>
            </w:pPr>
          </w:p>
        </w:tc>
        <w:tc>
          <w:tcPr>
            <w:tcW w:w="176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Calendar Year (est.)</w:t>
            </w:r>
          </w:p>
        </w:tc>
        <w:tc>
          <w:tcPr>
            <w:tcW w:w="180" w:type="dxa"/>
            <w:vAlign w:val="bottom"/>
            <w:tcBorders>
              <w:right w:val="single" w:sz="8" w:color="auto"/>
            </w:tcBorders>
          </w:tcPr>
          <w:p>
            <w:pPr>
              <w:spacing w:after="0"/>
              <w:rPr>
                <w:sz w:val="18"/>
                <w:szCs w:val="18"/>
                <w:color w:val="auto"/>
              </w:rPr>
            </w:pPr>
          </w:p>
        </w:tc>
        <w:tc>
          <w:tcPr>
            <w:tcW w:w="2120" w:type="dxa"/>
            <w:vAlign w:val="bottom"/>
          </w:tcPr>
          <w:p>
            <w:pPr>
              <w:ind w:left="420"/>
              <w:spacing w:after="0"/>
              <w:rPr>
                <w:sz w:val="20"/>
                <w:szCs w:val="20"/>
                <w:color w:val="auto"/>
              </w:rPr>
            </w:pPr>
            <w:r>
              <w:rPr>
                <w:rFonts w:ascii="Arial" w:cs="Arial" w:eastAsia="Arial" w:hAnsi="Arial"/>
                <w:sz w:val="16"/>
                <w:szCs w:val="16"/>
                <w:b w:val="1"/>
                <w:bCs w:val="1"/>
                <w:color w:val="auto"/>
                <w:w w:val="98"/>
              </w:rPr>
              <w:t>GM Full Year Forecast</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Borders>
              <w:left w:val="single" w:sz="8" w:color="auto"/>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780" w:type="dxa"/>
            <w:vAlign w:val="bottom"/>
          </w:tcPr>
          <w:p>
            <w:pPr>
              <w:jc w:val="center"/>
              <w:ind w:right="159"/>
              <w:spacing w:after="0"/>
              <w:rPr>
                <w:sz w:val="20"/>
                <w:szCs w:val="20"/>
                <w:color w:val="auto"/>
              </w:rPr>
            </w:pPr>
            <w:r>
              <w:rPr>
                <w:rFonts w:ascii="Arial" w:cs="Arial" w:eastAsia="Arial" w:hAnsi="Arial"/>
                <w:sz w:val="16"/>
                <w:szCs w:val="16"/>
                <w:color w:val="auto"/>
                <w:w w:val="94"/>
              </w:rPr>
              <w:t>Light Vehicles</w:t>
            </w:r>
          </w:p>
        </w:tc>
        <w:tc>
          <w:tcPr>
            <w:tcW w:w="1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15.4 million range</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jc w:val="center"/>
              <w:ind w:right="299"/>
              <w:spacing w:after="0"/>
              <w:rPr>
                <w:sz w:val="20"/>
                <w:szCs w:val="20"/>
                <w:color w:val="auto"/>
              </w:rPr>
            </w:pPr>
            <w:r>
              <w:rPr>
                <w:rFonts w:ascii="Arial" w:cs="Arial" w:eastAsia="Arial" w:hAnsi="Arial"/>
                <w:sz w:val="16"/>
                <w:szCs w:val="16"/>
                <w:color w:val="auto"/>
                <w:w w:val="98"/>
              </w:rPr>
              <w:t>15.2 million</w:t>
            </w:r>
          </w:p>
        </w:tc>
        <w:tc>
          <w:tcPr>
            <w:tcW w:w="180" w:type="dxa"/>
            <w:vAlign w:val="bottom"/>
            <w:tcBorders>
              <w:right w:val="single" w:sz="8" w:color="auto"/>
            </w:tcBorders>
          </w:tcPr>
          <w:p>
            <w:pPr>
              <w:spacing w:after="0"/>
              <w:rPr>
                <w:sz w:val="18"/>
                <w:szCs w:val="18"/>
                <w:color w:val="auto"/>
              </w:rPr>
            </w:pPr>
          </w:p>
        </w:tc>
        <w:tc>
          <w:tcPr>
            <w:tcW w:w="2120" w:type="dxa"/>
            <w:vAlign w:val="bottom"/>
          </w:tcPr>
          <w:p>
            <w:pPr>
              <w:ind w:left="420"/>
              <w:spacing w:after="0"/>
              <w:rPr>
                <w:sz w:val="20"/>
                <w:szCs w:val="20"/>
                <w:color w:val="auto"/>
              </w:rPr>
            </w:pPr>
            <w:r>
              <w:rPr>
                <w:rFonts w:ascii="Arial" w:cs="Arial" w:eastAsia="Arial" w:hAnsi="Arial"/>
                <w:sz w:val="16"/>
                <w:szCs w:val="16"/>
                <w:color w:val="auto"/>
                <w:w w:val="96"/>
              </w:rPr>
              <w:t>15.0 - 15.5 million range</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Borders>
              <w:left w:val="single" w:sz="8" w:color="auto"/>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80"/>
          </w:cols>
          <w:pgMar w:left="240" w:top="580" w:right="27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May</w:t>
            </w:r>
          </w:p>
        </w:tc>
        <w:tc>
          <w:tcPr>
            <w:tcW w:w="10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January - May</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5,310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6,709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25,919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22,659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2,103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9,972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4,804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5,663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20,483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23,686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922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1,607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2,550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7,437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12,502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(40.5)</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4,158</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3,609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15.2</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18,944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11,578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63.6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Buick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17,982</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18,565</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82,759</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71,347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16.0</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3,249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15,724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2,457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4,161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(41.0)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12,717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20,437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350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1,033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916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4,642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4,830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695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669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3,160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3,089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200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137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46.0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672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44.8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3,744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3,900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20,078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21,190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(92.3)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(97.5)</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2,429</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12,450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13,808</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9,871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39.9</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69,750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50,688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37.6</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1,980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2,113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10,166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9,283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(96.2)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7,929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9,023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35,076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40,574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129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313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(58.8)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1,041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855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5,084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3,697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37.5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21,778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14,410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51.1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244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3,778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(93.5)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2,879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17,333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(83.4)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905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1,219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(25.8)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4,820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5,547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23,055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19,613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17.5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100,818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94,901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22,918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20,238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102,752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90,097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8,353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7,447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31,734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29,713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10,841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15,879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(31.7)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66,127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81,221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(18.6)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18,899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29,579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(36.1)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89,812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110,035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(18.4)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43,283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34,555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199,327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160,942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23.9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9,523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7,205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32.2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37,783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35,455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2,581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14,484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4,753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4,577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17,850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17,932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9,243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7,169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28.9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35,067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26,847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30.6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8,182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9,853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42,999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39,296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9.4</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1,607</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1,680</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(4.3)</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7,157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7,057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Chevrolet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179,510</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177,943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0.9</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821,674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781,564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5.1</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8,815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9,128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37,318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32,364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15.3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910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(90.3)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4,761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(82.9)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1,906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2,571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(25.9)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6,320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9,951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16,061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13,196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71,065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60,466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7,847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8,772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42,617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38,807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1,814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2,504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10,308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10,383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(0.7)</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5,063</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1,796</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181.9</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12,880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6,632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94.2</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41,594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38,877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7.0</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181,320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163,364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11.0</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GM Vehicle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252,894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245,256</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3.1</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1,155,503</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1,066,963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8.3</w:t>
            </w:r>
          </w:p>
        </w:tc>
      </w:tr>
    </w:tbl>
    <w:p>
      <w:pPr>
        <w:spacing w:after="0" w:line="76" w:lineRule="exact"/>
        <w:rPr>
          <w:sz w:val="20"/>
          <w:szCs w:val="20"/>
          <w:color w:val="auto"/>
        </w:rPr>
      </w:pPr>
    </w:p>
    <w:p>
      <w:pPr>
        <w:sectPr>
          <w:pgSz w:w="11900" w:h="16838" w:orient="portrait"/>
          <w:cols w:equalWidth="0" w:num="1">
            <w:col w:w="9440"/>
          </w:cols>
          <w:pgMar w:left="1240" w:top="714" w:right="1219" w:bottom="1440" w:gutter="0" w:footer="0" w:header="0"/>
        </w:sectPr>
      </w:pPr>
    </w:p>
    <w:p>
      <w:pPr>
        <w:ind w:left="20"/>
        <w:spacing w:after="0"/>
        <w:rPr>
          <w:sz w:val="20"/>
          <w:szCs w:val="20"/>
          <w:color w:val="auto"/>
        </w:rPr>
      </w:pPr>
      <w:r>
        <w:rPr>
          <w:rFonts w:ascii="Arial" w:cs="Arial" w:eastAsia="Arial" w:hAnsi="Arial"/>
          <w:sz w:val="13"/>
          <w:szCs w:val="13"/>
          <w:color w:val="auto"/>
        </w:rPr>
        <w:t>26 selling days for the May period this year and 26 for last year.</w:t>
      </w:r>
    </w:p>
    <w:sectPr>
      <w:pgSz w:w="11900" w:h="16838" w:orient="portrait"/>
      <w:cols w:equalWidth="0" w:num="1">
        <w:col w:w="9440"/>
      </w:cols>
      <w:pgMar w:left="1240" w:top="71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2019-12-07T20:48:03Z</dcterms:created>
  <dcterms:modified xsi:type="dcterms:W3CDTF">2019-12-07T20:48:03Z</dcterms:modified>
</cp:coreProperties>
</file>