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6125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12521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6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00"/>
        <w:spacing w:after="0" w:line="31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12/31/2011</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58"/>
        <w:spacing w:after="0"/>
        <w:rPr>
          <w:sz w:val="20"/>
          <w:szCs w:val="20"/>
          <w:color w:val="auto"/>
        </w:rPr>
      </w:pPr>
      <w:r>
        <w:rPr>
          <w:rFonts w:ascii="Arial" w:cs="Arial" w:eastAsia="Arial" w:hAnsi="Arial"/>
          <w:sz w:val="17"/>
          <w:szCs w:val="17"/>
          <w:color w:val="0000FF"/>
        </w:rPr>
        <w:t>Vice President</w:t>
      </w:r>
    </w:p>
    <w:p>
      <w:pPr>
        <w:spacing w:after="0" w:line="451" w:lineRule="exact"/>
        <w:rPr>
          <w:sz w:val="24"/>
          <w:szCs w:val="24"/>
          <w:color w:val="auto"/>
        </w:rPr>
      </w:pPr>
    </w:p>
    <w:p>
      <w:pPr>
        <w:sectPr>
          <w:pgSz w:w="11900" w:h="16838" w:orient="portrait"/>
          <w:cols w:equalWidth="0" w:num="3">
            <w:col w:w="3340" w:space="720"/>
            <w:col w:w="3262" w:space="720"/>
            <w:col w:w="3478"/>
          </w:cols>
          <w:pgMar w:left="240" w:top="225" w:right="139" w:bottom="635"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6"/>
          </w:tcPr>
          <w:p>
            <w:pPr>
              <w:jc w:val="center"/>
              <w:ind w:right="51"/>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w w:val="95"/>
              </w:rPr>
              <w:t>MI</w:t>
            </w:r>
          </w:p>
        </w:tc>
        <w:tc>
          <w:tcPr>
            <w:tcW w:w="102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42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50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6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85"/>
              </w:rPr>
              <w:t>2,967</w:t>
            </w:r>
            <w:r>
              <w:rPr>
                <w:rFonts w:ascii="Arial" w:cs="Arial" w:eastAsia="Arial" w:hAnsi="Arial"/>
                <w:sz w:val="22"/>
                <w:szCs w:val="22"/>
                <w:color w:val="008000"/>
                <w:w w:val="85"/>
                <w:vertAlign w:val="superscript"/>
              </w:rPr>
              <w:t>(2)</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40,448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1,076</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39,372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(4)</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89"/>
              </w:rPr>
              <w:t>2,426</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41,798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w w:val="74"/>
              </w:rPr>
              <w:t>F</w:t>
            </w:r>
          </w:p>
        </w:tc>
        <w:tc>
          <w:tcPr>
            <w:tcW w:w="74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0000FF"/>
                <w:w w:val="91"/>
              </w:rPr>
              <w:t>810</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20.21</w:t>
            </w:r>
            <w:r>
              <w:rPr>
                <w:rFonts w:ascii="Arial" w:cs="Arial" w:eastAsia="Arial" w:hAnsi="Arial"/>
                <w:sz w:val="22"/>
                <w:szCs w:val="22"/>
                <w:color w:val="008000"/>
                <w:w w:val="88"/>
                <w:vertAlign w:val="superscript"/>
              </w:rPr>
              <w:t>(3)</w:t>
            </w: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40,988</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2"/>
                <w:szCs w:val="22"/>
                <w:color w:val="008000"/>
                <w:w w:val="95"/>
                <w:vertAlign w:val="superscript"/>
              </w:rPr>
              <w:t>(5)</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1"/>
              </w:rPr>
              <w:t>12/31/2011</w:t>
            </w:r>
          </w:p>
        </w:tc>
        <w:tc>
          <w:tcPr>
            <w:tcW w:w="1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70"/>
              <w:spacing w:after="0"/>
              <w:rPr>
                <w:sz w:val="20"/>
                <w:szCs w:val="20"/>
                <w:color w:val="auto"/>
              </w:rPr>
            </w:pPr>
            <w:r>
              <w:rPr>
                <w:rFonts w:ascii="Arial" w:cs="Arial" w:eastAsia="Arial" w:hAnsi="Arial"/>
                <w:sz w:val="17"/>
                <w:szCs w:val="17"/>
                <w:color w:val="0000FF"/>
                <w:w w:val="92"/>
              </w:rPr>
              <w:t>19,607</w:t>
            </w:r>
          </w:p>
        </w:tc>
        <w:tc>
          <w:tcPr>
            <w:tcW w:w="66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53"/>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60,595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6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center"/>
              <w:ind w:right="39"/>
              <w:spacing w:after="0"/>
              <w:rPr>
                <w:sz w:val="20"/>
                <w:szCs w:val="20"/>
                <w:color w:val="auto"/>
              </w:rPr>
            </w:pPr>
            <w:r>
              <w:rPr>
                <w:rFonts w:ascii="Arial" w:cs="Arial" w:eastAsia="Arial" w:hAnsi="Arial"/>
                <w:sz w:val="13"/>
                <w:szCs w:val="13"/>
                <w:color w:val="0000FF"/>
              </w:rPr>
              <w:t>2,967</w:t>
            </w:r>
            <w:r>
              <w:rPr>
                <w:rFonts w:ascii="Arial" w:cs="Arial" w:eastAsia="Arial" w:hAnsi="Arial"/>
                <w:sz w:val="22"/>
                <w:szCs w:val="22"/>
                <w:color w:val="008000"/>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5"/>
              </w:rPr>
              <w:t>2,967</w:t>
            </w:r>
            <w:r>
              <w:rPr>
                <w:rFonts w:ascii="Arial" w:cs="Arial" w:eastAsia="Arial" w:hAnsi="Arial"/>
                <w:sz w:val="22"/>
                <w:szCs w:val="22"/>
                <w:color w:val="008000"/>
                <w:w w:val="85"/>
                <w:vertAlign w:val="superscript"/>
              </w:rPr>
              <w:t>(2)</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153"/>
              <w:spacing w:after="0"/>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0" w:type="dxa"/>
            <w:vAlign w:val="bottom"/>
          </w:tcPr>
          <w:p>
            <w:pPr>
              <w:ind w:left="260"/>
              <w:spacing w:after="0"/>
              <w:rPr>
                <w:sz w:val="20"/>
                <w:szCs w:val="20"/>
                <w:color w:val="auto"/>
              </w:rPr>
            </w:pPr>
            <w:r>
              <w:rPr>
                <w:rFonts w:ascii="Arial" w:cs="Arial" w:eastAsia="Arial" w:hAnsi="Arial"/>
                <w:sz w:val="13"/>
                <w:szCs w:val="13"/>
                <w:color w:val="0000FF"/>
                <w:w w:val="98"/>
              </w:rPr>
              <w:t>2,967</w:t>
            </w:r>
          </w:p>
        </w:tc>
        <w:tc>
          <w:tcPr>
            <w:tcW w:w="300" w:type="dxa"/>
            <w:vAlign w:val="bottom"/>
          </w:tcPr>
          <w:p>
            <w:pPr>
              <w:spacing w:after="0"/>
              <w:rPr>
                <w:sz w:val="13"/>
                <w:szCs w:val="13"/>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vMerge w:val="restart"/>
          </w:tcPr>
          <w:p>
            <w:pPr>
              <w:ind w:left="60"/>
              <w:spacing w:after="0" w:line="226"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right"/>
              <w:ind w:right="151"/>
              <w:spacing w:after="0" w:line="14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4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right"/>
              <w:ind w:right="53"/>
              <w:spacing w:after="0"/>
              <w:rPr>
                <w:sz w:val="20"/>
                <w:szCs w:val="20"/>
                <w:color w:val="auto"/>
              </w:rPr>
            </w:pPr>
            <w:r>
              <w:rPr>
                <w:rFonts w:ascii="Arial" w:cs="Arial" w:eastAsia="Arial" w:hAnsi="Arial"/>
                <w:sz w:val="17"/>
                <w:szCs w:val="17"/>
                <w:color w:val="0000FF"/>
              </w:rPr>
              <w:t>2,426</w:t>
            </w:r>
          </w:p>
        </w:tc>
        <w:tc>
          <w:tcPr>
            <w:tcW w:w="6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restart"/>
          </w:tcPr>
          <w:p>
            <w:pPr>
              <w:jc w:val="right"/>
              <w:ind w:right="153"/>
              <w:spacing w:after="0" w:line="142" w:lineRule="exact"/>
              <w:rPr>
                <w:sz w:val="20"/>
                <w:szCs w:val="20"/>
                <w:color w:val="auto"/>
              </w:rPr>
            </w:pPr>
            <w:r>
              <w:rPr>
                <w:rFonts w:ascii="Arial" w:cs="Arial" w:eastAsia="Arial" w:hAnsi="Arial"/>
                <w:sz w:val="13"/>
                <w:szCs w:val="13"/>
                <w:color w:val="0000FF"/>
              </w:rPr>
              <w:t>12/31/2011</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6"/>
                <w:szCs w:val="6"/>
                <w:color w:val="auto"/>
              </w:rPr>
            </w:pPr>
          </w:p>
        </w:tc>
        <w:tc>
          <w:tcPr>
            <w:tcW w:w="940" w:type="dxa"/>
            <w:vAlign w:val="bottom"/>
            <w:vMerge w:val="restart"/>
          </w:tcPr>
          <w:p>
            <w:pPr>
              <w:jc w:val="right"/>
              <w:ind w:right="119"/>
              <w:spacing w:after="0" w:line="142" w:lineRule="exact"/>
              <w:rPr>
                <w:sz w:val="20"/>
                <w:szCs w:val="20"/>
                <w:color w:val="auto"/>
              </w:rPr>
            </w:pPr>
            <w:r>
              <w:rPr>
                <w:rFonts w:ascii="Arial" w:cs="Arial" w:eastAsia="Arial" w:hAnsi="Arial"/>
                <w:sz w:val="13"/>
                <w:szCs w:val="13"/>
                <w:color w:val="0000FF"/>
              </w:rPr>
              <w:t>2,426</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w w:val="98"/>
              </w:rPr>
              <w:t>4,851</w:t>
            </w:r>
          </w:p>
        </w:tc>
        <w:tc>
          <w:tcPr>
            <w:tcW w:w="300" w:type="dxa"/>
            <w:vAlign w:val="bottom"/>
          </w:tcPr>
          <w:p>
            <w:pPr>
              <w:spacing w:after="0"/>
              <w:rPr>
                <w:sz w:val="6"/>
                <w:szCs w:val="6"/>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(4)</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2009 pursuant to the Company's Salary Stock Plan (the "GMSSP") and vested upon grant. The portion of this award currently payable was settled on December 31, 2011 in shares of the Company's Common Stock, less a portion withheld for taxes.</w:t>
      </w:r>
    </w:p>
    <w:p>
      <w:pPr>
        <w:ind w:left="40" w:right="160" w:firstLine="6"/>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31, 2009 the employee received a grant of 2,967 SSUs, of which 989 SSUs were scheduled to be payable on December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8,901 SSUs granted on December 31, 2009, of which 2,967 SSUs became payable on December 31, 2011.</w:t>
      </w:r>
    </w:p>
    <w:p>
      <w:pPr>
        <w:spacing w:after="0" w:line="28" w:lineRule="exact"/>
        <w:rPr>
          <w:rFonts w:ascii="Arial" w:cs="Arial" w:eastAsia="Arial" w:hAnsi="Arial"/>
          <w:sz w:val="13"/>
          <w:szCs w:val="13"/>
          <w:color w:val="008000"/>
        </w:rPr>
      </w:pPr>
    </w:p>
    <w:p>
      <w:pPr>
        <w:ind w:left="40" w:right="300" w:firstLine="6"/>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25" w:lineRule="exact"/>
        <w:rPr>
          <w:rFonts w:ascii="Arial" w:cs="Arial" w:eastAsia="Arial" w:hAnsi="Arial"/>
          <w:sz w:val="13"/>
          <w:szCs w:val="13"/>
          <w:color w:val="008000"/>
        </w:rPr>
      </w:pPr>
    </w:p>
    <w:p>
      <w:pPr>
        <w:ind w:left="40" w:right="2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issued on December 31, 2010 pursuant to the GMSSP and vested upon grant. The portion of this award currently payable was settled on December 31, 2011 in shares of Common Stock, less a portion withheld for taxes.</w:t>
      </w:r>
    </w:p>
    <w:p>
      <w:pPr>
        <w:spacing w:after="0" w:line="15" w:lineRule="exact"/>
        <w:rPr>
          <w:rFonts w:ascii="Arial" w:cs="Arial" w:eastAsia="Arial" w:hAnsi="Arial"/>
          <w:sz w:val="13"/>
          <w:szCs w:val="13"/>
          <w:color w:val="008000"/>
        </w:rPr>
      </w:pPr>
    </w:p>
    <w:p>
      <w:pPr>
        <w:ind w:left="40" w:right="20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Anne T. Larin, attorney-in-</w:t>
            </w:r>
          </w:p>
        </w:tc>
        <w:tc>
          <w:tcPr>
            <w:tcW w:w="20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01/04/2012</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Mr. Reuss</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6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2019-12-17T01:12:40Z</dcterms:created>
  <dcterms:modified xsi:type="dcterms:W3CDTF">2019-12-17T01:12:40Z</dcterms:modified>
</cp:coreProperties>
</file>