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13G/A</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TO BE INCLUDED IN STATEMENTS FILED PURSUANT TO</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RULES 13d-1(b), (c) AND (d) AND AMENDMENTS THERETO FILED PURSUANT TO RULE 13d-2(b)</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3 - Exit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37045V100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(CUSIP Number)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January 12, 2021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840" w:hanging="211"/>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840" w:hanging="211"/>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840" w:hanging="211"/>
        <w:spacing w:after="0"/>
        <w:tabs>
          <w:tab w:leader="none" w:pos="8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rFonts w:ascii="MS PGothic" w:cs="MS PGothic" w:eastAsia="MS PGothic" w:hAnsi="MS PGothic"/>
          <w:sz w:val="18"/>
          <w:szCs w:val="18"/>
          <w:color w:val="auto"/>
        </w:rPr>
      </w:pPr>
    </w:p>
    <w:p>
      <w:pPr>
        <w:ind w:left="340" w:right="100" w:hanging="337"/>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of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(the “Exchange Act”) or otherwise subject to the liabilities of that section of the Exchange Act but shall be subject to all other provisions of the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05"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37045V100</w:t>
      </w:r>
    </w:p>
    <w:p>
      <w:pPr>
        <w:spacing w:after="0" w:line="239" w:lineRule="exact"/>
        <w:rPr>
          <w:sz w:val="20"/>
          <w:szCs w:val="20"/>
          <w:color w:val="auto"/>
        </w:rPr>
      </w:pPr>
    </w:p>
    <w:p>
      <w:pPr>
        <w:ind w:left="920" w:hanging="737"/>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40575" cy="50495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5049520"/>
                    </a:xfrm>
                    <a:prstGeom prst="rect">
                      <a:avLst/>
                    </a:prstGeom>
                    <a:noFill/>
                  </pic:spPr>
                </pic:pic>
              </a:graphicData>
            </a:graphic>
          </wp:anchor>
        </w:drawing>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Brock Fiduciary Services LLC</w:t>
      </w:r>
    </w:p>
    <w:p>
      <w:pPr>
        <w:spacing w:after="0" w:line="23" w:lineRule="exact"/>
        <w:rPr>
          <w:sz w:val="20"/>
          <w:szCs w:val="20"/>
          <w:color w:val="auto"/>
        </w:rPr>
      </w:pPr>
    </w:p>
    <w:p>
      <w:pPr>
        <w:ind w:left="920" w:hanging="737"/>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 w:lineRule="exact"/>
        <w:rPr>
          <w:rFonts w:ascii="Arial" w:cs="Arial" w:eastAsia="Arial" w:hAnsi="Arial"/>
          <w:sz w:val="18"/>
          <w:szCs w:val="18"/>
          <w:color w:val="auto"/>
        </w:rPr>
      </w:pPr>
    </w:p>
    <w:p>
      <w:pPr>
        <w:ind w:left="92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24" w:lineRule="exact"/>
        <w:rPr>
          <w:sz w:val="20"/>
          <w:szCs w:val="20"/>
          <w:color w:val="auto"/>
        </w:rPr>
      </w:pPr>
    </w:p>
    <w:p>
      <w:pPr>
        <w:ind w:left="920" w:hanging="737"/>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920" w:right="6660" w:hanging="737"/>
        <w:spacing w:after="0" w:line="383"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500" w:hanging="548"/>
        <w:spacing w:after="0"/>
        <w:tabs>
          <w:tab w:leader="none" w:pos="2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4"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1480" w:type="dxa"/>
            <w:vAlign w:val="bottom"/>
          </w:tcPr>
          <w:p>
            <w:pPr>
              <w:jc w:val="center"/>
              <w:ind w:right="130"/>
              <w:spacing w:after="0"/>
              <w:rPr>
                <w:sz w:val="20"/>
                <w:szCs w:val="20"/>
                <w:color w:val="auto"/>
              </w:rPr>
            </w:pPr>
            <w:r>
              <w:rPr>
                <w:rFonts w:ascii="Arial" w:cs="Arial" w:eastAsia="Arial" w:hAnsi="Arial"/>
                <w:sz w:val="18"/>
                <w:szCs w:val="18"/>
                <w:color w:val="auto"/>
                <w:w w:val="98"/>
              </w:rPr>
              <w:t>NUMBER OF</w:t>
            </w:r>
          </w:p>
        </w:tc>
        <w:tc>
          <w:tcPr>
            <w:tcW w:w="5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148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4"/>
              </w:rPr>
              <w:t>SHARES</w:t>
            </w:r>
          </w:p>
        </w:tc>
        <w:tc>
          <w:tcPr>
            <w:tcW w:w="56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6.</w:t>
            </w:r>
          </w:p>
        </w:tc>
        <w:tc>
          <w:tcPr>
            <w:tcW w:w="8980" w:type="dxa"/>
            <w:vAlign w:val="bottom"/>
          </w:tcPr>
          <w:p>
            <w:pPr>
              <w:ind w:left="22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30"/>
              <w:spacing w:after="0"/>
              <w:rPr>
                <w:sz w:val="20"/>
                <w:szCs w:val="20"/>
                <w:color w:val="auto"/>
              </w:rPr>
            </w:pPr>
            <w:r>
              <w:rPr>
                <w:rFonts w:ascii="Arial" w:cs="Arial" w:eastAsia="Arial" w:hAnsi="Arial"/>
                <w:sz w:val="18"/>
                <w:szCs w:val="18"/>
                <w:color w:val="auto"/>
                <w:w w:val="99"/>
              </w:rPr>
              <w:t>BENEFICIALLY</w:t>
            </w:r>
          </w:p>
        </w:tc>
        <w:tc>
          <w:tcPr>
            <w:tcW w:w="5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Pr>
          <w:p>
            <w:pPr>
              <w:jc w:val="center"/>
              <w:ind w:right="130"/>
              <w:spacing w:after="0"/>
              <w:rPr>
                <w:sz w:val="20"/>
                <w:szCs w:val="20"/>
                <w:color w:val="auto"/>
              </w:rPr>
            </w:pPr>
            <w:r>
              <w:rPr>
                <w:rFonts w:ascii="Arial" w:cs="Arial" w:eastAsia="Arial" w:hAnsi="Arial"/>
                <w:sz w:val="18"/>
                <w:szCs w:val="18"/>
                <w:color w:val="auto"/>
                <w:w w:val="99"/>
              </w:rPr>
              <w:t>OWNED BY</w:t>
            </w:r>
          </w:p>
        </w:tc>
        <w:tc>
          <w:tcPr>
            <w:tcW w:w="5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68,507,107</w:t>
            </w:r>
          </w:p>
        </w:tc>
        <w:tc>
          <w:tcPr>
            <w:tcW w:w="0" w:type="dxa"/>
            <w:vAlign w:val="bottom"/>
          </w:tcPr>
          <w:p>
            <w:pPr>
              <w:spacing w:after="0"/>
              <w:rPr>
                <w:sz w:val="1"/>
                <w:szCs w:val="1"/>
                <w:color w:val="auto"/>
              </w:rPr>
            </w:pPr>
          </w:p>
        </w:tc>
      </w:tr>
      <w:tr>
        <w:trPr>
          <w:trHeight w:val="182"/>
        </w:trPr>
        <w:tc>
          <w:tcPr>
            <w:tcW w:w="148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560" w:type="dxa"/>
            <w:vAlign w:val="bottom"/>
          </w:tcPr>
          <w:p>
            <w:pPr>
              <w:jc w:val="right"/>
              <w:ind w:right="110"/>
              <w:spacing w:after="0" w:line="182" w:lineRule="exact"/>
              <w:rPr>
                <w:sz w:val="20"/>
                <w:szCs w:val="20"/>
                <w:color w:val="auto"/>
              </w:rPr>
            </w:pPr>
            <w:r>
              <w:rPr>
                <w:rFonts w:ascii="Arial" w:cs="Arial" w:eastAsia="Arial" w:hAnsi="Arial"/>
                <w:sz w:val="18"/>
                <w:szCs w:val="18"/>
                <w:color w:val="auto"/>
              </w:rPr>
              <w:t>7.</w:t>
            </w:r>
          </w:p>
        </w:tc>
        <w:tc>
          <w:tcPr>
            <w:tcW w:w="8980" w:type="dxa"/>
            <w:vAlign w:val="bottom"/>
          </w:tcPr>
          <w:p>
            <w:pPr>
              <w:ind w:left="2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3"/>
              </w:rPr>
              <w:t>REPORTING</w:t>
            </w:r>
          </w:p>
        </w:tc>
        <w:tc>
          <w:tcPr>
            <w:tcW w:w="5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560" w:type="dxa"/>
            <w:vAlign w:val="bottom"/>
          </w:tcPr>
          <w:p>
            <w:pPr>
              <w:spacing w:after="0"/>
              <w:rPr>
                <w:sz w:val="18"/>
                <w:szCs w:val="18"/>
                <w:color w:val="auto"/>
              </w:rPr>
            </w:pPr>
          </w:p>
        </w:tc>
        <w:tc>
          <w:tcPr>
            <w:tcW w:w="8980" w:type="dxa"/>
            <w:vAlign w:val="bottom"/>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560" w:type="dxa"/>
            <w:vAlign w:val="bottom"/>
            <w:tcBorders>
              <w:bottom w:val="single" w:sz="8" w:color="auto"/>
            </w:tcBorders>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480" w:type="dxa"/>
            <w:vAlign w:val="bottom"/>
            <w:vMerge w:val="continue"/>
          </w:tcPr>
          <w:p>
            <w:pPr>
              <w:spacing w:after="0"/>
              <w:rPr>
                <w:sz w:val="19"/>
                <w:szCs w:val="19"/>
                <w:color w:val="auto"/>
              </w:rPr>
            </w:pP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8980" w:type="dxa"/>
            <w:vAlign w:val="bottom"/>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68,507,107</w:t>
      </w:r>
    </w:p>
    <w:p>
      <w:pPr>
        <w:spacing w:after="0" w:line="23" w:lineRule="exact"/>
        <w:rPr>
          <w:sz w:val="20"/>
          <w:szCs w:val="20"/>
          <w:color w:val="auto"/>
        </w:rPr>
      </w:pPr>
    </w:p>
    <w:p>
      <w:pPr>
        <w:ind w:left="920" w:hanging="737"/>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68,507,107</w:t>
      </w:r>
    </w:p>
    <w:p>
      <w:pPr>
        <w:spacing w:after="0" w:line="23" w:lineRule="exact"/>
        <w:rPr>
          <w:sz w:val="20"/>
          <w:szCs w:val="20"/>
          <w:color w:val="auto"/>
        </w:rPr>
      </w:pPr>
    </w:p>
    <w:p>
      <w:pPr>
        <w:ind w:left="920" w:hanging="737"/>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191" w:lineRule="exact"/>
        <w:rPr>
          <w:rFonts w:ascii="Arial" w:cs="Arial" w:eastAsia="Arial" w:hAnsi="Arial"/>
          <w:sz w:val="18"/>
          <w:szCs w:val="18"/>
          <w:color w:val="auto"/>
        </w:rPr>
      </w:pPr>
    </w:p>
    <w:p>
      <w:pPr>
        <w:ind w:left="9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920" w:right="5280" w:hanging="737"/>
        <w:spacing w:after="0" w:line="374"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4.79%</w:t>
      </w:r>
    </w:p>
    <w:p>
      <w:pPr>
        <w:spacing w:after="0" w:line="1" w:lineRule="exact"/>
        <w:rPr>
          <w:rFonts w:ascii="Arial" w:cs="Arial" w:eastAsia="Arial" w:hAnsi="Arial"/>
          <w:sz w:val="18"/>
          <w:szCs w:val="18"/>
          <w:color w:val="auto"/>
        </w:rPr>
      </w:pPr>
    </w:p>
    <w:p>
      <w:pPr>
        <w:ind w:left="920" w:right="7840" w:hanging="737"/>
        <w:spacing w:after="0" w:line="527"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746"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37045V100</w:t>
      </w:r>
    </w:p>
    <w:p>
      <w:pPr>
        <w:spacing w:after="0" w:line="239" w:lineRule="exact"/>
        <w:rPr>
          <w:sz w:val="20"/>
          <w:szCs w:val="20"/>
          <w:color w:val="auto"/>
        </w:rPr>
      </w:pPr>
    </w:p>
    <w:p>
      <w:pPr>
        <w:ind w:left="880" w:hanging="697"/>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40575" cy="5048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5048885"/>
                    </a:xfrm>
                    <a:prstGeom prst="rect">
                      <a:avLst/>
                    </a:prstGeom>
                    <a:noFill/>
                  </pic:spPr>
                </pic:pic>
              </a:graphicData>
            </a:graphic>
          </wp:anchor>
        </w:drawing>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Brock Capital Group LLC</w:t>
      </w:r>
    </w:p>
    <w:p>
      <w:pPr>
        <w:spacing w:after="0" w:line="23" w:lineRule="exact"/>
        <w:rPr>
          <w:sz w:val="20"/>
          <w:szCs w:val="20"/>
          <w:color w:val="auto"/>
        </w:rPr>
      </w:pPr>
    </w:p>
    <w:p>
      <w:pPr>
        <w:ind w:left="880" w:hanging="697"/>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 w:lineRule="exact"/>
        <w:rPr>
          <w:rFonts w:ascii="Arial" w:cs="Arial" w:eastAsia="Arial" w:hAnsi="Arial"/>
          <w:sz w:val="18"/>
          <w:szCs w:val="18"/>
          <w:color w:val="auto"/>
        </w:rPr>
      </w:pPr>
    </w:p>
    <w:p>
      <w:pPr>
        <w:ind w:left="8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24" w:lineRule="exact"/>
        <w:rPr>
          <w:sz w:val="20"/>
          <w:szCs w:val="20"/>
          <w:color w:val="auto"/>
        </w:rPr>
      </w:pPr>
    </w:p>
    <w:p>
      <w:pPr>
        <w:ind w:left="880" w:hanging="697"/>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880" w:right="6700" w:hanging="697"/>
        <w:spacing w:after="0" w:line="383"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500" w:hanging="616"/>
        <w:spacing w:after="0"/>
        <w:tabs>
          <w:tab w:leader="none" w:pos="25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460" w:type="dxa"/>
            <w:vAlign w:val="bottom"/>
          </w:tcPr>
          <w:p>
            <w:pPr>
              <w:jc w:val="center"/>
              <w:ind w:right="90"/>
              <w:spacing w:after="0"/>
              <w:rPr>
                <w:sz w:val="20"/>
                <w:szCs w:val="20"/>
                <w:color w:val="auto"/>
              </w:rPr>
            </w:pPr>
            <w:r>
              <w:rPr>
                <w:rFonts w:ascii="Arial" w:cs="Arial" w:eastAsia="Arial" w:hAnsi="Arial"/>
                <w:sz w:val="18"/>
                <w:szCs w:val="18"/>
                <w:color w:val="auto"/>
                <w:w w:val="96"/>
              </w:rPr>
              <w:t>NUMBER OF</w:t>
            </w:r>
          </w:p>
        </w:tc>
        <w:tc>
          <w:tcPr>
            <w:tcW w:w="6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146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4"/>
              </w:rPr>
              <w:t>SHARES</w:t>
            </w:r>
          </w:p>
        </w:tc>
        <w:tc>
          <w:tcPr>
            <w:tcW w:w="60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6.</w:t>
            </w:r>
          </w:p>
        </w:tc>
        <w:tc>
          <w:tcPr>
            <w:tcW w:w="9000" w:type="dxa"/>
            <w:vAlign w:val="bottom"/>
          </w:tcPr>
          <w:p>
            <w:pPr>
              <w:ind w:left="24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60" w:type="dxa"/>
            <w:vAlign w:val="bottom"/>
          </w:tcPr>
          <w:p>
            <w:pPr>
              <w:jc w:val="center"/>
              <w:ind w:right="90"/>
              <w:spacing w:after="0"/>
              <w:rPr>
                <w:sz w:val="20"/>
                <w:szCs w:val="20"/>
                <w:color w:val="auto"/>
              </w:rPr>
            </w:pPr>
            <w:r>
              <w:rPr>
                <w:rFonts w:ascii="Arial" w:cs="Arial" w:eastAsia="Arial" w:hAnsi="Arial"/>
                <w:sz w:val="18"/>
                <w:szCs w:val="18"/>
                <w:color w:val="auto"/>
              </w:rPr>
              <w:t>BENEFICIALLY</w:t>
            </w:r>
          </w:p>
        </w:tc>
        <w:tc>
          <w:tcPr>
            <w:tcW w:w="6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jc w:val="center"/>
              <w:ind w:right="90"/>
              <w:spacing w:after="0"/>
              <w:rPr>
                <w:sz w:val="20"/>
                <w:szCs w:val="20"/>
                <w:color w:val="auto"/>
              </w:rPr>
            </w:pPr>
            <w:r>
              <w:rPr>
                <w:rFonts w:ascii="Arial" w:cs="Arial" w:eastAsia="Arial" w:hAnsi="Arial"/>
                <w:sz w:val="18"/>
                <w:szCs w:val="18"/>
                <w:color w:val="auto"/>
                <w:w w:val="97"/>
              </w:rPr>
              <w:t>OWNED BY</w:t>
            </w:r>
          </w:p>
        </w:tc>
        <w:tc>
          <w:tcPr>
            <w:tcW w:w="6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68,507,107</w:t>
            </w:r>
          </w:p>
        </w:tc>
        <w:tc>
          <w:tcPr>
            <w:tcW w:w="0" w:type="dxa"/>
            <w:vAlign w:val="bottom"/>
          </w:tcPr>
          <w:p>
            <w:pPr>
              <w:spacing w:after="0"/>
              <w:rPr>
                <w:sz w:val="1"/>
                <w:szCs w:val="1"/>
                <w:color w:val="auto"/>
              </w:rPr>
            </w:pPr>
          </w:p>
        </w:tc>
      </w:tr>
      <w:tr>
        <w:trPr>
          <w:trHeight w:val="182"/>
        </w:trPr>
        <w:tc>
          <w:tcPr>
            <w:tcW w:w="146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5"/>
              </w:rPr>
              <w:t>EACH</w:t>
            </w:r>
          </w:p>
        </w:tc>
        <w:tc>
          <w:tcPr>
            <w:tcW w:w="600" w:type="dxa"/>
            <w:vAlign w:val="bottom"/>
          </w:tcPr>
          <w:p>
            <w:pPr>
              <w:jc w:val="right"/>
              <w:ind w:right="15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2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60" w:type="dxa"/>
            <w:vAlign w:val="bottom"/>
          </w:tcPr>
          <w:p>
            <w:pPr>
              <w:jc w:val="center"/>
              <w:ind w:right="90"/>
              <w:spacing w:after="0"/>
              <w:rPr>
                <w:sz w:val="20"/>
                <w:szCs w:val="20"/>
                <w:color w:val="auto"/>
              </w:rPr>
            </w:pPr>
            <w:r>
              <w:rPr>
                <w:rFonts w:ascii="Arial" w:cs="Arial" w:eastAsia="Arial" w:hAnsi="Arial"/>
                <w:sz w:val="18"/>
                <w:szCs w:val="18"/>
                <w:color w:val="auto"/>
                <w:w w:val="93"/>
              </w:rPr>
              <w:t>REPORTING</w:t>
            </w:r>
          </w:p>
        </w:tc>
        <w:tc>
          <w:tcPr>
            <w:tcW w:w="6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600" w:type="dxa"/>
            <w:vAlign w:val="bottom"/>
          </w:tcPr>
          <w:p>
            <w:pPr>
              <w:spacing w:after="0"/>
              <w:rPr>
                <w:sz w:val="18"/>
                <w:szCs w:val="18"/>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460" w:type="dxa"/>
            <w:vAlign w:val="bottom"/>
            <w:vMerge w:val="restart"/>
          </w:tcPr>
          <w:p>
            <w:pPr>
              <w:jc w:val="center"/>
              <w:ind w:right="90"/>
              <w:spacing w:after="0"/>
              <w:rPr>
                <w:sz w:val="20"/>
                <w:szCs w:val="20"/>
                <w:color w:val="auto"/>
              </w:rPr>
            </w:pPr>
            <w:r>
              <w:rPr>
                <w:rFonts w:ascii="Arial" w:cs="Arial" w:eastAsia="Arial" w:hAnsi="Arial"/>
                <w:sz w:val="18"/>
                <w:szCs w:val="18"/>
                <w:color w:val="auto"/>
              </w:rPr>
              <w:t>WITH:</w:t>
            </w:r>
          </w:p>
        </w:tc>
        <w:tc>
          <w:tcPr>
            <w:tcW w:w="600" w:type="dxa"/>
            <w:vAlign w:val="bottom"/>
            <w:tcBorders>
              <w:bottom w:val="single" w:sz="8" w:color="auto"/>
            </w:tcBorders>
          </w:tcPr>
          <w:p>
            <w:pPr>
              <w:spacing w:after="0"/>
              <w:rPr>
                <w:sz w:val="2"/>
                <w:szCs w:val="2"/>
                <w:color w:val="auto"/>
              </w:rPr>
            </w:pPr>
          </w:p>
        </w:tc>
        <w:tc>
          <w:tcPr>
            <w:tcW w:w="9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460" w:type="dxa"/>
            <w:vAlign w:val="bottom"/>
            <w:vMerge w:val="continue"/>
          </w:tcPr>
          <w:p>
            <w:pPr>
              <w:spacing w:after="0"/>
              <w:rPr>
                <w:sz w:val="19"/>
                <w:szCs w:val="19"/>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900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68,507,107</w:t>
      </w:r>
    </w:p>
    <w:p>
      <w:pPr>
        <w:spacing w:after="0" w:line="23" w:lineRule="exact"/>
        <w:rPr>
          <w:sz w:val="20"/>
          <w:szCs w:val="20"/>
          <w:color w:val="auto"/>
        </w:rPr>
      </w:pPr>
    </w:p>
    <w:p>
      <w:pPr>
        <w:ind w:left="880" w:hanging="697"/>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68,507,107</w:t>
      </w:r>
    </w:p>
    <w:p>
      <w:pPr>
        <w:spacing w:after="0" w:line="23" w:lineRule="exact"/>
        <w:rPr>
          <w:sz w:val="20"/>
          <w:szCs w:val="20"/>
          <w:color w:val="auto"/>
        </w:rPr>
      </w:pPr>
    </w:p>
    <w:p>
      <w:pPr>
        <w:ind w:left="880" w:hanging="697"/>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191" w:lineRule="exact"/>
        <w:rPr>
          <w:rFonts w:ascii="Arial" w:cs="Arial" w:eastAsia="Arial" w:hAnsi="Arial"/>
          <w:sz w:val="18"/>
          <w:szCs w:val="18"/>
          <w:color w:val="auto"/>
        </w:rPr>
      </w:pPr>
    </w:p>
    <w:p>
      <w:pPr>
        <w:ind w:left="8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80" w:right="5320" w:hanging="697"/>
        <w:spacing w:after="0" w:line="374"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4.79%</w:t>
      </w:r>
    </w:p>
    <w:p>
      <w:pPr>
        <w:spacing w:after="0" w:line="1" w:lineRule="exact"/>
        <w:rPr>
          <w:rFonts w:ascii="Arial" w:cs="Arial" w:eastAsia="Arial" w:hAnsi="Arial"/>
          <w:sz w:val="18"/>
          <w:szCs w:val="18"/>
          <w:color w:val="auto"/>
        </w:rPr>
      </w:pPr>
    </w:p>
    <w:p>
      <w:pPr>
        <w:ind w:left="880" w:right="7880" w:hanging="697"/>
        <w:spacing w:after="0" w:line="52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746"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1(a).Name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Motors Company (the “Issuer”)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300 Renaissance Center, Detroit, Michigan, 48265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2(a).Name of Person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Amendment No. 3 to Schedule 13G is being filed on behalf of each of the following reporting persons (collectively, the “Reporting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Persons”), solely in compliance with their reporting requirements under Schedule 13G:</w:t>
      </w:r>
    </w:p>
    <w:p>
      <w:pPr>
        <w:spacing w:after="0" w:line="211"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Brock Fiduciary Services LLC (“Brock Fiduciary”);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Brock Capital Group LLC (“Brock Capital”).</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Brock Fiduciary is a wholly-owned subsidiary of Brock Capital. As more fully described under Item 4(a), Brock Fiduciary is an independent fiduciary and investment adviser to the UAW Retiree Medical Benefits Trust and may be deemed to be the beneficial owner of any securities of the Issuer owned by such trust.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address of the principal business offices of each of the Reporting Persons is 505 Park Avenue, 16th Floor, New York, New York 10022.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2(c).Citizenship:</w:t>
      </w:r>
    </w:p>
    <w:p>
      <w:pPr>
        <w:spacing w:after="0" w:line="229"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Brock Fiduciary – Delaware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Brock Capital – Delaware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196" w:lineRule="exact"/>
        <w:rPr>
          <w:sz w:val="20"/>
          <w:szCs w:val="20"/>
          <w:color w:val="auto"/>
        </w:rPr>
      </w:pPr>
    </w:p>
    <w:p>
      <w:pPr>
        <w:ind w:left="1300" w:hanging="644"/>
        <w:spacing w:after="0" w:line="207" w:lineRule="exact"/>
        <w:tabs>
          <w:tab w:leader="none" w:pos="130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adviser in accordance with Rule 13d-1(b)(1)(ii)(E) of the Exchange Act.</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Rule 13d-1(b)(1)(ii)(F) of the Exchange Act.</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or control person in accordance with Rule 13d-1(b)(1)(ii)(G) of the Exchange Act.</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w:t>
      </w:r>
    </w:p>
    <w:p>
      <w:pPr>
        <w:spacing w:after="0" w:line="225" w:lineRule="exact"/>
        <w:rPr>
          <w:rFonts w:ascii="Arial" w:cs="Arial" w:eastAsia="Arial" w:hAnsi="Arial"/>
          <w:sz w:val="18"/>
          <w:szCs w:val="18"/>
          <w:color w:val="auto"/>
        </w:rPr>
      </w:pPr>
    </w:p>
    <w:p>
      <w:pPr>
        <w:ind w:left="1300" w:hanging="644"/>
        <w:spacing w:after="0" w:line="184" w:lineRule="exact"/>
        <w:tabs>
          <w:tab w:leader="none" w:pos="1300" w:val="left"/>
        </w:tabs>
        <w:numPr>
          <w:ilvl w:val="0"/>
          <w:numId w:val="1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Church plan that is excluded from the definition of an investment company under Section 3(c)(14) of the Investment Company Act.</w:t>
      </w:r>
    </w:p>
    <w:p>
      <w:pPr>
        <w:spacing w:after="0" w:line="248" w:lineRule="exact"/>
        <w:rPr>
          <w:rFonts w:ascii="Arial" w:cs="Arial" w:eastAsia="Arial" w:hAnsi="Arial"/>
          <w:sz w:val="16"/>
          <w:szCs w:val="16"/>
          <w:color w:val="auto"/>
        </w:rPr>
      </w:pPr>
    </w:p>
    <w:p>
      <w:pPr>
        <w:ind w:left="1300" w:hanging="644"/>
        <w:spacing w:after="0" w:line="207" w:lineRule="exact"/>
        <w:tabs>
          <w:tab w:leader="none" w:pos="130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Non-U.S. institution in accordance with Rule 13d-1(b)(1)(ii)(J) of the Exchange Act.</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 of the Exchange Act.</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filing as a non-U.S. institution in accordance with Rule 13d-1(b)(1)(ii)(J) of the Exchange Act, please specify type of institution: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00" w:lineRule="exact"/>
        <w:rPr>
          <w:sz w:val="20"/>
          <w:szCs w:val="20"/>
          <w:color w:val="auto"/>
        </w:rPr>
      </w:pPr>
    </w:p>
    <w:p>
      <w:pPr>
        <w:spacing w:after="0" w:line="24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Reporting Persons may be deemed to beneficially own 68,507,107 shares of Common Stock.</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Brock Fiduciary is an independent fiduciary and investment adviser to the UAW Retiree Medical Benefits Trust (“UAW RMBT”). Pursuant to an Independent Fiduciary Agreement, dated August 8, 2011, between Brock Fiduciary and UAW RMBT, Brock Fiduciary has been given the power to vote and dispose of any securities of the Issuer held by UAW RMBT, including any Common Stock. As a result, the Reporting Persons may be deemed to beneficially own the Common Stock held by UAW RMBT.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Based on information provided to the Reporting Persons by UAW RMBT, as of the date hereof, UAW RMBT owned 68,507,107 shares of Common Stock.</w:t>
      </w:r>
    </w:p>
    <w:p>
      <w:pPr>
        <w:spacing w:after="0" w:line="200" w:lineRule="exact"/>
        <w:rPr>
          <w:sz w:val="20"/>
          <w:szCs w:val="20"/>
          <w:color w:val="auto"/>
        </w:rPr>
      </w:pPr>
    </w:p>
    <w:p>
      <w:pPr>
        <w:spacing w:after="0" w:line="264" w:lineRule="exact"/>
        <w:rPr>
          <w:sz w:val="20"/>
          <w:szCs w:val="20"/>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 4.79%. This percentage is based on a total of 1,431,307,600 shares of Common Stock outstanding as reported in the Issuer’s quarterly report on Form 10-Q filed on November 5, 2020.</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60" w:right="6420" w:hanging="656"/>
        <w:spacing w:after="0" w:line="500"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1960" w:hanging="656"/>
        <w:spacing w:after="0"/>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68,507,107 shares of Common Stock.</w:t>
      </w:r>
    </w:p>
    <w:p>
      <w:pPr>
        <w:spacing w:after="0" w:line="225" w:lineRule="exact"/>
        <w:rPr>
          <w:rFonts w:ascii="Arial" w:cs="Arial" w:eastAsia="Arial" w:hAnsi="Arial"/>
          <w:sz w:val="18"/>
          <w:szCs w:val="18"/>
          <w:color w:val="auto"/>
        </w:rPr>
      </w:pPr>
    </w:p>
    <w:p>
      <w:pPr>
        <w:ind w:left="1960" w:right="5520" w:hanging="656"/>
        <w:spacing w:after="0" w:line="500"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 w:lineRule="exact"/>
        <w:rPr>
          <w:rFonts w:ascii="Arial" w:cs="Arial" w:eastAsia="Arial" w:hAnsi="Arial"/>
          <w:sz w:val="18"/>
          <w:szCs w:val="18"/>
          <w:color w:val="auto"/>
        </w:rPr>
      </w:pPr>
    </w:p>
    <w:p>
      <w:pPr>
        <w:ind w:left="1960" w:right="5340" w:hanging="656"/>
        <w:spacing w:after="0" w:line="573" w:lineRule="auto"/>
        <w:tabs>
          <w:tab w:leader="none" w:pos="19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Shared power to dispose or to direct the disposition of: 68,507,107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200" w:firstLine="648"/>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UAW RMBT is party to a Stockholders Agreement dated as of October 15, 2009 (the “Stockholders Agreement”), originally by and among the Issuer, United States Department of the Treasury (“UST”), 7176384 Canada Inc. (since renamed Canada GEN Investment Corporation, “Canada GEN”), UAW RMBT and, solely for the purposes of Section 6.20 thereof, General Motors LLC. The UST and Canada GEN are no longer parties to the Stockholders Agreement. The Stockholders Agreement was filed as Exhibit 10.8 to the Current Report on Form 8-K filed by the Issuer on November 16, 2009.</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UAW RMBT initially had the right to designate a director to the board of directors of the Issuer, but, as a result of the sale of 40 million shares of Common Stock that took place in early 2018, it no longer has that right. Pursuant to the Stockholders Agreement, UAW RMBT agrees to vote its shares of Common Stock on any matter presented to the Issuer’s shareholders in the same proportionate manner as the other holders of the Common Stock other than the Issuer’s directors and executive officers. UAW RMBT will be subject to the terms of the Stockholders Agreement until it beneficially owns less than 2% of the issued and outstanding Common Stock. The Stockholders Agreement prevents the shareholding parties thereto from transferring all or any portion of their Common Stock without the consent of the Issuer’s board of directors, to either (i) any person or group who would thereafter beneficially own more than 10% of the Common Stock, or (ii) any automotive vehicle manufacturer or affiliate thereof.</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UAW RMBT has beneficial ownership of 68,507,107 shares of Common Stock. As of January 15, 2021, this represented 4.79% of the outstanding Common Stock based on a total of 1,431,307,600 shares of Common Stock outstanding.</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Because UAW RMBT may be deemed a beneficial owner of the securities, UAW RMBT may be deemed a member of any group that the parties to the Stockholders Agreement are deemed to be part of. The Common Stock beneficially owned by UAW RMBT is held solely for the benefit of UAW RMBT’s GM Separate Retiree Account.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 w:name="page7"/>
    <w:bookmarkEnd w:id="6"/>
    <w:p>
      <w:pPr>
        <w:jc w:val="center"/>
        <w:ind w:right="-4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1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15,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Brock Fiduciary Services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Brock Capital Group LLC, as Managing Member</w:t>
      </w:r>
    </w:p>
    <w:p>
      <w:pPr>
        <w:spacing w:after="0" w:line="211"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 Charles Brock</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Name:Charles Brock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-130175</wp:posOffset>
            </wp:positionV>
            <wp:extent cx="32658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Chairman &amp; CEO</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Brock Capital Group LLC</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 Charles Brock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Name:Charles Brock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-121920</wp:posOffset>
            </wp:positionV>
            <wp:extent cx="3265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Chairman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780"/>
      </w:cols>
      <w:pgMar w:left="320" w:top="742"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lvl w:ilvl="1">
      <w:lvlJc w:val="left"/>
      <w:lvlText w:val="☒"/>
      <w:numFmt w:val="bullet"/>
      <w:start w:val="1"/>
    </w:lvl>
  </w:abstractNum>
  <w:abstractNum w:abstractNumId="2">
    <w:nsid w:val="1F16E9E8"/>
    <w:multiLevelType w:val="hybridMultilevel"/>
    <w:lvl w:ilvl="0">
      <w:lvlJc w:val="left"/>
      <w:lvlText w:val="1"/>
      <w:numFmt w:val="bullet"/>
      <w:start w:val="1"/>
    </w:lvl>
  </w:abstractNum>
  <w:abstractNum w:abstractNumId="3">
    <w:nsid w:val="1190CDE7"/>
    <w:multiLevelType w:val="hybridMultilevel"/>
    <w:lvl w:ilvl="0">
      <w:lvlJc w:val="left"/>
      <w:lvlText w:val="2"/>
      <w:numFmt w:val="bullet"/>
      <w:start w:val="1"/>
    </w:lvl>
  </w:abstractNum>
  <w:abstractNum w:abstractNumId="4">
    <w:nsid w:val="66EF438D"/>
    <w:multiLevelType w:val="hybridMultilevel"/>
    <w:lvl w:ilvl="0">
      <w:lvlJc w:val="left"/>
      <w:lvlText w:val="3"/>
      <w:numFmt w:val="bullet"/>
      <w:start w:val="1"/>
    </w:lvl>
  </w:abstractNum>
  <w:abstractNum w:abstractNumId="5">
    <w:nsid w:val="140E0F76"/>
    <w:multiLevelType w:val="hybridMultilevel"/>
    <w:lvl w:ilvl="0">
      <w:lvlJc w:val="left"/>
      <w:lvlText w:val="4"/>
      <w:numFmt w:val="bullet"/>
      <w:start w:val="1"/>
    </w:lvl>
    <w:lvl w:ilvl="1">
      <w:lvlJc w:val="left"/>
      <w:lvlText w:val="%2."/>
      <w:numFmt w:val="decimal"/>
      <w:start w:val="5"/>
    </w:lvl>
  </w:abstractNum>
  <w:abstractNum w:abstractNumId="6">
    <w:nsid w:val="3352255A"/>
    <w:multiLevelType w:val="hybridMultilevel"/>
    <w:lvl w:ilvl="0">
      <w:lvlJc w:val="left"/>
      <w:lvlText w:val="9"/>
      <w:numFmt w:val="bullet"/>
      <w:start w:val="1"/>
    </w:lvl>
  </w:abstractNum>
  <w:abstractNum w:abstractNumId="7">
    <w:nsid w:val="109CF92E"/>
    <w:multiLevelType w:val="hybridMultilevel"/>
    <w:lvl w:ilvl="0">
      <w:lvlJc w:val="left"/>
      <w:lvlText w:val="%1"/>
      <w:numFmt w:val="decimal"/>
      <w:start w:val="10"/>
    </w:lvl>
  </w:abstractNum>
  <w:abstractNum w:abstractNumId="8">
    <w:nsid w:val="DED7263"/>
    <w:multiLevelType w:val="hybridMultilevel"/>
    <w:lvl w:ilvl="0">
      <w:lvlJc w:val="left"/>
      <w:lvlText w:val="1"/>
      <w:numFmt w:val="bullet"/>
      <w:start w:val="1"/>
    </w:lvl>
  </w:abstractNum>
  <w:abstractNum w:abstractNumId="9">
    <w:nsid w:val="7FDCC233"/>
    <w:multiLevelType w:val="hybridMultilevel"/>
    <w:lvl w:ilvl="0">
      <w:lvlJc w:val="left"/>
      <w:lvlText w:val="2"/>
      <w:numFmt w:val="bullet"/>
      <w:start w:val="1"/>
    </w:lvl>
  </w:abstractNum>
  <w:abstractNum w:abstractNumId="10">
    <w:nsid w:val="1BEFD79F"/>
    <w:multiLevelType w:val="hybridMultilevel"/>
    <w:lvl w:ilvl="0">
      <w:lvlJc w:val="left"/>
      <w:lvlText w:val="3"/>
      <w:numFmt w:val="bullet"/>
      <w:start w:val="1"/>
    </w:lvl>
  </w:abstractNum>
  <w:abstractNum w:abstractNumId="11">
    <w:nsid w:val="41A7C4C9"/>
    <w:multiLevelType w:val="hybridMultilevel"/>
    <w:lvl w:ilvl="0">
      <w:lvlJc w:val="left"/>
      <w:lvlText w:val="4"/>
      <w:numFmt w:val="bullet"/>
      <w:start w:val="1"/>
    </w:lvl>
    <w:lvl w:ilvl="1">
      <w:lvlJc w:val="left"/>
      <w:lvlText w:val="%2."/>
      <w:numFmt w:val="decimal"/>
      <w:start w:val="5"/>
    </w:lvl>
  </w:abstractNum>
  <w:abstractNum w:abstractNumId="12">
    <w:nsid w:val="6B68079A"/>
    <w:multiLevelType w:val="hybridMultilevel"/>
    <w:lvl w:ilvl="0">
      <w:lvlJc w:val="left"/>
      <w:lvlText w:val="9"/>
      <w:numFmt w:val="bullet"/>
      <w:start w:val="1"/>
    </w:lvl>
  </w:abstractNum>
  <w:abstractNum w:abstractNumId="13">
    <w:nsid w:val="4E6AFB66"/>
    <w:multiLevelType w:val="hybridMultilevel"/>
    <w:lvl w:ilvl="0">
      <w:lvlJc w:val="left"/>
      <w:lvlText w:val="%1"/>
      <w:numFmt w:val="decimal"/>
      <w:start w:val="10"/>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2021-01-15T15:16:26Z</dcterms:created>
  <dcterms:modified xsi:type="dcterms:W3CDTF">2021-01-15T15:16:26Z</dcterms:modified>
</cp:coreProperties>
</file>