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June 1, 2012</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71"/>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71"/>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71"/>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71"/>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359" w:right="359" w:bottom="1440" w:gutter="0" w:footer="0" w:header="0"/>
        </w:sectPr>
      </w:pPr>
    </w:p>
    <w:bookmarkStart w:id="1" w:name="page2"/>
    <w:bookmarkEnd w:id="1"/>
    <w:p>
      <w:pPr>
        <w:jc w:val="right"/>
        <w:ind w:right="353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Sales Release and Charts Dated June 1, 2012</w:t>
      </w:r>
    </w:p>
    <w:p>
      <w:pPr>
        <w:sectPr>
          <w:pgSz w:w="11900" w:h="16838" w:orient="portrait"/>
          <w:cols w:equalWidth="0" w:num="1">
            <w:col w:w="10219"/>
          </w:cols>
          <w:pgMar w:left="240" w:top="580"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On June 1, 2012, General Motors Company (GM) issued a news release announcing May sales. The release and charts are attached as Exhibit 99.1.</w:t>
      </w: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1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574"/>
        </w:trPr>
        <w:tc>
          <w:tcPr>
            <w:tcW w:w="388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4000" w:type="dxa"/>
            <w:vAlign w:val="bottom"/>
            <w:gridSpan w:val="4"/>
          </w:tcPr>
          <w:p>
            <w:pPr>
              <w:spacing w:after="0"/>
              <w:rPr>
                <w:sz w:val="20"/>
                <w:szCs w:val="20"/>
                <w:color w:val="auto"/>
              </w:rPr>
            </w:pPr>
            <w:r>
              <w:rPr>
                <w:rFonts w:ascii="Arial" w:cs="Arial" w:eastAsia="Arial" w:hAnsi="Arial"/>
                <w:sz w:val="18"/>
                <w:szCs w:val="18"/>
                <w:color w:val="auto"/>
              </w:rPr>
              <w:t>Description</w:t>
            </w:r>
          </w:p>
        </w:tc>
        <w:tc>
          <w:tcPr>
            <w:tcW w:w="1420" w:type="dxa"/>
            <w:vAlign w:val="bottom"/>
            <w:gridSpan w:val="2"/>
          </w:tcPr>
          <w:p>
            <w:pPr>
              <w:spacing w:after="0"/>
              <w:rPr>
                <w:sz w:val="20"/>
                <w:szCs w:val="20"/>
                <w:color w:val="auto"/>
              </w:rPr>
            </w:pPr>
            <w:r>
              <w:rPr>
                <w:rFonts w:ascii="Arial" w:cs="Arial" w:eastAsia="Arial" w:hAnsi="Arial"/>
                <w:sz w:val="18"/>
                <w:szCs w:val="18"/>
                <w:color w:val="auto"/>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27"/>
        </w:trPr>
        <w:tc>
          <w:tcPr>
            <w:tcW w:w="388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4000" w:type="dxa"/>
            <w:vAlign w:val="bottom"/>
            <w:gridSpan w:val="4"/>
          </w:tcPr>
          <w:p>
            <w:pPr>
              <w:spacing w:after="0"/>
              <w:rPr>
                <w:sz w:val="20"/>
                <w:szCs w:val="20"/>
                <w:color w:val="auto"/>
              </w:rPr>
            </w:pPr>
            <w:r>
              <w:rPr>
                <w:rFonts w:ascii="Arial" w:cs="Arial" w:eastAsia="Arial" w:hAnsi="Arial"/>
                <w:sz w:val="18"/>
                <w:szCs w:val="18"/>
                <w:color w:val="auto"/>
              </w:rPr>
              <w:t>Sales Release and Charts</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r>
        <w:trPr>
          <w:trHeight w:val="230"/>
        </w:trPr>
        <w:tc>
          <w:tcPr>
            <w:tcW w:w="5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Dated June 1, 2012</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ectPr>
          <w:pgSz w:w="11900" w:h="16838" w:orient="portrait"/>
          <w:cols w:equalWidth="0" w:num="1">
            <w:col w:w="10620"/>
          </w:cols>
          <w:pgMar w:left="240" w:top="1013" w:right="103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30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GENERAL MOTORS COMPANY</w:t>
            </w: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0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702"/>
        </w:trPr>
        <w:tc>
          <w:tcPr>
            <w:tcW w:w="30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/s/ Nick S. Cyprus</w:t>
            </w:r>
          </w:p>
        </w:tc>
        <w:tc>
          <w:tcPr>
            <w:tcW w:w="0" w:type="dxa"/>
            <w:vAlign w:val="bottom"/>
          </w:tcPr>
          <w:p>
            <w:pPr>
              <w:spacing w:after="0"/>
              <w:rPr>
                <w:sz w:val="1"/>
                <w:szCs w:val="1"/>
                <w:color w:val="auto"/>
              </w:rPr>
            </w:pPr>
          </w:p>
        </w:tc>
      </w:tr>
      <w:tr>
        <w:trPr>
          <w:trHeight w:val="27"/>
        </w:trPr>
        <w:tc>
          <w:tcPr>
            <w:tcW w:w="3080" w:type="dxa"/>
            <w:vAlign w:val="bottom"/>
            <w:vMerge w:val="restart"/>
          </w:tcPr>
          <w:p>
            <w:pPr>
              <w:spacing w:after="0"/>
              <w:rPr>
                <w:sz w:val="20"/>
                <w:szCs w:val="20"/>
                <w:color w:val="auto"/>
              </w:rPr>
            </w:pPr>
            <w:r>
              <w:rPr>
                <w:rFonts w:ascii="Arial" w:cs="Arial" w:eastAsia="Arial" w:hAnsi="Arial"/>
                <w:sz w:val="18"/>
                <w:szCs w:val="18"/>
                <w:color w:val="auto"/>
              </w:rPr>
              <w:t>Date: June 5, 2012</w:t>
            </w:r>
          </w:p>
        </w:tc>
        <w:tc>
          <w:tcPr>
            <w:tcW w:w="2320" w:type="dxa"/>
            <w:vAlign w:val="bottom"/>
            <w:vMerge w:val="restart"/>
          </w:tcPr>
          <w:p>
            <w:pPr>
              <w:ind w:left="1720"/>
              <w:spacing w:after="0"/>
              <w:rPr>
                <w:sz w:val="20"/>
                <w:szCs w:val="20"/>
                <w:color w:val="auto"/>
              </w:rPr>
            </w:pPr>
            <w:r>
              <w:rPr>
                <w:rFonts w:ascii="Arial" w:cs="Arial" w:eastAsia="Arial" w:hAnsi="Arial"/>
                <w:sz w:val="18"/>
                <w:szCs w:val="18"/>
                <w:color w:val="auto"/>
              </w:rPr>
              <w:t>By:</w:t>
            </w:r>
          </w:p>
        </w:tc>
        <w:tc>
          <w:tcPr>
            <w:tcW w:w="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080" w:type="dxa"/>
            <w:vAlign w:val="bottom"/>
            <w:vMerge w:val="continue"/>
          </w:tcPr>
          <w:p>
            <w:pPr>
              <w:spacing w:after="0"/>
              <w:rPr>
                <w:sz w:val="19"/>
                <w:szCs w:val="19"/>
                <w:color w:val="auto"/>
              </w:rPr>
            </w:pPr>
          </w:p>
        </w:tc>
        <w:tc>
          <w:tcPr>
            <w:tcW w:w="232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Nick S. Cyprus</w:t>
            </w: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280"/>
          </w:cols>
          <w:pgMar w:left="240" w:top="796" w:right="37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483235</wp:posOffset>
            </wp:positionV>
            <wp:extent cx="7272020" cy="1007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1007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For Release: Friday, June 1, 2012, 10 a.m. EDT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GM Reports Highest Monthly Sales in 33 Months</w:t>
      </w:r>
    </w:p>
    <w:p>
      <w:pPr>
        <w:spacing w:after="0" w:line="233"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b w:val="1"/>
          <w:bCs w:val="1"/>
          <w:color w:val="auto"/>
        </w:rPr>
        <w:t xml:space="preserve">DETROIT </w:t>
      </w:r>
      <w:r>
        <w:rPr>
          <w:rFonts w:ascii="Arial" w:cs="Arial" w:eastAsia="Arial" w:hAnsi="Arial"/>
          <w:sz w:val="20"/>
          <w:szCs w:val="20"/>
          <w:color w:val="auto"/>
        </w:rPr>
        <w:t>- General Motors Co. (NYSE: GM) today reported May sales of 245,256 vehicles in the United States, up 11 percent</w:t>
      </w:r>
      <w:r>
        <w:rPr>
          <w:rFonts w:ascii="Arial" w:cs="Arial" w:eastAsia="Arial" w:hAnsi="Arial"/>
          <w:sz w:val="20"/>
          <w:szCs w:val="20"/>
          <w:b w:val="1"/>
          <w:bCs w:val="1"/>
          <w:color w:val="auto"/>
        </w:rPr>
        <w:t xml:space="preserve"> </w:t>
      </w:r>
      <w:r>
        <w:rPr>
          <w:rFonts w:ascii="Arial" w:cs="Arial" w:eastAsia="Arial" w:hAnsi="Arial"/>
          <w:sz w:val="20"/>
          <w:szCs w:val="20"/>
          <w:color w:val="auto"/>
        </w:rPr>
        <w:t>year over year and the highest monthly total since August 2009 when dealers delivered 246,479 units. GM retail sales were up 14 percent year-over-year and the retail mix was 70 percent. Fleet sales increased 3 percent. Buick and GMC both reported sales increases of 19 percent and Chevrolet was up 10 percent.</w:t>
      </w:r>
    </w:p>
    <w:p>
      <w:pPr>
        <w:spacing w:after="0" w:line="200" w:lineRule="exact"/>
        <w:rPr>
          <w:sz w:val="20"/>
          <w:szCs w:val="20"/>
          <w:color w:val="auto"/>
        </w:rPr>
      </w:pPr>
    </w:p>
    <w:p>
      <w:pPr>
        <w:spacing w:after="0" w:line="216" w:lineRule="exact"/>
        <w:rPr>
          <w:sz w:val="20"/>
          <w:szCs w:val="20"/>
          <w:color w:val="auto"/>
        </w:rPr>
      </w:pPr>
    </w:p>
    <w:p>
      <w:pPr>
        <w:ind w:right="60"/>
        <w:spacing w:after="0" w:line="247" w:lineRule="auto"/>
        <w:rPr>
          <w:sz w:val="20"/>
          <w:szCs w:val="20"/>
          <w:color w:val="auto"/>
        </w:rPr>
      </w:pPr>
      <w:r>
        <w:rPr>
          <w:rFonts w:ascii="Arial" w:cs="Arial" w:eastAsia="Arial" w:hAnsi="Arial"/>
          <w:sz w:val="20"/>
          <w:szCs w:val="20"/>
          <w:color w:val="auto"/>
        </w:rPr>
        <w:t xml:space="preserve">Sales of GM small and compact cars were up 16 percent in May versus a year ago, driven by the new </w:t>
      </w:r>
      <w:r>
        <w:rPr>
          <w:rFonts w:ascii="Arial" w:cs="Arial" w:eastAsia="Arial" w:hAnsi="Arial"/>
          <w:sz w:val="20"/>
          <w:szCs w:val="20"/>
          <w:u w:val="single" w:color="auto"/>
          <w:color w:val="0000FF"/>
        </w:rPr>
        <w:t>Chevrolet Sonic</w:t>
      </w:r>
      <w:r>
        <w:rPr>
          <w:rFonts w:ascii="Arial" w:cs="Arial" w:eastAsia="Arial" w:hAnsi="Arial"/>
          <w:sz w:val="20"/>
          <w:szCs w:val="20"/>
          <w:color w:val="auto"/>
        </w:rPr>
        <w:t xml:space="preserve">, which had sales of 7,205 units, and the new </w:t>
      </w:r>
      <w:r>
        <w:rPr>
          <w:rFonts w:ascii="Arial" w:cs="Arial" w:eastAsia="Arial" w:hAnsi="Arial"/>
          <w:sz w:val="20"/>
          <w:szCs w:val="20"/>
          <w:u w:val="single" w:color="auto"/>
          <w:color w:val="0000FF"/>
        </w:rPr>
        <w:t>Buick Verano</w:t>
      </w:r>
      <w:r>
        <w:rPr>
          <w:rFonts w:ascii="Arial" w:cs="Arial" w:eastAsia="Arial" w:hAnsi="Arial"/>
          <w:sz w:val="20"/>
          <w:szCs w:val="20"/>
          <w:color w:val="auto"/>
        </w:rPr>
        <w:t>, with 3,609 sales, which has increased sales every month since launch.</w:t>
      </w:r>
    </w:p>
    <w:p>
      <w:pPr>
        <w:spacing w:after="0" w:line="202" w:lineRule="exact"/>
        <w:rPr>
          <w:sz w:val="20"/>
          <w:szCs w:val="20"/>
          <w:color w:val="auto"/>
        </w:rPr>
      </w:pPr>
    </w:p>
    <w:p>
      <w:pPr>
        <w:ind w:right="880"/>
        <w:spacing w:after="0" w:line="247" w:lineRule="auto"/>
        <w:rPr>
          <w:sz w:val="20"/>
          <w:szCs w:val="20"/>
          <w:color w:val="auto"/>
        </w:rPr>
      </w:pPr>
      <w:r>
        <w:rPr>
          <w:rFonts w:ascii="Arial" w:cs="Arial" w:eastAsia="Arial" w:hAnsi="Arial"/>
          <w:sz w:val="20"/>
          <w:szCs w:val="20"/>
          <w:color w:val="auto"/>
        </w:rPr>
        <w:t xml:space="preserve">Combined sales of all seven Chevrolet, Buick, GMC and Cadillac crossovers were up 14 percent versus a year ago. The </w:t>
      </w:r>
      <w:r>
        <w:rPr>
          <w:rFonts w:ascii="Arial" w:cs="Arial" w:eastAsia="Arial" w:hAnsi="Arial"/>
          <w:sz w:val="20"/>
          <w:szCs w:val="20"/>
          <w:u w:val="single" w:color="auto"/>
          <w:color w:val="0000FF"/>
        </w:rPr>
        <w:t>Chevrolet Equinox</w:t>
      </w:r>
      <w:r>
        <w:rPr>
          <w:rFonts w:ascii="Arial" w:cs="Arial" w:eastAsia="Arial" w:hAnsi="Arial"/>
          <w:sz w:val="20"/>
          <w:szCs w:val="20"/>
          <w:color w:val="0000FF"/>
        </w:rPr>
        <w:t xml:space="preserve"> </w:t>
      </w:r>
      <w:r>
        <w:rPr>
          <w:rFonts w:ascii="Arial" w:cs="Arial" w:eastAsia="Arial" w:hAnsi="Arial"/>
          <w:sz w:val="20"/>
          <w:szCs w:val="20"/>
          <w:color w:val="000000"/>
        </w:rPr>
        <w:t>and</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GMC Terrain</w:t>
      </w:r>
      <w:r>
        <w:rPr>
          <w:rFonts w:ascii="Arial" w:cs="Arial" w:eastAsia="Arial" w:hAnsi="Arial"/>
          <w:sz w:val="20"/>
          <w:szCs w:val="20"/>
          <w:color w:val="0000FF"/>
        </w:rPr>
        <w:t xml:space="preserve"> </w:t>
      </w:r>
      <w:r>
        <w:rPr>
          <w:rFonts w:ascii="Arial" w:cs="Arial" w:eastAsia="Arial" w:hAnsi="Arial"/>
          <w:sz w:val="20"/>
          <w:szCs w:val="20"/>
          <w:color w:val="000000"/>
        </w:rPr>
        <w:t>continue to stand out, with sales up 15 percent and 20 percent, respectively.</w:t>
      </w:r>
    </w:p>
    <w:p>
      <w:pPr>
        <w:spacing w:after="0" w:line="202"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auto"/>
        </w:rPr>
        <w:t>Full-size pickup sales were up 23 percent year over year, mid-size pickup sales were up 34 percent and full-size SUVs were up 14 percent.</w:t>
      </w:r>
    </w:p>
    <w:p>
      <w:pPr>
        <w:spacing w:after="0" w:line="202" w:lineRule="exact"/>
        <w:rPr>
          <w:sz w:val="20"/>
          <w:szCs w:val="20"/>
          <w:color w:val="auto"/>
        </w:rPr>
      </w:pPr>
    </w:p>
    <w:p>
      <w:pPr>
        <w:ind w:right="40"/>
        <w:spacing w:after="0" w:line="242" w:lineRule="auto"/>
        <w:rPr>
          <w:sz w:val="20"/>
          <w:szCs w:val="20"/>
          <w:color w:val="auto"/>
        </w:rPr>
      </w:pPr>
      <w:r>
        <w:rPr>
          <w:rFonts w:ascii="Arial" w:cs="Arial" w:eastAsia="Arial" w:hAnsi="Arial"/>
          <w:sz w:val="20"/>
          <w:szCs w:val="20"/>
          <w:color w:val="auto"/>
        </w:rPr>
        <w:t>“GM's sales in May were the highest in almost three years and we are poised to keep delivering good news for the U.S. economy with one of the most aggressive new product offenses in our history,” said Don Johnson, vice president, U.S. Sales Operations. “About 70 percent of our nameplates will be new or freshened over the course of 2012 and 2013 and that positions us very well as the industry and GM start to approach pre-recession sales levels.”</w:t>
      </w:r>
    </w:p>
    <w:p>
      <w:pPr>
        <w:spacing w:after="0" w:line="207" w:lineRule="exact"/>
        <w:rPr>
          <w:sz w:val="20"/>
          <w:szCs w:val="20"/>
          <w:color w:val="auto"/>
        </w:rPr>
      </w:pPr>
    </w:p>
    <w:p>
      <w:pPr>
        <w:ind w:right="580"/>
        <w:spacing w:after="0" w:line="247" w:lineRule="auto"/>
        <w:rPr>
          <w:sz w:val="20"/>
          <w:szCs w:val="20"/>
          <w:color w:val="auto"/>
        </w:rPr>
      </w:pPr>
      <w:r>
        <w:rPr>
          <w:rFonts w:ascii="Arial" w:cs="Arial" w:eastAsia="Arial" w:hAnsi="Arial"/>
          <w:sz w:val="20"/>
          <w:szCs w:val="20"/>
          <w:color w:val="auto"/>
        </w:rPr>
        <w:t xml:space="preserve">This summer, Chevrolet will launch the new 2013 </w:t>
      </w:r>
      <w:r>
        <w:rPr>
          <w:rFonts w:ascii="Arial" w:cs="Arial" w:eastAsia="Arial" w:hAnsi="Arial"/>
          <w:sz w:val="20"/>
          <w:szCs w:val="20"/>
          <w:u w:val="single" w:color="auto"/>
          <w:color w:val="0000FF"/>
        </w:rPr>
        <w:t>Chevrolet Malibu</w:t>
      </w:r>
      <w:r>
        <w:rPr>
          <w:rFonts w:ascii="Arial" w:cs="Arial" w:eastAsia="Arial" w:hAnsi="Arial"/>
          <w:sz w:val="20"/>
          <w:szCs w:val="20"/>
          <w:color w:val="auto"/>
        </w:rPr>
        <w:t xml:space="preserve"> four-cylinder and the </w:t>
      </w:r>
      <w:r>
        <w:rPr>
          <w:rFonts w:ascii="Arial" w:cs="Arial" w:eastAsia="Arial" w:hAnsi="Arial"/>
          <w:sz w:val="20"/>
          <w:szCs w:val="20"/>
          <w:u w:val="single" w:color="auto"/>
          <w:color w:val="0000FF"/>
        </w:rPr>
        <w:t>Chevrolet Spark</w:t>
      </w:r>
      <w:r>
        <w:rPr>
          <w:rFonts w:ascii="Arial" w:cs="Arial" w:eastAsia="Arial" w:hAnsi="Arial"/>
          <w:sz w:val="20"/>
          <w:szCs w:val="20"/>
          <w:color w:val="auto"/>
        </w:rPr>
        <w:t>, while Cadillac will launch the XTS large luxury sedan and ATS compact luxury sedan.</w:t>
      </w:r>
    </w:p>
    <w:p>
      <w:pPr>
        <w:spacing w:after="0" w:line="202" w:lineRule="exact"/>
        <w:rPr>
          <w:sz w:val="20"/>
          <w:szCs w:val="20"/>
          <w:color w:val="auto"/>
        </w:rPr>
      </w:pPr>
    </w:p>
    <w:p>
      <w:pPr>
        <w:ind w:right="260"/>
        <w:spacing w:after="0" w:line="243" w:lineRule="auto"/>
        <w:rPr>
          <w:sz w:val="20"/>
          <w:szCs w:val="20"/>
          <w:color w:val="auto"/>
        </w:rPr>
      </w:pPr>
      <w:r>
        <w:rPr>
          <w:rFonts w:ascii="Arial" w:cs="Arial" w:eastAsia="Arial" w:hAnsi="Arial"/>
          <w:sz w:val="20"/>
          <w:szCs w:val="20"/>
          <w:color w:val="auto"/>
        </w:rPr>
        <w:t xml:space="preserve">The </w:t>
      </w:r>
      <w:r>
        <w:rPr>
          <w:rFonts w:ascii="Arial" w:cs="Arial" w:eastAsia="Arial" w:hAnsi="Arial"/>
          <w:sz w:val="20"/>
          <w:szCs w:val="20"/>
          <w:u w:val="single" w:color="auto"/>
          <w:color w:val="0000FF"/>
        </w:rPr>
        <w:t>Cadillac XTS</w:t>
      </w:r>
      <w:r>
        <w:rPr>
          <w:rFonts w:ascii="Arial" w:cs="Arial" w:eastAsia="Arial" w:hAnsi="Arial"/>
          <w:sz w:val="20"/>
          <w:szCs w:val="20"/>
          <w:color w:val="auto"/>
        </w:rPr>
        <w:t xml:space="preserve"> went into production in May and cars are expected to begin arriving in showrooms in June. The XTS and </w:t>
      </w:r>
      <w:r>
        <w:rPr>
          <w:rFonts w:ascii="Arial" w:cs="Arial" w:eastAsia="Arial" w:hAnsi="Arial"/>
          <w:sz w:val="20"/>
          <w:szCs w:val="20"/>
          <w:u w:val="single" w:color="auto"/>
          <w:color w:val="0000FF"/>
        </w:rPr>
        <w:t>ATS</w:t>
      </w:r>
      <w:r>
        <w:rPr>
          <w:rFonts w:ascii="Arial" w:cs="Arial" w:eastAsia="Arial" w:hAnsi="Arial"/>
          <w:sz w:val="20"/>
          <w:szCs w:val="20"/>
          <w:color w:val="auto"/>
        </w:rPr>
        <w:t xml:space="preserve"> will complement the </w:t>
      </w:r>
      <w:r>
        <w:rPr>
          <w:rFonts w:ascii="Arial" w:cs="Arial" w:eastAsia="Arial" w:hAnsi="Arial"/>
          <w:sz w:val="20"/>
          <w:szCs w:val="20"/>
          <w:u w:val="single" w:color="auto"/>
          <w:color w:val="0000FF"/>
        </w:rPr>
        <w:t>Cadillac CTS sedan</w:t>
      </w:r>
      <w:r>
        <w:rPr>
          <w:rFonts w:ascii="Arial" w:cs="Arial" w:eastAsia="Arial" w:hAnsi="Arial"/>
          <w:sz w:val="20"/>
          <w:szCs w:val="20"/>
          <w:color w:val="auto"/>
        </w:rPr>
        <w:t xml:space="preserve"> and </w:t>
      </w:r>
      <w:r>
        <w:rPr>
          <w:rFonts w:ascii="Arial" w:cs="Arial" w:eastAsia="Arial" w:hAnsi="Arial"/>
          <w:sz w:val="20"/>
          <w:szCs w:val="20"/>
          <w:u w:val="single" w:color="auto"/>
          <w:color w:val="0000FF"/>
        </w:rPr>
        <w:t>coupe</w:t>
      </w:r>
      <w:r>
        <w:rPr>
          <w:rFonts w:ascii="Arial" w:cs="Arial" w:eastAsia="Arial" w:hAnsi="Arial"/>
          <w:sz w:val="20"/>
          <w:szCs w:val="20"/>
          <w:color w:val="auto"/>
        </w:rPr>
        <w:t xml:space="preserve">, the </w:t>
      </w:r>
      <w:r>
        <w:rPr>
          <w:rFonts w:ascii="Arial" w:cs="Arial" w:eastAsia="Arial" w:hAnsi="Arial"/>
          <w:sz w:val="20"/>
          <w:szCs w:val="20"/>
          <w:u w:val="single" w:color="auto"/>
          <w:color w:val="0000FF"/>
        </w:rPr>
        <w:t>SRX crossover</w:t>
      </w:r>
      <w:r>
        <w:rPr>
          <w:rFonts w:ascii="Arial" w:cs="Arial" w:eastAsia="Arial" w:hAnsi="Arial"/>
          <w:sz w:val="20"/>
          <w:szCs w:val="20"/>
          <w:color w:val="auto"/>
        </w:rPr>
        <w:t xml:space="preserve"> and the </w:t>
      </w:r>
      <w:r>
        <w:rPr>
          <w:rFonts w:ascii="Arial" w:cs="Arial" w:eastAsia="Arial" w:hAnsi="Arial"/>
          <w:sz w:val="20"/>
          <w:szCs w:val="20"/>
          <w:u w:val="single" w:color="auto"/>
          <w:color w:val="0000FF"/>
        </w:rPr>
        <w:t>Escalade</w:t>
      </w:r>
      <w:r>
        <w:rPr>
          <w:rFonts w:ascii="Arial" w:cs="Arial" w:eastAsia="Arial" w:hAnsi="Arial"/>
          <w:sz w:val="20"/>
          <w:szCs w:val="20"/>
          <w:color w:val="auto"/>
        </w:rPr>
        <w:t xml:space="preserve"> sport utility vehicle. Cadillac's total sales reflect a planned 82 percent decrease in fleet sales.</w:t>
      </w:r>
    </w:p>
    <w:p>
      <w:pPr>
        <w:spacing w:after="0" w:line="338" w:lineRule="exact"/>
        <w:rPr>
          <w:sz w:val="20"/>
          <w:szCs w:val="20"/>
          <w:color w:val="auto"/>
        </w:rPr>
      </w:pPr>
    </w:p>
    <w:tbl>
      <w:tblPr>
        <w:tblLayout w:type="fixed"/>
        <w:tblInd w:w="390" w:type="dxa"/>
        <w:tblCellMar>
          <w:top w:w="0" w:type="dxa"/>
          <w:left w:w="0" w:type="dxa"/>
          <w:bottom w:w="0" w:type="dxa"/>
          <w:right w:w="0" w:type="dxa"/>
        </w:tblCellMar>
      </w:tblPr>
      <w:tr>
        <w:trPr>
          <w:trHeight w:val="180"/>
        </w:trPr>
        <w:tc>
          <w:tcPr>
            <w:tcW w:w="1740" w:type="dxa"/>
            <w:vAlign w:val="bottom"/>
            <w:tcBorders>
              <w:top w:val="single" w:sz="8" w:color="auto"/>
              <w:left w:val="single" w:sz="8" w:color="auto"/>
              <w:right w:val="single" w:sz="8" w:color="auto"/>
            </w:tcBorders>
          </w:tcPr>
          <w:p>
            <w:pPr>
              <w:spacing w:after="0"/>
              <w:rPr>
                <w:sz w:val="15"/>
                <w:szCs w:val="15"/>
                <w:color w:val="auto"/>
              </w:rPr>
            </w:pPr>
          </w:p>
        </w:tc>
        <w:tc>
          <w:tcPr>
            <w:tcW w:w="1080" w:type="dxa"/>
            <w:vAlign w:val="bottom"/>
            <w:tcBorders>
              <w:top w:val="single" w:sz="8" w:color="auto"/>
              <w:right w:val="single" w:sz="8" w:color="auto"/>
            </w:tcBorders>
          </w:tcPr>
          <w:p>
            <w:pPr>
              <w:spacing w:after="0"/>
              <w:rPr>
                <w:sz w:val="15"/>
                <w:szCs w:val="15"/>
                <w:color w:val="auto"/>
              </w:rPr>
            </w:pPr>
          </w:p>
        </w:tc>
        <w:tc>
          <w:tcPr>
            <w:tcW w:w="1180" w:type="dxa"/>
            <w:vAlign w:val="bottom"/>
            <w:tcBorders>
              <w:top w:val="single" w:sz="8" w:color="auto"/>
              <w:right w:val="single" w:sz="8" w:color="auto"/>
            </w:tcBorders>
            <w:vMerge w:val="restart"/>
          </w:tcPr>
          <w:p>
            <w:pPr>
              <w:jc w:val="right"/>
              <w:ind w:right="28"/>
              <w:spacing w:after="0"/>
              <w:rPr>
                <w:sz w:val="20"/>
                <w:szCs w:val="20"/>
                <w:color w:val="auto"/>
              </w:rPr>
            </w:pPr>
            <w:r>
              <w:rPr>
                <w:rFonts w:ascii="Arial" w:cs="Arial" w:eastAsia="Arial" w:hAnsi="Arial"/>
                <w:sz w:val="14"/>
                <w:szCs w:val="14"/>
                <w:b w:val="1"/>
                <w:bCs w:val="1"/>
                <w:color w:val="auto"/>
                <w:w w:val="94"/>
              </w:rPr>
              <w:t>Total Change vs.</w:t>
            </w:r>
          </w:p>
        </w:tc>
        <w:tc>
          <w:tcPr>
            <w:tcW w:w="9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May Retail</w:t>
            </w:r>
          </w:p>
        </w:tc>
        <w:tc>
          <w:tcPr>
            <w:tcW w:w="11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Retail Change vs.</w:t>
            </w:r>
          </w:p>
        </w:tc>
        <w:tc>
          <w:tcPr>
            <w:tcW w:w="1060" w:type="dxa"/>
            <w:vAlign w:val="bottom"/>
            <w:tcBorders>
              <w:top w:val="single" w:sz="8" w:color="auto"/>
              <w:right w:val="single" w:sz="8" w:color="auto"/>
            </w:tcBorders>
          </w:tcPr>
          <w:p>
            <w:pPr>
              <w:spacing w:after="0"/>
              <w:rPr>
                <w:sz w:val="15"/>
                <w:szCs w:val="15"/>
                <w:color w:val="auto"/>
              </w:rPr>
            </w:pP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CYTD</w:t>
            </w: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9"/>
              </w:rPr>
              <w:t>CYTD Retail</w:t>
            </w:r>
          </w:p>
        </w:tc>
        <w:tc>
          <w:tcPr>
            <w:tcW w:w="1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CYTD</w:t>
            </w:r>
          </w:p>
        </w:tc>
        <w:tc>
          <w:tcPr>
            <w:tcW w:w="0" w:type="dxa"/>
            <w:vAlign w:val="bottom"/>
          </w:tcPr>
          <w:p>
            <w:pPr>
              <w:spacing w:after="0"/>
              <w:rPr>
                <w:sz w:val="1"/>
                <w:szCs w:val="1"/>
                <w:color w:val="auto"/>
              </w:rPr>
            </w:pPr>
          </w:p>
        </w:tc>
      </w:tr>
      <w:tr>
        <w:trPr>
          <w:trHeight w:val="158"/>
        </w:trPr>
        <w:tc>
          <w:tcPr>
            <w:tcW w:w="1740" w:type="dxa"/>
            <w:vAlign w:val="bottom"/>
            <w:tcBorders>
              <w:left w:val="single" w:sz="8" w:color="auto"/>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2"/>
              </w:rPr>
              <w:t>2012 Highlights</w:t>
            </w:r>
          </w:p>
        </w:tc>
        <w:tc>
          <w:tcPr>
            <w:tcW w:w="1080" w:type="dxa"/>
            <w:vAlign w:val="bottom"/>
            <w:tcBorders>
              <w:right w:val="single" w:sz="8" w:color="auto"/>
            </w:tcBorders>
          </w:tcPr>
          <w:p>
            <w:pPr>
              <w:jc w:val="right"/>
              <w:spacing w:after="0" w:line="158" w:lineRule="exact"/>
              <w:rPr>
                <w:sz w:val="20"/>
                <w:szCs w:val="20"/>
                <w:color w:val="auto"/>
              </w:rPr>
            </w:pPr>
            <w:r>
              <w:rPr>
                <w:rFonts w:ascii="Arial" w:cs="Arial" w:eastAsia="Arial" w:hAnsi="Arial"/>
                <w:sz w:val="14"/>
                <w:szCs w:val="14"/>
                <w:b w:val="1"/>
                <w:bCs w:val="1"/>
                <w:color w:val="auto"/>
                <w:w w:val="95"/>
              </w:rPr>
              <w:t>May Total Sales</w:t>
            </w:r>
          </w:p>
        </w:tc>
        <w:tc>
          <w:tcPr>
            <w:tcW w:w="1180" w:type="dxa"/>
            <w:vAlign w:val="bottom"/>
            <w:tcBorders>
              <w:right w:val="single" w:sz="8" w:color="auto"/>
            </w:tcBorders>
            <w:vMerge w:val="continue"/>
          </w:tcPr>
          <w:p>
            <w:pPr>
              <w:spacing w:after="0"/>
              <w:rPr>
                <w:sz w:val="13"/>
                <w:szCs w:val="13"/>
                <w:color w:val="auto"/>
              </w:rPr>
            </w:pPr>
          </w:p>
        </w:tc>
        <w:tc>
          <w:tcPr>
            <w:tcW w:w="960" w:type="dxa"/>
            <w:vAlign w:val="bottom"/>
            <w:tcBorders>
              <w:right w:val="single" w:sz="8" w:color="auto"/>
            </w:tcBorders>
            <w:vMerge w:val="continue"/>
          </w:tcPr>
          <w:p>
            <w:pPr>
              <w:spacing w:after="0"/>
              <w:rPr>
                <w:sz w:val="13"/>
                <w:szCs w:val="13"/>
                <w:color w:val="auto"/>
              </w:rPr>
            </w:pPr>
          </w:p>
        </w:tc>
        <w:tc>
          <w:tcPr>
            <w:tcW w:w="1160" w:type="dxa"/>
            <w:vAlign w:val="bottom"/>
            <w:tcBorders>
              <w:right w:val="single" w:sz="8" w:color="auto"/>
            </w:tcBorders>
            <w:vMerge w:val="continue"/>
          </w:tcPr>
          <w:p>
            <w:pPr>
              <w:spacing w:after="0"/>
              <w:rPr>
                <w:sz w:val="13"/>
                <w:szCs w:val="13"/>
                <w:color w:val="auto"/>
              </w:rPr>
            </w:pPr>
          </w:p>
        </w:tc>
        <w:tc>
          <w:tcPr>
            <w:tcW w:w="1060" w:type="dxa"/>
            <w:vAlign w:val="bottom"/>
            <w:tcBorders>
              <w:right w:val="single" w:sz="8" w:color="auto"/>
            </w:tcBorders>
          </w:tcPr>
          <w:p>
            <w:pPr>
              <w:ind w:left="320"/>
              <w:spacing w:after="0" w:line="158" w:lineRule="exact"/>
              <w:rPr>
                <w:sz w:val="20"/>
                <w:szCs w:val="20"/>
                <w:color w:val="auto"/>
              </w:rPr>
            </w:pPr>
            <w:r>
              <w:rPr>
                <w:rFonts w:ascii="Arial" w:cs="Arial" w:eastAsia="Arial" w:hAnsi="Arial"/>
                <w:sz w:val="14"/>
                <w:szCs w:val="14"/>
                <w:b w:val="1"/>
                <w:bCs w:val="1"/>
                <w:color w:val="auto"/>
              </w:rPr>
              <w:t>CYTD</w:t>
            </w:r>
          </w:p>
        </w:tc>
        <w:tc>
          <w:tcPr>
            <w:tcW w:w="96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0"/>
              </w:rPr>
              <w:t>Change vs.</w:t>
            </w:r>
          </w:p>
        </w:tc>
        <w:tc>
          <w:tcPr>
            <w:tcW w:w="1060" w:type="dxa"/>
            <w:vAlign w:val="bottom"/>
            <w:tcBorders>
              <w:right w:val="single" w:sz="8" w:color="auto"/>
            </w:tcBorders>
            <w:vMerge w:val="continue"/>
          </w:tcPr>
          <w:p>
            <w:pPr>
              <w:spacing w:after="0"/>
              <w:rPr>
                <w:sz w:val="13"/>
                <w:szCs w:val="13"/>
                <w:color w:val="auto"/>
              </w:rPr>
            </w:pPr>
          </w:p>
        </w:tc>
        <w:tc>
          <w:tcPr>
            <w:tcW w:w="15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rPr>
              <w:t>Retail Change vs.</w:t>
            </w:r>
          </w:p>
        </w:tc>
        <w:tc>
          <w:tcPr>
            <w:tcW w:w="0" w:type="dxa"/>
            <w:vAlign w:val="bottom"/>
          </w:tcPr>
          <w:p>
            <w:pPr>
              <w:spacing w:after="0"/>
              <w:rPr>
                <w:sz w:val="1"/>
                <w:szCs w:val="1"/>
                <w:color w:val="auto"/>
              </w:rPr>
            </w:pPr>
          </w:p>
        </w:tc>
      </w:tr>
      <w:tr>
        <w:trPr>
          <w:trHeight w:val="162"/>
        </w:trPr>
        <w:tc>
          <w:tcPr>
            <w:tcW w:w="1740" w:type="dxa"/>
            <w:vAlign w:val="bottom"/>
            <w:tcBorders>
              <w:left w:val="single" w:sz="8" w:color="auto"/>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May 2011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Sales</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May 2011</w:t>
            </w:r>
          </w:p>
        </w:tc>
        <w:tc>
          <w:tcPr>
            <w:tcW w:w="1060" w:type="dxa"/>
            <w:vAlign w:val="bottom"/>
            <w:tcBorders>
              <w:right w:val="single" w:sz="8" w:color="auto"/>
            </w:tcBorders>
            <w:vMerge w:val="restart"/>
          </w:tcPr>
          <w:p>
            <w:pPr>
              <w:ind w:left="320"/>
              <w:spacing w:after="0"/>
              <w:rPr>
                <w:sz w:val="20"/>
                <w:szCs w:val="20"/>
                <w:color w:val="auto"/>
              </w:rPr>
            </w:pPr>
            <w:r>
              <w:rPr>
                <w:rFonts w:ascii="Arial" w:cs="Arial" w:eastAsia="Arial" w:hAnsi="Arial"/>
                <w:sz w:val="14"/>
                <w:szCs w:val="14"/>
                <w:b w:val="1"/>
                <w:bCs w:val="1"/>
                <w:color w:val="auto"/>
              </w:rPr>
              <w:t>Sales</w:t>
            </w: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2011</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Sales</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48"/>
        </w:trPr>
        <w:tc>
          <w:tcPr>
            <w:tcW w:w="1740" w:type="dxa"/>
            <w:vAlign w:val="bottom"/>
            <w:tcBorders>
              <w:left w:val="single" w:sz="8" w:color="auto"/>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vMerge w:val="continue"/>
          </w:tcPr>
          <w:p>
            <w:pPr>
              <w:spacing w:after="0"/>
              <w:rPr>
                <w:sz w:val="4"/>
                <w:szCs w:val="4"/>
                <w:color w:val="auto"/>
              </w:rPr>
            </w:pPr>
          </w:p>
        </w:tc>
        <w:tc>
          <w:tcPr>
            <w:tcW w:w="960" w:type="dxa"/>
            <w:vAlign w:val="bottom"/>
            <w:tcBorders>
              <w:bottom w:val="single" w:sz="8" w:color="auto"/>
              <w:right w:val="single" w:sz="8" w:color="auto"/>
            </w:tcBorders>
            <w:vMerge w:val="continue"/>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Chevrolet</w:t>
            </w:r>
          </w:p>
        </w:tc>
        <w:tc>
          <w:tcPr>
            <w:tcW w:w="108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177,943</w:t>
            </w:r>
          </w:p>
        </w:tc>
        <w:tc>
          <w:tcPr>
            <w:tcW w:w="1180" w:type="dxa"/>
            <w:vAlign w:val="bottom"/>
            <w:tcBorders>
              <w:right w:val="single" w:sz="8" w:color="auto"/>
            </w:tcBorders>
          </w:tcPr>
          <w:p>
            <w:pPr>
              <w:jc w:val="right"/>
              <w:ind w:right="348"/>
              <w:spacing w:after="0"/>
              <w:rPr>
                <w:sz w:val="20"/>
                <w:szCs w:val="20"/>
                <w:color w:val="auto"/>
              </w:rPr>
            </w:pPr>
            <w:r>
              <w:rPr>
                <w:rFonts w:ascii="Arial" w:cs="Arial" w:eastAsia="Arial" w:hAnsi="Arial"/>
                <w:sz w:val="14"/>
                <w:szCs w:val="14"/>
                <w:color w:val="auto"/>
              </w:rPr>
              <w:t>10.2%</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118,527</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16.3%</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781,564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4.5%</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525,446</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3.7%</w:t>
            </w:r>
          </w:p>
        </w:tc>
        <w:tc>
          <w:tcPr>
            <w:tcW w:w="0" w:type="dxa"/>
            <w:vAlign w:val="bottom"/>
          </w:tcPr>
          <w:p>
            <w:pPr>
              <w:spacing w:after="0"/>
              <w:rPr>
                <w:sz w:val="1"/>
                <w:szCs w:val="1"/>
                <w:color w:val="auto"/>
              </w:rPr>
            </w:pPr>
          </w:p>
        </w:tc>
      </w:tr>
      <w:tr>
        <w:trPr>
          <w:trHeight w:val="26"/>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GMC</w:t>
            </w:r>
          </w:p>
        </w:tc>
        <w:tc>
          <w:tcPr>
            <w:tcW w:w="108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38,877</w:t>
            </w:r>
          </w:p>
        </w:tc>
        <w:tc>
          <w:tcPr>
            <w:tcW w:w="1180" w:type="dxa"/>
            <w:vAlign w:val="bottom"/>
            <w:tcBorders>
              <w:right w:val="single" w:sz="8" w:color="auto"/>
            </w:tcBorders>
          </w:tcPr>
          <w:p>
            <w:pPr>
              <w:jc w:val="right"/>
              <w:ind w:right="348"/>
              <w:spacing w:after="0"/>
              <w:rPr>
                <w:sz w:val="20"/>
                <w:szCs w:val="20"/>
                <w:color w:val="auto"/>
              </w:rPr>
            </w:pPr>
            <w:r>
              <w:rPr>
                <w:rFonts w:ascii="Arial" w:cs="Arial" w:eastAsia="Arial" w:hAnsi="Arial"/>
                <w:sz w:val="14"/>
                <w:szCs w:val="14"/>
                <w:color w:val="auto"/>
              </w:rPr>
              <w:t>19.3%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30,320</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15.4%</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163,364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5.7%</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137,372</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2.8%</w:t>
            </w:r>
          </w:p>
        </w:tc>
        <w:tc>
          <w:tcPr>
            <w:tcW w:w="0" w:type="dxa"/>
            <w:vAlign w:val="bottom"/>
          </w:tcPr>
          <w:p>
            <w:pPr>
              <w:spacing w:after="0"/>
              <w:rPr>
                <w:sz w:val="1"/>
                <w:szCs w:val="1"/>
                <w:color w:val="auto"/>
              </w:rPr>
            </w:pPr>
          </w:p>
        </w:tc>
      </w:tr>
      <w:tr>
        <w:trPr>
          <w:trHeight w:val="26"/>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Buick</w:t>
            </w:r>
          </w:p>
        </w:tc>
        <w:tc>
          <w:tcPr>
            <w:tcW w:w="108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18,565</w:t>
            </w:r>
          </w:p>
        </w:tc>
        <w:tc>
          <w:tcPr>
            <w:tcW w:w="1180" w:type="dxa"/>
            <w:vAlign w:val="bottom"/>
            <w:tcBorders>
              <w:right w:val="single" w:sz="8" w:color="auto"/>
            </w:tcBorders>
          </w:tcPr>
          <w:p>
            <w:pPr>
              <w:jc w:val="right"/>
              <w:ind w:right="348"/>
              <w:spacing w:after="0"/>
              <w:rPr>
                <w:sz w:val="20"/>
                <w:szCs w:val="20"/>
                <w:color w:val="auto"/>
              </w:rPr>
            </w:pPr>
            <w:r>
              <w:rPr>
                <w:rFonts w:ascii="Arial" w:cs="Arial" w:eastAsia="Arial" w:hAnsi="Arial"/>
                <w:sz w:val="14"/>
                <w:szCs w:val="14"/>
                <w:color w:val="auto"/>
              </w:rPr>
              <w:t>19.2%</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14,468</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10.7%</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8"/>
              </w:rPr>
              <w:t>71,347</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(9.4%)</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63,373</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(1.7%)</w:t>
            </w:r>
          </w:p>
        </w:tc>
        <w:tc>
          <w:tcPr>
            <w:tcW w:w="0" w:type="dxa"/>
            <w:vAlign w:val="bottom"/>
          </w:tcPr>
          <w:p>
            <w:pPr>
              <w:spacing w:after="0"/>
              <w:rPr>
                <w:sz w:val="1"/>
                <w:szCs w:val="1"/>
                <w:color w:val="auto"/>
              </w:rPr>
            </w:pPr>
          </w:p>
        </w:tc>
      </w:tr>
      <w:tr>
        <w:trPr>
          <w:trHeight w:val="26"/>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Cadillac</w:t>
            </w:r>
          </w:p>
        </w:tc>
        <w:tc>
          <w:tcPr>
            <w:tcW w:w="108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9,871</w:t>
            </w:r>
          </w:p>
        </w:tc>
        <w:tc>
          <w:tcPr>
            <w:tcW w:w="1180" w:type="dxa"/>
            <w:vAlign w:val="bottom"/>
            <w:tcBorders>
              <w:right w:val="single" w:sz="8" w:color="auto"/>
            </w:tcBorders>
          </w:tcPr>
          <w:p>
            <w:pPr>
              <w:jc w:val="right"/>
              <w:ind w:right="308"/>
              <w:spacing w:after="0"/>
              <w:rPr>
                <w:sz w:val="20"/>
                <w:szCs w:val="20"/>
                <w:color w:val="auto"/>
              </w:rPr>
            </w:pPr>
            <w:r>
              <w:rPr>
                <w:rFonts w:ascii="Arial" w:cs="Arial" w:eastAsia="Arial" w:hAnsi="Arial"/>
                <w:sz w:val="14"/>
                <w:szCs w:val="14"/>
                <w:color w:val="auto"/>
              </w:rPr>
              <w:t>(15.1%)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9,550</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(2.9%)</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8"/>
              </w:rPr>
              <w:t>50,688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7"/>
              </w:rPr>
              <w:t>(22.3%)</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48,927</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(11.8%)</w:t>
            </w:r>
          </w:p>
        </w:tc>
        <w:tc>
          <w:tcPr>
            <w:tcW w:w="0" w:type="dxa"/>
            <w:vAlign w:val="bottom"/>
          </w:tcPr>
          <w:p>
            <w:pPr>
              <w:spacing w:after="0"/>
              <w:rPr>
                <w:sz w:val="1"/>
                <w:szCs w:val="1"/>
                <w:color w:val="auto"/>
              </w:rPr>
            </w:pPr>
          </w:p>
        </w:tc>
      </w:tr>
      <w:tr>
        <w:trPr>
          <w:trHeight w:val="26"/>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Total GM</w:t>
            </w:r>
          </w:p>
        </w:tc>
        <w:tc>
          <w:tcPr>
            <w:tcW w:w="108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245,256</w:t>
            </w:r>
          </w:p>
        </w:tc>
        <w:tc>
          <w:tcPr>
            <w:tcW w:w="1180" w:type="dxa"/>
            <w:vAlign w:val="bottom"/>
            <w:tcBorders>
              <w:right w:val="single" w:sz="8" w:color="auto"/>
            </w:tcBorders>
          </w:tcPr>
          <w:p>
            <w:pPr>
              <w:jc w:val="right"/>
              <w:ind w:right="348"/>
              <w:spacing w:after="0"/>
              <w:rPr>
                <w:sz w:val="20"/>
                <w:szCs w:val="20"/>
                <w:color w:val="auto"/>
              </w:rPr>
            </w:pPr>
            <w:r>
              <w:rPr>
                <w:rFonts w:ascii="Arial" w:cs="Arial" w:eastAsia="Arial" w:hAnsi="Arial"/>
                <w:sz w:val="14"/>
                <w:szCs w:val="14"/>
                <w:color w:val="auto"/>
              </w:rPr>
              <w:t>10.9%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172,865</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14.4%</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1,066,963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2%</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775,118</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8"/>
              </w:rPr>
              <w:t>2%</w:t>
            </w:r>
          </w:p>
        </w:tc>
        <w:tc>
          <w:tcPr>
            <w:tcW w:w="0" w:type="dxa"/>
            <w:vAlign w:val="bottom"/>
          </w:tcPr>
          <w:p>
            <w:pPr>
              <w:spacing w:after="0"/>
              <w:rPr>
                <w:sz w:val="1"/>
                <w:szCs w:val="1"/>
                <w:color w:val="auto"/>
              </w:rPr>
            </w:pPr>
          </w:p>
        </w:tc>
      </w:tr>
      <w:tr>
        <w:trPr>
          <w:trHeight w:val="26"/>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1440" w:gutter="0" w:footer="0" w:header="0"/>
        </w:sectPr>
      </w:pPr>
    </w:p>
    <w:bookmarkStart w:id="5" w:name="page6"/>
    <w:bookmarkEnd w:id="5"/>
    <w:p>
      <w:pPr>
        <w:spacing w:after="0" w:line="1" w:lineRule="exact"/>
        <w:rPr>
          <w:sz w:val="20"/>
          <w:szCs w:val="20"/>
          <w:color w:val="auto"/>
        </w:rPr>
      </w:pPr>
    </w:p>
    <w:tbl>
      <w:tblPr>
        <w:tblLayout w:type="fixed"/>
        <w:tblInd w:w="1310" w:type="dxa"/>
        <w:tblCellMar>
          <w:top w:w="0" w:type="dxa"/>
          <w:left w:w="0" w:type="dxa"/>
          <w:bottom w:w="0" w:type="dxa"/>
          <w:right w:w="0" w:type="dxa"/>
        </w:tblCellMar>
      </w:tblPr>
      <w:tr>
        <w:trPr>
          <w:trHeight w:val="231"/>
        </w:trPr>
        <w:tc>
          <w:tcPr>
            <w:tcW w:w="13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Industry Sales</w:t>
            </w:r>
          </w:p>
        </w:tc>
        <w:tc>
          <w:tcPr>
            <w:tcW w:w="460" w:type="dxa"/>
            <w:vAlign w:val="bottom"/>
            <w:tcBorders>
              <w:top w:val="single" w:sz="8" w:color="auto"/>
            </w:tcBorders>
          </w:tcPr>
          <w:p>
            <w:pPr>
              <w:spacing w:after="0"/>
              <w:rPr>
                <w:sz w:val="20"/>
                <w:szCs w:val="20"/>
                <w:color w:val="auto"/>
              </w:rPr>
            </w:pPr>
          </w:p>
        </w:tc>
        <w:tc>
          <w:tcPr>
            <w:tcW w:w="1580" w:type="dxa"/>
            <w:vAlign w:val="bottom"/>
            <w:tcBorders>
              <w:top w:val="single" w:sz="8" w:color="auto"/>
              <w:right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May SAAR (est.)</w:t>
            </w:r>
          </w:p>
        </w:tc>
        <w:tc>
          <w:tcPr>
            <w:tcW w:w="240" w:type="dxa"/>
            <w:vAlign w:val="bottom"/>
            <w:tcBorders>
              <w:top w:val="single" w:sz="8" w:color="auto"/>
            </w:tcBorders>
          </w:tcPr>
          <w:p>
            <w:pPr>
              <w:spacing w:after="0"/>
              <w:rPr>
                <w:sz w:val="20"/>
                <w:szCs w:val="20"/>
                <w:color w:val="auto"/>
              </w:rPr>
            </w:pPr>
          </w:p>
        </w:tc>
        <w:tc>
          <w:tcPr>
            <w:tcW w:w="1540" w:type="dxa"/>
            <w:vAlign w:val="bottom"/>
            <w:tcBorders>
              <w:top w:val="single" w:sz="8" w:color="auto"/>
              <w:right w:val="single" w:sz="8" w:color="auto"/>
            </w:tcBorders>
            <w:gridSpan w:val="3"/>
          </w:tcPr>
          <w:p>
            <w:pPr>
              <w:jc w:val="center"/>
              <w:ind w:right="188"/>
              <w:spacing w:after="0"/>
              <w:rPr>
                <w:sz w:val="20"/>
                <w:szCs w:val="20"/>
                <w:color w:val="auto"/>
              </w:rPr>
            </w:pPr>
            <w:r>
              <w:rPr>
                <w:rFonts w:ascii="Arial" w:cs="Arial" w:eastAsia="Arial" w:hAnsi="Arial"/>
                <w:sz w:val="14"/>
                <w:szCs w:val="14"/>
                <w:b w:val="1"/>
                <w:bCs w:val="1"/>
                <w:color w:val="auto"/>
                <w:w w:val="97"/>
              </w:rPr>
              <w:t>CYTD SAAR (est.)</w:t>
            </w:r>
          </w:p>
        </w:tc>
        <w:tc>
          <w:tcPr>
            <w:tcW w:w="52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center"/>
              <w:ind w:right="308"/>
              <w:spacing w:after="0"/>
              <w:rPr>
                <w:sz w:val="20"/>
                <w:szCs w:val="20"/>
                <w:color w:val="auto"/>
              </w:rPr>
            </w:pPr>
            <w:r>
              <w:rPr>
                <w:rFonts w:ascii="Arial" w:cs="Arial" w:eastAsia="Arial" w:hAnsi="Arial"/>
                <w:sz w:val="14"/>
                <w:szCs w:val="14"/>
                <w:b w:val="1"/>
                <w:bCs w:val="1"/>
                <w:color w:val="auto"/>
                <w:w w:val="92"/>
              </w:rPr>
              <w:t>Full Year 2012 (est.)</w:t>
            </w:r>
          </w:p>
        </w:tc>
        <w:tc>
          <w:tcPr>
            <w:tcW w:w="180" w:type="dxa"/>
            <w:vAlign w:val="bottom"/>
            <w:tcBorders>
              <w:top w:val="single" w:sz="8" w:color="auto"/>
              <w:right w:val="single" w:sz="8" w:color="auto"/>
            </w:tcBorders>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1340" w:type="dxa"/>
            <w:vAlign w:val="bottom"/>
            <w:tcBorders>
              <w:left w:val="single" w:sz="8" w:color="auto"/>
              <w:bottom w:val="single" w:sz="8" w:color="auto"/>
              <w:right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580" w:type="dxa"/>
            <w:vAlign w:val="bottom"/>
            <w:tcBorders>
              <w:bottom w:val="single" w:sz="8" w:color="auto"/>
              <w:right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40" w:type="dxa"/>
            <w:vAlign w:val="bottom"/>
            <w:tcBorders>
              <w:bottom w:val="single" w:sz="8" w:color="auto"/>
              <w:right w:val="single" w:sz="8" w:color="auto"/>
            </w:tcBorders>
            <w:gridSpan w:val="2"/>
          </w:tcPr>
          <w:p>
            <w:pPr>
              <w:spacing w:after="0"/>
              <w:rPr>
                <w:sz w:val="3"/>
                <w:szCs w:val="3"/>
                <w:color w:val="auto"/>
              </w:rPr>
            </w:pPr>
          </w:p>
        </w:tc>
        <w:tc>
          <w:tcPr>
            <w:tcW w:w="22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13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Light Vehicles</w:t>
            </w:r>
          </w:p>
        </w:tc>
        <w:tc>
          <w:tcPr>
            <w:tcW w:w="460" w:type="dxa"/>
            <w:vAlign w:val="bottom"/>
          </w:tcPr>
          <w:p>
            <w:pPr>
              <w:spacing w:after="0"/>
              <w:rPr>
                <w:sz w:val="18"/>
                <w:szCs w:val="18"/>
                <w:color w:val="auto"/>
              </w:rPr>
            </w:pPr>
          </w:p>
        </w:tc>
        <w:tc>
          <w:tcPr>
            <w:tcW w:w="158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14.0 million range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Borders>
              <w:right w:val="single" w:sz="8" w:color="auto"/>
            </w:tcBorders>
            <w:gridSpan w:val="2"/>
          </w:tcPr>
          <w:p>
            <w:pPr>
              <w:jc w:val="center"/>
              <w:ind w:right="388"/>
              <w:spacing w:after="0"/>
              <w:rPr>
                <w:sz w:val="20"/>
                <w:szCs w:val="20"/>
                <w:color w:val="auto"/>
              </w:rPr>
            </w:pPr>
            <w:r>
              <w:rPr>
                <w:rFonts w:ascii="Arial" w:cs="Arial" w:eastAsia="Arial" w:hAnsi="Arial"/>
                <w:sz w:val="14"/>
                <w:szCs w:val="14"/>
                <w:color w:val="auto"/>
              </w:rPr>
              <w:t>14.4 million</w:t>
            </w:r>
          </w:p>
        </w:tc>
        <w:tc>
          <w:tcPr>
            <w:tcW w:w="2280" w:type="dxa"/>
            <w:vAlign w:val="bottom"/>
            <w:gridSpan w:val="2"/>
          </w:tcPr>
          <w:p>
            <w:pPr>
              <w:jc w:val="center"/>
              <w:ind w:left="68"/>
              <w:spacing w:after="0"/>
              <w:rPr>
                <w:sz w:val="20"/>
                <w:szCs w:val="20"/>
                <w:color w:val="auto"/>
              </w:rPr>
            </w:pPr>
            <w:r>
              <w:rPr>
                <w:rFonts w:ascii="Arial" w:cs="Arial" w:eastAsia="Arial" w:hAnsi="Arial"/>
                <w:sz w:val="14"/>
                <w:szCs w:val="14"/>
                <w:color w:val="auto"/>
                <w:w w:val="99"/>
              </w:rPr>
              <w:t>14.0 million - 14.5 million</w:t>
            </w:r>
          </w:p>
        </w:tc>
        <w:tc>
          <w:tcPr>
            <w:tcW w:w="18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1340" w:type="dxa"/>
            <w:vAlign w:val="bottom"/>
            <w:tcBorders>
              <w:left w:val="single" w:sz="8" w:color="auto"/>
              <w:bottom w:val="single" w:sz="8" w:color="auto"/>
              <w:right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1800" w:type="dxa"/>
            <w:vAlign w:val="bottom"/>
            <w:tcBorders>
              <w:left w:val="single" w:sz="8" w:color="auto"/>
            </w:tcBorders>
            <w:gridSpan w:val="2"/>
            <w:vMerge w:val="restart"/>
          </w:tcPr>
          <w:p>
            <w:pPr>
              <w:jc w:val="center"/>
              <w:ind w:left="728"/>
              <w:spacing w:after="0"/>
              <w:rPr>
                <w:sz w:val="20"/>
                <w:szCs w:val="20"/>
                <w:color w:val="auto"/>
              </w:rPr>
            </w:pPr>
            <w:r>
              <w:rPr>
                <w:rFonts w:ascii="Arial" w:cs="Arial" w:eastAsia="Arial" w:hAnsi="Arial"/>
                <w:sz w:val="14"/>
                <w:szCs w:val="14"/>
                <w:b w:val="1"/>
                <w:bCs w:val="1"/>
                <w:color w:val="auto"/>
                <w:w w:val="95"/>
              </w:rPr>
              <w:t>Inventory</w:t>
            </w:r>
          </w:p>
        </w:tc>
        <w:tc>
          <w:tcPr>
            <w:tcW w:w="800" w:type="dxa"/>
            <w:vAlign w:val="bottom"/>
            <w:tcBorders>
              <w:right w:val="single" w:sz="8" w:color="auto"/>
            </w:tcBorders>
          </w:tcPr>
          <w:p>
            <w:pPr>
              <w:spacing w:after="0"/>
              <w:rPr>
                <w:sz w:val="13"/>
                <w:szCs w:val="13"/>
                <w:color w:val="auto"/>
              </w:rPr>
            </w:pPr>
          </w:p>
        </w:tc>
        <w:tc>
          <w:tcPr>
            <w:tcW w:w="1020" w:type="dxa"/>
            <w:vAlign w:val="bottom"/>
            <w:gridSpan w:val="2"/>
          </w:tcPr>
          <w:p>
            <w:pPr>
              <w:jc w:val="center"/>
              <w:ind w:left="288"/>
              <w:spacing w:after="0" w:line="160" w:lineRule="exact"/>
              <w:rPr>
                <w:sz w:val="20"/>
                <w:szCs w:val="20"/>
                <w:color w:val="auto"/>
              </w:rPr>
            </w:pPr>
            <w:r>
              <w:rPr>
                <w:rFonts w:ascii="Arial" w:cs="Arial" w:eastAsia="Arial" w:hAnsi="Arial"/>
                <w:sz w:val="14"/>
                <w:szCs w:val="14"/>
                <w:b w:val="1"/>
                <w:bCs w:val="1"/>
                <w:color w:val="auto"/>
              </w:rPr>
              <w:t>Units @</w:t>
            </w:r>
          </w:p>
        </w:tc>
        <w:tc>
          <w:tcPr>
            <w:tcW w:w="20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680" w:type="dxa"/>
            <w:vAlign w:val="bottom"/>
            <w:tcBorders>
              <w:right w:val="single" w:sz="8" w:color="auto"/>
            </w:tcBorders>
            <w:gridSpan w:val="2"/>
          </w:tcPr>
          <w:p>
            <w:pPr>
              <w:jc w:val="center"/>
              <w:spacing w:after="0" w:line="160" w:lineRule="exact"/>
              <w:rPr>
                <w:sz w:val="20"/>
                <w:szCs w:val="20"/>
                <w:color w:val="auto"/>
              </w:rPr>
            </w:pPr>
            <w:r>
              <w:rPr>
                <w:rFonts w:ascii="Arial" w:cs="Arial" w:eastAsia="Arial" w:hAnsi="Arial"/>
                <w:sz w:val="14"/>
                <w:szCs w:val="14"/>
                <w:b w:val="1"/>
                <w:bCs w:val="1"/>
                <w:color w:val="auto"/>
                <w:w w:val="90"/>
              </w:rPr>
              <w:t>Days Supply (selling days</w:t>
            </w:r>
          </w:p>
        </w:tc>
        <w:tc>
          <w:tcPr>
            <w:tcW w:w="17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4"/>
                <w:szCs w:val="14"/>
                <w:b w:val="1"/>
                <w:bCs w:val="1"/>
                <w:color w:val="auto"/>
              </w:rPr>
              <w:t>Units @</w:t>
            </w:r>
          </w:p>
        </w:tc>
        <w:tc>
          <w:tcPr>
            <w:tcW w:w="1400" w:type="dxa"/>
            <w:vAlign w:val="bottom"/>
            <w:tcBorders>
              <w:right w:val="single" w:sz="8" w:color="auto"/>
            </w:tcBorders>
            <w:gridSpan w:val="2"/>
          </w:tcPr>
          <w:p>
            <w:pPr>
              <w:jc w:val="center"/>
              <w:spacing w:after="0" w:line="160" w:lineRule="exact"/>
              <w:rPr>
                <w:sz w:val="20"/>
                <w:szCs w:val="20"/>
                <w:color w:val="auto"/>
              </w:rPr>
            </w:pPr>
            <w:r>
              <w:rPr>
                <w:rFonts w:ascii="Arial" w:cs="Arial" w:eastAsia="Arial" w:hAnsi="Arial"/>
                <w:sz w:val="14"/>
                <w:szCs w:val="14"/>
                <w:b w:val="1"/>
                <w:bCs w:val="1"/>
                <w:color w:val="auto"/>
                <w:w w:val="91"/>
              </w:rPr>
              <w:t>Days Supply (selling</w:t>
            </w:r>
          </w:p>
        </w:tc>
        <w:tc>
          <w:tcPr>
            <w:tcW w:w="0" w:type="dxa"/>
            <w:vAlign w:val="bottom"/>
          </w:tcPr>
          <w:p>
            <w:pPr>
              <w:spacing w:after="0"/>
              <w:rPr>
                <w:sz w:val="1"/>
                <w:szCs w:val="1"/>
                <w:color w:val="auto"/>
              </w:rPr>
            </w:pPr>
          </w:p>
        </w:tc>
      </w:tr>
      <w:tr>
        <w:trPr>
          <w:trHeight w:val="105"/>
        </w:trPr>
        <w:tc>
          <w:tcPr>
            <w:tcW w:w="1800" w:type="dxa"/>
            <w:vAlign w:val="bottom"/>
            <w:tcBorders>
              <w:left w:val="single" w:sz="8" w:color="auto"/>
            </w:tcBorders>
            <w:gridSpan w:val="2"/>
            <w:vMerge w:val="continue"/>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1220" w:type="dxa"/>
            <w:vAlign w:val="bottom"/>
            <w:gridSpan w:val="3"/>
            <w:vMerge w:val="restart"/>
          </w:tcPr>
          <w:p>
            <w:pPr>
              <w:jc w:val="center"/>
              <w:ind w:left="68"/>
              <w:spacing w:after="0"/>
              <w:rPr>
                <w:sz w:val="20"/>
                <w:szCs w:val="20"/>
                <w:color w:val="auto"/>
              </w:rPr>
            </w:pPr>
            <w:r>
              <w:rPr>
                <w:rFonts w:ascii="Arial" w:cs="Arial" w:eastAsia="Arial" w:hAnsi="Arial"/>
                <w:sz w:val="14"/>
                <w:szCs w:val="14"/>
                <w:b w:val="1"/>
                <w:bCs w:val="1"/>
                <w:color w:val="auto"/>
              </w:rPr>
              <w:t>May 31, 2012</w:t>
            </w:r>
          </w:p>
        </w:tc>
        <w:tc>
          <w:tcPr>
            <w:tcW w:w="180" w:type="dxa"/>
            <w:vAlign w:val="bottom"/>
            <w:tcBorders>
              <w:right w:val="single" w:sz="8" w:color="auto"/>
            </w:tcBorders>
          </w:tcPr>
          <w:p>
            <w:pPr>
              <w:spacing w:after="0"/>
              <w:rPr>
                <w:sz w:val="9"/>
                <w:szCs w:val="9"/>
                <w:color w:val="auto"/>
              </w:rPr>
            </w:pPr>
          </w:p>
        </w:tc>
        <w:tc>
          <w:tcPr>
            <w:tcW w:w="1160" w:type="dxa"/>
            <w:vAlign w:val="bottom"/>
            <w:vMerge w:val="restart"/>
          </w:tcPr>
          <w:p>
            <w:pPr>
              <w:jc w:val="center"/>
              <w:ind w:left="428"/>
              <w:spacing w:after="0"/>
              <w:rPr>
                <w:sz w:val="20"/>
                <w:szCs w:val="20"/>
                <w:color w:val="auto"/>
              </w:rPr>
            </w:pPr>
            <w:r>
              <w:rPr>
                <w:rFonts w:ascii="Arial" w:cs="Arial" w:eastAsia="Arial" w:hAnsi="Arial"/>
                <w:sz w:val="14"/>
                <w:szCs w:val="14"/>
                <w:b w:val="1"/>
                <w:bCs w:val="1"/>
                <w:color w:val="auto"/>
                <w:w w:val="93"/>
              </w:rPr>
              <w:t>adjusted)</w:t>
            </w:r>
          </w:p>
        </w:tc>
        <w:tc>
          <w:tcPr>
            <w:tcW w:w="520" w:type="dxa"/>
            <w:vAlign w:val="bottom"/>
            <w:tcBorders>
              <w:right w:val="single" w:sz="8" w:color="auto"/>
            </w:tcBorders>
          </w:tcPr>
          <w:p>
            <w:pPr>
              <w:spacing w:after="0"/>
              <w:rPr>
                <w:sz w:val="9"/>
                <w:szCs w:val="9"/>
                <w:color w:val="auto"/>
              </w:rPr>
            </w:pPr>
          </w:p>
        </w:tc>
        <w:tc>
          <w:tcPr>
            <w:tcW w:w="1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April 30, 2012</w:t>
            </w:r>
          </w:p>
        </w:tc>
        <w:tc>
          <w:tcPr>
            <w:tcW w:w="180" w:type="dxa"/>
            <w:vAlign w:val="bottom"/>
          </w:tcPr>
          <w:p>
            <w:pPr>
              <w:spacing w:after="0"/>
              <w:rPr>
                <w:sz w:val="9"/>
                <w:szCs w:val="9"/>
                <w:color w:val="auto"/>
              </w:rPr>
            </w:pPr>
          </w:p>
        </w:tc>
        <w:tc>
          <w:tcPr>
            <w:tcW w:w="1220" w:type="dxa"/>
            <w:vAlign w:val="bottom"/>
            <w:tcBorders>
              <w:right w:val="single" w:sz="8" w:color="auto"/>
            </w:tcBorders>
            <w:vMerge w:val="restart"/>
          </w:tcPr>
          <w:p>
            <w:pPr>
              <w:jc w:val="center"/>
              <w:ind w:right="128"/>
              <w:spacing w:after="0"/>
              <w:rPr>
                <w:sz w:val="20"/>
                <w:szCs w:val="20"/>
                <w:color w:val="auto"/>
              </w:rPr>
            </w:pPr>
            <w:r>
              <w:rPr>
                <w:rFonts w:ascii="Arial" w:cs="Arial" w:eastAsia="Arial" w:hAnsi="Arial"/>
                <w:sz w:val="14"/>
                <w:szCs w:val="14"/>
                <w:b w:val="1"/>
                <w:bCs w:val="1"/>
                <w:color w:val="auto"/>
                <w:w w:val="91"/>
              </w:rPr>
              <w:t>days adjusted)</w:t>
            </w:r>
          </w:p>
        </w:tc>
        <w:tc>
          <w:tcPr>
            <w:tcW w:w="0" w:type="dxa"/>
            <w:vAlign w:val="bottom"/>
          </w:tcPr>
          <w:p>
            <w:pPr>
              <w:spacing w:after="0"/>
              <w:rPr>
                <w:sz w:val="1"/>
                <w:szCs w:val="1"/>
                <w:color w:val="auto"/>
              </w:rPr>
            </w:pPr>
          </w:p>
        </w:tc>
      </w:tr>
      <w:tr>
        <w:trPr>
          <w:trHeight w:val="101"/>
        </w:trPr>
        <w:tc>
          <w:tcPr>
            <w:tcW w:w="1340" w:type="dxa"/>
            <w:vAlign w:val="bottom"/>
            <w:tcBorders>
              <w:left w:val="single" w:sz="8" w:color="auto"/>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1220" w:type="dxa"/>
            <w:vAlign w:val="bottom"/>
            <w:tcBorders>
              <w:bottom w:val="single" w:sz="8" w:color="auto"/>
            </w:tcBorders>
            <w:gridSpan w:val="3"/>
            <w:vMerge w:val="continue"/>
          </w:tcPr>
          <w:p>
            <w:pPr>
              <w:spacing w:after="0"/>
              <w:rPr>
                <w:sz w:val="8"/>
                <w:szCs w:val="8"/>
                <w:color w:val="auto"/>
              </w:rPr>
            </w:pPr>
          </w:p>
        </w:tc>
        <w:tc>
          <w:tcPr>
            <w:tcW w:w="180" w:type="dxa"/>
            <w:vAlign w:val="bottom"/>
            <w:tcBorders>
              <w:bottom w:val="single" w:sz="8" w:color="auto"/>
              <w:right w:val="single" w:sz="8" w:color="auto"/>
            </w:tcBorders>
          </w:tcPr>
          <w:p>
            <w:pPr>
              <w:spacing w:after="0"/>
              <w:rPr>
                <w:sz w:val="8"/>
                <w:szCs w:val="8"/>
                <w:color w:val="auto"/>
              </w:rPr>
            </w:pPr>
          </w:p>
        </w:tc>
        <w:tc>
          <w:tcPr>
            <w:tcW w:w="1160" w:type="dxa"/>
            <w:vAlign w:val="bottom"/>
            <w:tcBorders>
              <w:bottom w:val="single" w:sz="8" w:color="auto"/>
            </w:tcBorders>
            <w:vMerge w:val="continue"/>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1760" w:type="dxa"/>
            <w:vAlign w:val="bottom"/>
            <w:tcBorders>
              <w:bottom w:val="single" w:sz="8" w:color="auto"/>
              <w:right w:val="single" w:sz="8" w:color="auto"/>
            </w:tcBorders>
            <w:vMerge w:val="continue"/>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2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800" w:type="dxa"/>
            <w:vAlign w:val="bottom"/>
            <w:tcBorders>
              <w:left w:val="single" w:sz="8" w:color="auto"/>
              <w:bottom w:val="single" w:sz="8" w:color="auto"/>
            </w:tcBorders>
            <w:gridSpan w:val="2"/>
          </w:tcPr>
          <w:p>
            <w:pPr>
              <w:jc w:val="center"/>
              <w:ind w:left="708"/>
              <w:spacing w:after="0"/>
              <w:rPr>
                <w:sz w:val="20"/>
                <w:szCs w:val="20"/>
                <w:color w:val="auto"/>
              </w:rPr>
            </w:pPr>
            <w:r>
              <w:rPr>
                <w:rFonts w:ascii="Arial" w:cs="Arial" w:eastAsia="Arial" w:hAnsi="Arial"/>
                <w:sz w:val="14"/>
                <w:szCs w:val="14"/>
                <w:color w:val="auto"/>
                <w:w w:val="96"/>
              </w:rPr>
              <w:t>All Vehicles</w:t>
            </w:r>
          </w:p>
        </w:tc>
        <w:tc>
          <w:tcPr>
            <w:tcW w:w="8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left="288"/>
              <w:spacing w:after="0"/>
              <w:rPr>
                <w:sz w:val="20"/>
                <w:szCs w:val="20"/>
                <w:color w:val="auto"/>
              </w:rPr>
            </w:pPr>
            <w:r>
              <w:rPr>
                <w:rFonts w:ascii="Arial" w:cs="Arial" w:eastAsia="Arial" w:hAnsi="Arial"/>
                <w:sz w:val="14"/>
                <w:szCs w:val="14"/>
                <w:color w:val="auto"/>
                <w:w w:val="90"/>
              </w:rPr>
              <w:t>694,600</w:t>
            </w:r>
          </w:p>
        </w:tc>
        <w:tc>
          <w:tcPr>
            <w:tcW w:w="20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74</w:t>
            </w:r>
          </w:p>
        </w:tc>
        <w:tc>
          <w:tcPr>
            <w:tcW w:w="520" w:type="dxa"/>
            <w:vAlign w:val="bottom"/>
            <w:tcBorders>
              <w:bottom w:val="single" w:sz="8" w:color="auto"/>
              <w:right w:val="single" w:sz="8" w:color="auto"/>
            </w:tcBorders>
          </w:tcPr>
          <w:p>
            <w:pPr>
              <w:spacing w:after="0"/>
              <w:rPr>
                <w:sz w:val="17"/>
                <w:szCs w:val="17"/>
                <w:color w:val="auto"/>
              </w:rPr>
            </w:pP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701,389</w:t>
            </w:r>
          </w:p>
        </w:tc>
        <w:tc>
          <w:tcPr>
            <w:tcW w:w="1400" w:type="dxa"/>
            <w:vAlign w:val="bottom"/>
            <w:tcBorders>
              <w:bottom w:val="single" w:sz="8" w:color="auto"/>
              <w:right w:val="single" w:sz="8" w:color="auto"/>
            </w:tcBorders>
            <w:gridSpan w:val="2"/>
          </w:tcPr>
          <w:p>
            <w:pPr>
              <w:jc w:val="right"/>
              <w:ind w:right="568"/>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96"/>
        </w:trPr>
        <w:tc>
          <w:tcPr>
            <w:tcW w:w="1800" w:type="dxa"/>
            <w:vAlign w:val="bottom"/>
            <w:tcBorders>
              <w:left w:val="single" w:sz="8" w:color="auto"/>
              <w:bottom w:val="single" w:sz="8" w:color="auto"/>
            </w:tcBorders>
            <w:gridSpan w:val="2"/>
          </w:tcPr>
          <w:p>
            <w:pPr>
              <w:jc w:val="center"/>
              <w:ind w:left="728"/>
              <w:spacing w:after="0"/>
              <w:rPr>
                <w:sz w:val="20"/>
                <w:szCs w:val="20"/>
                <w:color w:val="auto"/>
              </w:rPr>
            </w:pPr>
            <w:r>
              <w:rPr>
                <w:rFonts w:ascii="Arial" w:cs="Arial" w:eastAsia="Arial" w:hAnsi="Arial"/>
                <w:sz w:val="14"/>
                <w:szCs w:val="14"/>
                <w:color w:val="auto"/>
                <w:w w:val="95"/>
              </w:rPr>
              <w:t>Full-size Pickups</w:t>
            </w:r>
          </w:p>
        </w:tc>
        <w:tc>
          <w:tcPr>
            <w:tcW w:w="8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left="288"/>
              <w:spacing w:after="0"/>
              <w:rPr>
                <w:sz w:val="20"/>
                <w:szCs w:val="20"/>
                <w:color w:val="auto"/>
              </w:rPr>
            </w:pPr>
            <w:r>
              <w:rPr>
                <w:rFonts w:ascii="Arial" w:cs="Arial" w:eastAsia="Arial" w:hAnsi="Arial"/>
                <w:sz w:val="14"/>
                <w:szCs w:val="14"/>
                <w:color w:val="auto"/>
                <w:w w:val="90"/>
              </w:rPr>
              <w:t>223,296</w:t>
            </w:r>
          </w:p>
        </w:tc>
        <w:tc>
          <w:tcPr>
            <w:tcW w:w="20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116</w:t>
            </w:r>
          </w:p>
        </w:tc>
        <w:tc>
          <w:tcPr>
            <w:tcW w:w="520" w:type="dxa"/>
            <w:vAlign w:val="bottom"/>
            <w:tcBorders>
              <w:bottom w:val="single" w:sz="8" w:color="auto"/>
              <w:right w:val="single" w:sz="8" w:color="auto"/>
            </w:tcBorders>
          </w:tcPr>
          <w:p>
            <w:pPr>
              <w:spacing w:after="0"/>
              <w:rPr>
                <w:sz w:val="17"/>
                <w:szCs w:val="17"/>
                <w:color w:val="auto"/>
              </w:rPr>
            </w:pP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226,585</w:t>
            </w:r>
          </w:p>
        </w:tc>
        <w:tc>
          <w:tcPr>
            <w:tcW w:w="1400" w:type="dxa"/>
            <w:vAlign w:val="bottom"/>
            <w:tcBorders>
              <w:bottom w:val="single" w:sz="8" w:color="auto"/>
              <w:right w:val="single" w:sz="8" w:color="auto"/>
            </w:tcBorders>
            <w:gridSpan w:val="2"/>
          </w:tcPr>
          <w:p>
            <w:pPr>
              <w:jc w:val="right"/>
              <w:ind w:right="528"/>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color w:val="auto"/>
        </w:rPr>
        <w:t xml:space="preserve">General Motors Co. </w:t>
      </w:r>
      <w:r>
        <w:rPr>
          <w:rFonts w:ascii="Arial" w:cs="Arial" w:eastAsia="Arial" w:hAnsi="Arial"/>
          <w:sz w:val="18"/>
          <w:szCs w:val="18"/>
          <w:color w:val="auto"/>
        </w:rPr>
        <w:t>(NYSE:GM, TSX: GMM) and its partners produce vehicles in 30 countries, and the company has leadership positions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world's largest and fastest-growing automotive markets. GM's brands include Chevrolet and Cadillac, as well as Baojun, Buick, GMC, Holden, Isuzu, Jiefang, Opel, Vauxhall and Wuling. More information on the company and its subsidiaries, including OnStar, a global leader in vehicle safety, security and information services, can be found at </w:t>
      </w:r>
      <w:r>
        <w:rPr>
          <w:rFonts w:ascii="Arial" w:cs="Arial" w:eastAsia="Arial" w:hAnsi="Arial"/>
          <w:sz w:val="18"/>
          <w:szCs w:val="18"/>
          <w:u w:val="single" w:color="auto"/>
          <w:color w:val="auto"/>
        </w:rPr>
        <w:t>http://www.gm.com</w:t>
      </w:r>
      <w:r>
        <w:rPr>
          <w:rFonts w:ascii="Arial" w:cs="Arial" w:eastAsia="Arial" w:hAnsi="Arial"/>
          <w:sz w:val="18"/>
          <w:szCs w:val="18"/>
          <w:color w:val="auto"/>
        </w:rPr>
        <w:t>.</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Jim Cain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313-407-2843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james.cain@gm.com</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9"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planned significant investment in new technology; the ability of our suppliers to timely deliver parts, components and systems; our ability to realize successful vehicle applications of new technology; and our ability to continue to attract new customers, particularly for our new products. GM's most recent annual report on Form 10-K and quarterly reports on Form 10-Q provides information about these and other factors, which we may revise or supplement in future reports to the SEC.</w:t>
      </w:r>
    </w:p>
    <w:p>
      <w:pPr>
        <w:sectPr>
          <w:pgSz w:w="11900" w:h="16838" w:orient="portrait"/>
          <w:cols w:equalWidth="0" w:num="1">
            <w:col w:w="11360"/>
          </w:cols>
          <w:pgMar w:left="240" w:top="930" w:right="29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99"/>
        </w:trPr>
        <w:tc>
          <w:tcPr>
            <w:tcW w:w="2480" w:type="dxa"/>
            <w:vAlign w:val="bottom"/>
            <w:tcBorders>
              <w:top w:val="single" w:sz="8" w:color="auto"/>
              <w:left w:val="single" w:sz="8" w:color="auto"/>
              <w:right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right"/>
              <w:ind w:right="548"/>
              <w:spacing w:after="0"/>
              <w:rPr>
                <w:sz w:val="20"/>
                <w:szCs w:val="20"/>
                <w:color w:val="auto"/>
              </w:rPr>
            </w:pPr>
            <w:r>
              <w:rPr>
                <w:rFonts w:ascii="Arial" w:cs="Arial" w:eastAsia="Arial" w:hAnsi="Arial"/>
                <w:sz w:val="14"/>
                <w:szCs w:val="14"/>
                <w:color w:val="auto"/>
              </w:rPr>
              <w:t>May</w:t>
            </w:r>
          </w:p>
        </w:tc>
        <w:tc>
          <w:tcPr>
            <w:tcW w:w="1080" w:type="dxa"/>
            <w:vAlign w:val="bottom"/>
            <w:tcBorders>
              <w:top w:val="single" w:sz="8" w:color="auto"/>
              <w:right w:val="single" w:sz="8" w:color="auto"/>
            </w:tcBorders>
          </w:tcPr>
          <w:p>
            <w:pPr>
              <w:spacing w:after="0"/>
              <w:rPr>
                <w:sz w:val="24"/>
                <w:szCs w:val="24"/>
                <w:color w:val="auto"/>
              </w:rPr>
            </w:pPr>
          </w:p>
        </w:tc>
        <w:tc>
          <w:tcPr>
            <w:tcW w:w="2500" w:type="dxa"/>
            <w:vAlign w:val="bottom"/>
            <w:tcBorders>
              <w:top w:val="single" w:sz="8" w:color="auto"/>
            </w:tcBorders>
            <w:gridSpan w:val="2"/>
          </w:tcPr>
          <w:p>
            <w:pPr>
              <w:jc w:val="right"/>
              <w:ind w:right="88"/>
              <w:spacing w:after="0"/>
              <w:rPr>
                <w:sz w:val="20"/>
                <w:szCs w:val="20"/>
                <w:color w:val="auto"/>
              </w:rPr>
            </w:pPr>
            <w:r>
              <w:rPr>
                <w:rFonts w:ascii="Arial" w:cs="Arial" w:eastAsia="Arial" w:hAnsi="Arial"/>
                <w:sz w:val="14"/>
                <w:szCs w:val="14"/>
                <w:color w:val="auto"/>
              </w:rPr>
              <w:t>(Calendar Year-to-Date)</w:t>
            </w:r>
          </w:p>
        </w:tc>
        <w:tc>
          <w:tcPr>
            <w:tcW w:w="940" w:type="dxa"/>
            <w:vAlign w:val="bottom"/>
            <w:tcBorders>
              <w:top w:val="single" w:sz="8" w:color="auto"/>
              <w:right w:val="single" w:sz="8" w:color="auto"/>
            </w:tcBorders>
          </w:tcPr>
          <w:p>
            <w:pPr>
              <w:spacing w:after="0"/>
              <w:rPr>
                <w:sz w:val="24"/>
                <w:szCs w:val="24"/>
                <w:color w:val="auto"/>
              </w:rPr>
            </w:pPr>
          </w:p>
        </w:tc>
      </w:tr>
      <w:tr>
        <w:trPr>
          <w:trHeight w:val="289"/>
        </w:trPr>
        <w:tc>
          <w:tcPr>
            <w:tcW w:w="2480" w:type="dxa"/>
            <w:vAlign w:val="bottom"/>
            <w:tcBorders>
              <w:left w:val="single" w:sz="8" w:color="auto"/>
              <w:right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January - May</w:t>
            </w:r>
          </w:p>
        </w:tc>
        <w:tc>
          <w:tcPr>
            <w:tcW w:w="940" w:type="dxa"/>
            <w:vAlign w:val="bottom"/>
            <w:tcBorders>
              <w:bottom w:val="single" w:sz="8" w:color="auto"/>
              <w:right w:val="single" w:sz="8" w:color="auto"/>
            </w:tcBorders>
          </w:tcPr>
          <w:p>
            <w:pPr>
              <w:spacing w:after="0"/>
              <w:rPr>
                <w:sz w:val="24"/>
                <w:szCs w:val="24"/>
                <w:color w:val="auto"/>
              </w:rPr>
            </w:pPr>
          </w:p>
        </w:tc>
      </w:tr>
      <w:tr>
        <w:trPr>
          <w:trHeight w:val="157"/>
        </w:trPr>
        <w:tc>
          <w:tcPr>
            <w:tcW w:w="2480" w:type="dxa"/>
            <w:vAlign w:val="bottom"/>
            <w:tcBorders>
              <w:left w:val="single" w:sz="8" w:color="auto"/>
              <w:right w:val="single" w:sz="8" w:color="auto"/>
            </w:tcBorders>
          </w:tcPr>
          <w:p>
            <w:pPr>
              <w:spacing w:after="0"/>
              <w:rPr>
                <w:sz w:val="13"/>
                <w:szCs w:val="13"/>
                <w:color w:val="auto"/>
              </w:rPr>
            </w:pPr>
          </w:p>
        </w:tc>
        <w:tc>
          <w:tcPr>
            <w:tcW w:w="1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80" w:type="dxa"/>
            <w:vAlign w:val="bottom"/>
            <w:tcBorders>
              <w:right w:val="single" w:sz="8" w:color="auto"/>
            </w:tcBorders>
          </w:tcPr>
          <w:p>
            <w:pPr>
              <w:jc w:val="right"/>
              <w:ind w:right="168"/>
              <w:spacing w:after="0" w:line="157" w:lineRule="exact"/>
              <w:rPr>
                <w:sz w:val="20"/>
                <w:szCs w:val="20"/>
                <w:color w:val="auto"/>
              </w:rPr>
            </w:pPr>
            <w:r>
              <w:rPr>
                <w:rFonts w:ascii="Arial" w:cs="Arial" w:eastAsia="Arial" w:hAnsi="Arial"/>
                <w:sz w:val="14"/>
                <w:szCs w:val="14"/>
                <w:color w:val="auto"/>
              </w:rPr>
              <w:t>%Change</w:t>
            </w:r>
          </w:p>
        </w:tc>
        <w:tc>
          <w:tcPr>
            <w:tcW w:w="1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40" w:type="dxa"/>
            <w:vAlign w:val="bottom"/>
            <w:tcBorders>
              <w:right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%Change</w:t>
            </w:r>
          </w:p>
        </w:tc>
      </w:tr>
      <w:tr>
        <w:trPr>
          <w:trHeight w:val="215"/>
        </w:trPr>
        <w:tc>
          <w:tcPr>
            <w:tcW w:w="2480" w:type="dxa"/>
            <w:vAlign w:val="bottom"/>
            <w:tcBorders>
              <w:left w:val="single" w:sz="8" w:color="auto"/>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2012</w:t>
            </w: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2011</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Volume</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2012</w:t>
            </w:r>
          </w:p>
        </w:tc>
        <w:tc>
          <w:tcPr>
            <w:tcW w:w="13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2011</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Volume</w:t>
            </w:r>
          </w:p>
        </w:tc>
      </w:tr>
      <w:tr>
        <w:trPr>
          <w:trHeight w:val="258"/>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Enclave</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6,709</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4,323</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55.2</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22,659</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23,998</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(5.6)</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LaCrosse</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5,663</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4,774</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18.6</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23,686</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23,362</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1.4</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Lucerne</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34</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2,235</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(98.5)</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922</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12,916</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(92.9)</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Regal</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2,550</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4,247</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(40.0)</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12,502</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18,455</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(32.3)</w:t>
            </w:r>
          </w:p>
        </w:tc>
      </w:tr>
      <w:tr>
        <w:trPr>
          <w:trHeight w:val="276"/>
        </w:trPr>
        <w:tc>
          <w:tcPr>
            <w:tcW w:w="24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Verano</w:t>
            </w:r>
          </w:p>
        </w:tc>
        <w:tc>
          <w:tcPr>
            <w:tcW w:w="13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3,609</w:t>
            </w: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11,578</w:t>
            </w:r>
          </w:p>
        </w:tc>
        <w:tc>
          <w:tcPr>
            <w:tcW w:w="13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Buick Total</w:t>
            </w:r>
          </w:p>
        </w:tc>
        <w:tc>
          <w:tcPr>
            <w:tcW w:w="13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18,565</w:t>
            </w: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15,579</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19.2</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71,347</w:t>
            </w:r>
          </w:p>
        </w:tc>
        <w:tc>
          <w:tcPr>
            <w:tcW w:w="13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78,731</w:t>
            </w:r>
          </w:p>
        </w:tc>
        <w:tc>
          <w:tcPr>
            <w:tcW w:w="94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(9.4)</w:t>
            </w:r>
          </w:p>
        </w:tc>
      </w:tr>
      <w:tr>
        <w:trPr>
          <w:trHeight w:val="258"/>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CTS</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4,161</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4,288</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(3.0)</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20,437</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22,807</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(10.4)</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DTS</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75</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1,496</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(95.0)</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350</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7,859</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(95.5)</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Escalade</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916</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1,024</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(10.5)</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4,830</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5,988</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(19.3)</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Escalade ESV</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669</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612</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9.3</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3,089</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3,220</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(4.1)</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Escalade EXT</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137</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150</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(8.7)</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672</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754</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(10.9)</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SRX</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3,900</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3,910</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(0.3)</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21,190</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22,249</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(4.8)</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STS</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13</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142</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(90.8)</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120</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2,382</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(95.0)</w:t>
            </w:r>
          </w:p>
        </w:tc>
      </w:tr>
      <w:tr>
        <w:trPr>
          <w:trHeight w:val="276"/>
        </w:trPr>
        <w:tc>
          <w:tcPr>
            <w:tcW w:w="24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XLR</w:t>
            </w:r>
          </w:p>
        </w:tc>
        <w:tc>
          <w:tcPr>
            <w:tcW w:w="13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3</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Cadillac Total</w:t>
            </w:r>
          </w:p>
        </w:tc>
        <w:tc>
          <w:tcPr>
            <w:tcW w:w="13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9,871</w:t>
            </w: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11,623</w:t>
            </w:r>
          </w:p>
        </w:tc>
        <w:tc>
          <w:tcPr>
            <w:tcW w:w="108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(15.1)</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50,688</w:t>
            </w:r>
          </w:p>
        </w:tc>
        <w:tc>
          <w:tcPr>
            <w:tcW w:w="13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65,262</w:t>
            </w:r>
          </w:p>
        </w:tc>
        <w:tc>
          <w:tcPr>
            <w:tcW w:w="94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(22.3)</w:t>
            </w:r>
          </w:p>
        </w:tc>
      </w:tr>
      <w:tr>
        <w:trPr>
          <w:trHeight w:val="258"/>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Avalanche</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2,113</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1,246</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69.6</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9,283</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7,051</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31.7</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Aveo</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5</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4,538</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(99.9)</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53</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17,397</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(99.7)</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Camaro</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9,023</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9,451</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(4.5)</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40,574</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40,275</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0.7</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Caprice</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313</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23</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855</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23</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Captiva Sport</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3,697</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14,410</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Cobalt</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29</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708</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(99.4)</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Colorado</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3,778</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2,944</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28.3</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17,333</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13,104</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32.3</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Corvette</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1,219</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1,304</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(6.5)</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5,547</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5,597</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(0.9)</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Cruze</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19,613</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22,711</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(13.6)</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94,901</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98,076</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(3.2)</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Equinox</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20,238</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17,587</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15.1</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90,097</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77,884</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15.7</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Express</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7,447</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6,128</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21.5</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29,713</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27,158</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9.4</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HHR</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7,197</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34,632</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Impala</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15,879</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16,707</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(5.0)</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81,221</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87,319</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(7.0)</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Kodiak 4/5 Series</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Malibu</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29,579</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25,600</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15.5</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110,035</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99,046</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11.1</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Silverado-C/K Pickup</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34,555</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28,409</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21.6</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160,942</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150,206</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7.1</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Sonic</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7,205</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35,455</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Suburban (Chevy)</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4,577</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3,954</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15.8</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17,932</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15,252</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17.6</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Tahoe</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7,169</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5,886</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21.8</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26,847</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28,537</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(5.9)</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TrailBlazer</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11</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Traverse</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9,853</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7,206</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36.7</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39,296</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43,240</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(9.1)</w:t>
            </w:r>
          </w:p>
        </w:tc>
      </w:tr>
      <w:tr>
        <w:trPr>
          <w:trHeight w:val="276"/>
        </w:trPr>
        <w:tc>
          <w:tcPr>
            <w:tcW w:w="24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Volt</w:t>
            </w:r>
          </w:p>
        </w:tc>
        <w:tc>
          <w:tcPr>
            <w:tcW w:w="13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1,680</w:t>
            </w: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481</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249.3</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7,057</w:t>
            </w:r>
          </w:p>
        </w:tc>
        <w:tc>
          <w:tcPr>
            <w:tcW w:w="13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2,184</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223.1</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Chevrolet Total</w:t>
            </w:r>
          </w:p>
        </w:tc>
        <w:tc>
          <w:tcPr>
            <w:tcW w:w="13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177,943</w:t>
            </w: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161,401</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10.2</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781,564</w:t>
            </w:r>
          </w:p>
        </w:tc>
        <w:tc>
          <w:tcPr>
            <w:tcW w:w="13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747,700</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4.5</w:t>
            </w:r>
          </w:p>
        </w:tc>
      </w:tr>
      <w:tr>
        <w:trPr>
          <w:trHeight w:val="258"/>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Acadia</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9,128</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6,926</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31.8</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32,364</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33,526</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(3.5)</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Canyon</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910</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566</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60.8</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4,761</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3,409</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39.7</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Envoy</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1</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Savana</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2,571</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2,826</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(9.0)</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9,951</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8,301</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19.9</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Sierra</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13,196</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10,753</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22.7</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60,466</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55,221</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9.5</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Terrain</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8,772</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7,310</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20.0</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38,807</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34,375</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12.9</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Topkick 4/5 Series</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Topkick 6/7/8 Series</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Yukon</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2,504</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2,663</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(6.0)</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10,383</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12,164</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(14.6)</w:t>
            </w:r>
          </w:p>
        </w:tc>
      </w:tr>
      <w:tr>
        <w:trPr>
          <w:trHeight w:val="276"/>
        </w:trPr>
        <w:tc>
          <w:tcPr>
            <w:tcW w:w="24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Yukon XL</w:t>
            </w:r>
          </w:p>
        </w:tc>
        <w:tc>
          <w:tcPr>
            <w:tcW w:w="13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1,796</w:t>
            </w: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1,545</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16.2</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6,632</w:t>
            </w:r>
          </w:p>
        </w:tc>
        <w:tc>
          <w:tcPr>
            <w:tcW w:w="13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7,585</w:t>
            </w:r>
          </w:p>
        </w:tc>
        <w:tc>
          <w:tcPr>
            <w:tcW w:w="94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(12.6)</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GMC Total</w:t>
            </w:r>
          </w:p>
        </w:tc>
        <w:tc>
          <w:tcPr>
            <w:tcW w:w="13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38,877</w:t>
            </w: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32,589</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19.3</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163,364</w:t>
            </w:r>
          </w:p>
        </w:tc>
        <w:tc>
          <w:tcPr>
            <w:tcW w:w="13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154,582</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5.7</w:t>
            </w:r>
          </w:p>
        </w:tc>
      </w:tr>
      <w:tr>
        <w:trPr>
          <w:trHeight w:val="291"/>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GM Vehicle Total</w:t>
            </w:r>
          </w:p>
        </w:tc>
        <w:tc>
          <w:tcPr>
            <w:tcW w:w="13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245,256</w:t>
            </w: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221,192</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10.9</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1,066,963</w:t>
            </w:r>
          </w:p>
        </w:tc>
        <w:tc>
          <w:tcPr>
            <w:tcW w:w="13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1,046,275</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w:t>
            </w:r>
          </w:p>
        </w:tc>
      </w:tr>
    </w:tbl>
    <w:p>
      <w:pPr>
        <w:spacing w:after="0" w:line="76" w:lineRule="exact"/>
        <w:rPr>
          <w:sz w:val="20"/>
          <w:szCs w:val="20"/>
          <w:color w:val="auto"/>
        </w:rPr>
      </w:pPr>
    </w:p>
    <w:p>
      <w:pPr>
        <w:sectPr>
          <w:pgSz w:w="11900" w:h="16838" w:orient="portrait"/>
          <w:cols w:equalWidth="0" w:num="1">
            <w:col w:w="9440"/>
          </w:cols>
          <w:pgMar w:left="1240" w:top="930" w:right="1219" w:bottom="391" w:gutter="0" w:footer="0" w:header="0"/>
        </w:sectPr>
      </w:pPr>
    </w:p>
    <w:p>
      <w:pPr>
        <w:ind w:left="80"/>
        <w:spacing w:after="0"/>
        <w:rPr>
          <w:sz w:val="20"/>
          <w:szCs w:val="20"/>
          <w:color w:val="auto"/>
        </w:rPr>
      </w:pPr>
      <w:r>
        <w:rPr>
          <w:rFonts w:ascii="Arial" w:cs="Arial" w:eastAsia="Arial" w:hAnsi="Arial"/>
          <w:sz w:val="13"/>
          <w:szCs w:val="13"/>
          <w:color w:val="auto"/>
        </w:rPr>
        <w:t>* 26 selling days for the May period this year and 24 for last year.</w:t>
      </w:r>
    </w:p>
    <w:sectPr>
      <w:pgSz w:w="11900" w:h="16838" w:orient="portrait"/>
      <w:cols w:equalWidth="0" w:num="1">
        <w:col w:w="9440"/>
      </w:cols>
      <w:pgMar w:left="1240" w:top="930" w:right="1219" w:bottom="39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2019-12-09T20:03:20Z</dcterms:created>
  <dcterms:modified xsi:type="dcterms:W3CDTF">2019-12-09T20:03:20Z</dcterms:modified>
</cp:coreProperties>
</file>