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459105</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October 31, 2012</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394"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8" w:lineRule="exact"/>
        <w:rPr>
          <w:sz w:val="24"/>
          <w:szCs w:val="24"/>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77470</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035" w:right="819" w:bottom="1440" w:gutter="0" w:footer="0" w:header="0"/>
        </w:sectPr>
      </w:pPr>
    </w:p>
    <w:bookmarkStart w:id="1" w:name="page2"/>
    <w:bookmarkEnd w:id="1"/>
    <w:p>
      <w:pPr>
        <w:ind w:left="4860"/>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214" w:lineRule="exact"/>
        <w:rPr>
          <w:sz w:val="20"/>
          <w:szCs w:val="20"/>
          <w:color w:val="auto"/>
        </w:rPr>
      </w:pPr>
    </w:p>
    <w:p>
      <w:pPr>
        <w:ind w:right="5039"/>
        <w:spacing w:after="0" w:line="277" w:lineRule="auto"/>
        <w:rPr>
          <w:sz w:val="20"/>
          <w:szCs w:val="20"/>
          <w:color w:val="auto"/>
        </w:rPr>
      </w:pPr>
      <w:r>
        <w:rPr>
          <w:rFonts w:ascii="Arial" w:cs="Arial" w:eastAsia="Arial" w:hAnsi="Arial"/>
          <w:sz w:val="16"/>
          <w:szCs w:val="16"/>
          <w:b w:val="1"/>
          <w:bCs w:val="1"/>
          <w:color w:val="auto"/>
        </w:rPr>
        <w:t>ITEM 2.02 RESULTS OF OPERATIONS AND FINANCIAL CONDITION ITEM 9.01 FINANCIAL STATEMENTS AND EXHIBITS SIGNATURE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News Release Dated October 31, 2012 and Financial Statements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Charts Furnished to Securities Analysts</w:t>
      </w:r>
    </w:p>
    <w:p>
      <w:pPr>
        <w:sectPr>
          <w:pgSz w:w="11900" w:h="16838" w:orient="portrait"/>
          <w:cols w:equalWidth="0" w:num="1">
            <w:col w:w="10219"/>
          </w:cols>
          <w:pgMar w:left="240" w:top="533"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5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On October 31, 2012 a news release was issued on the subject of 2012 third quarter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incorporated as Exhibit 99.1.</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Charts furnished to securities analysts in connection with GM's 2012 third quarter earnings release are attached as Exhibit 99.2.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11"/>
        </w:trPr>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34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78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59"/>
        </w:trPr>
        <w:tc>
          <w:tcPr>
            <w:tcW w:w="390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4000" w:type="dxa"/>
            <w:vAlign w:val="bottom"/>
            <w:gridSpan w:val="4"/>
          </w:tcPr>
          <w:p>
            <w:pPr>
              <w:spacing w:after="0"/>
              <w:rPr>
                <w:sz w:val="20"/>
                <w:szCs w:val="20"/>
                <w:color w:val="auto"/>
              </w:rPr>
            </w:pPr>
            <w:r>
              <w:rPr>
                <w:rFonts w:ascii="Arial" w:cs="Arial" w:eastAsia="Arial" w:hAnsi="Arial"/>
                <w:sz w:val="16"/>
                <w:szCs w:val="16"/>
                <w:color w:val="auto"/>
              </w:rPr>
              <w:t>News Release Dated October 31, 2012 and Financial</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05"/>
        </w:trPr>
        <w:tc>
          <w:tcPr>
            <w:tcW w:w="4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4000" w:type="dxa"/>
            <w:vAlign w:val="bottom"/>
            <w:gridSpan w:val="4"/>
          </w:tcPr>
          <w:p>
            <w:pPr>
              <w:spacing w:after="0"/>
              <w:rPr>
                <w:sz w:val="20"/>
                <w:szCs w:val="20"/>
                <w:color w:val="auto"/>
              </w:rPr>
            </w:pPr>
            <w:r>
              <w:rPr>
                <w:rFonts w:ascii="Arial" w:cs="Arial" w:eastAsia="Arial" w:hAnsi="Arial"/>
                <w:sz w:val="16"/>
                <w:szCs w:val="16"/>
                <w:color w:val="auto"/>
              </w:rPr>
              <w:t>Statements</w:t>
            </w: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41"/>
        </w:trPr>
        <w:tc>
          <w:tcPr>
            <w:tcW w:w="3900" w:type="dxa"/>
            <w:vAlign w:val="bottom"/>
            <w:gridSpan w:val="2"/>
          </w:tcPr>
          <w:p>
            <w:pPr>
              <w:spacing w:after="0"/>
              <w:rPr>
                <w:sz w:val="20"/>
                <w:szCs w:val="20"/>
                <w:color w:val="auto"/>
              </w:rPr>
            </w:pPr>
            <w:r>
              <w:rPr>
                <w:rFonts w:ascii="Arial" w:cs="Arial" w:eastAsia="Arial" w:hAnsi="Arial"/>
                <w:sz w:val="16"/>
                <w:szCs w:val="16"/>
                <w:color w:val="auto"/>
              </w:rPr>
              <w:t>Exhibit 99.2</w:t>
            </w:r>
          </w:p>
        </w:tc>
        <w:tc>
          <w:tcPr>
            <w:tcW w:w="4000" w:type="dxa"/>
            <w:vAlign w:val="bottom"/>
            <w:gridSpan w:val="4"/>
          </w:tcPr>
          <w:p>
            <w:pPr>
              <w:spacing w:after="0"/>
              <w:rPr>
                <w:sz w:val="20"/>
                <w:szCs w:val="20"/>
                <w:color w:val="auto"/>
              </w:rPr>
            </w:pPr>
            <w:r>
              <w:rPr>
                <w:rFonts w:ascii="Arial" w:cs="Arial" w:eastAsia="Arial" w:hAnsi="Arial"/>
                <w:sz w:val="16"/>
                <w:szCs w:val="16"/>
                <w:color w:val="auto"/>
              </w:rPr>
              <w:t>Charts Furnished to Securities Analysts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bl>
    <w:p>
      <w:pPr>
        <w:sectPr>
          <w:pgSz w:w="11900" w:h="16838" w:orient="portrait"/>
          <w:cols w:equalWidth="0" w:num="1">
            <w:col w:w="11340"/>
          </w:cols>
          <w:pgMar w:left="240" w:top="919" w:right="31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GENERAL MOTORS COMPANY</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0" w:type="dxa"/>
            <w:vAlign w:val="bottom"/>
          </w:tcPr>
          <w:p>
            <w:pPr>
              <w:spacing w:after="0"/>
              <w:rPr>
                <w:sz w:val="1"/>
                <w:szCs w:val="1"/>
                <w:color w:val="auto"/>
              </w:rPr>
            </w:pPr>
          </w:p>
        </w:tc>
      </w:tr>
      <w:tr>
        <w:trPr>
          <w:trHeight w:val="627"/>
        </w:trPr>
        <w:tc>
          <w:tcPr>
            <w:tcW w:w="3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 NICK S. CYPRUS</w:t>
            </w:r>
          </w:p>
        </w:tc>
        <w:tc>
          <w:tcPr>
            <w:tcW w:w="0" w:type="dxa"/>
            <w:vAlign w:val="bottom"/>
          </w:tcPr>
          <w:p>
            <w:pPr>
              <w:spacing w:after="0"/>
              <w:rPr>
                <w:sz w:val="1"/>
                <w:szCs w:val="1"/>
                <w:color w:val="auto"/>
              </w:rPr>
            </w:pPr>
          </w:p>
        </w:tc>
      </w:tr>
      <w:tr>
        <w:trPr>
          <w:trHeight w:val="24"/>
        </w:trPr>
        <w:tc>
          <w:tcPr>
            <w:tcW w:w="3140" w:type="dxa"/>
            <w:vAlign w:val="bottom"/>
            <w:vMerge w:val="restart"/>
          </w:tcPr>
          <w:p>
            <w:pPr>
              <w:spacing w:after="0"/>
              <w:rPr>
                <w:sz w:val="20"/>
                <w:szCs w:val="20"/>
                <w:color w:val="auto"/>
              </w:rPr>
            </w:pPr>
            <w:r>
              <w:rPr>
                <w:rFonts w:ascii="Arial" w:cs="Arial" w:eastAsia="Arial" w:hAnsi="Arial"/>
                <w:sz w:val="16"/>
                <w:szCs w:val="16"/>
                <w:color w:val="auto"/>
              </w:rPr>
              <w:t>Date: October 31, 2012</w:t>
            </w:r>
          </w:p>
        </w:tc>
        <w:tc>
          <w:tcPr>
            <w:tcW w:w="2280" w:type="dxa"/>
            <w:vAlign w:val="bottom"/>
            <w:vMerge w:val="restart"/>
          </w:tcPr>
          <w:p>
            <w:pPr>
              <w:ind w:left="166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140" w:type="dxa"/>
            <w:vAlign w:val="bottom"/>
            <w:vMerge w:val="continue"/>
          </w:tcPr>
          <w:p>
            <w:pPr>
              <w:spacing w:after="0"/>
              <w:rPr>
                <w:sz w:val="17"/>
                <w:szCs w:val="17"/>
                <w:color w:val="auto"/>
              </w:rPr>
            </w:pPr>
          </w:p>
        </w:tc>
        <w:tc>
          <w:tcPr>
            <w:tcW w:w="228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Nick S. Cyprus</w:t>
            </w:r>
          </w:p>
        </w:tc>
        <w:tc>
          <w:tcPr>
            <w:tcW w:w="0" w:type="dxa"/>
            <w:vAlign w:val="bottom"/>
          </w:tcPr>
          <w:p>
            <w:pPr>
              <w:spacing w:after="0"/>
              <w:rPr>
                <w:sz w:val="1"/>
                <w:szCs w:val="1"/>
                <w:color w:val="auto"/>
              </w:rPr>
            </w:pPr>
          </w:p>
        </w:tc>
      </w:tr>
      <w:tr>
        <w:trPr>
          <w:trHeight w:val="205"/>
        </w:trPr>
        <w:tc>
          <w:tcPr>
            <w:tcW w:w="31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040"/>
          </w:cols>
          <w:pgMar w:left="240" w:top="726" w:right="6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349250</wp:posOffset>
            </wp:positionV>
            <wp:extent cx="7286625" cy="840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6625" cy="8401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9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For Release: Wednesday, Oct. 31, 7:30 a.m. EDT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GM Reports Third Quarter Net Income of $1.5 billion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as EBIT-adjusted increases to $2.3 billion</w:t>
      </w:r>
    </w:p>
    <w:p>
      <w:pPr>
        <w:spacing w:after="0" w:line="174" w:lineRule="exact"/>
        <w:rPr>
          <w:sz w:val="20"/>
          <w:szCs w:val="20"/>
          <w:color w:val="auto"/>
        </w:rPr>
      </w:pPr>
    </w:p>
    <w:p>
      <w:pPr>
        <w:jc w:val="both"/>
        <w:ind w:right="360"/>
        <w:spacing w:after="0" w:line="275" w:lineRule="auto"/>
        <w:rPr>
          <w:sz w:val="20"/>
          <w:szCs w:val="20"/>
          <w:color w:val="auto"/>
        </w:rPr>
      </w:pPr>
      <w:r>
        <w:rPr>
          <w:rFonts w:ascii="Arial" w:cs="Arial" w:eastAsia="Arial" w:hAnsi="Arial"/>
          <w:sz w:val="17"/>
          <w:szCs w:val="17"/>
          <w:b w:val="1"/>
          <w:bCs w:val="1"/>
          <w:color w:val="auto"/>
        </w:rPr>
        <w:t xml:space="preserve">DETROIT </w:t>
      </w:r>
      <w:r>
        <w:rPr>
          <w:rFonts w:ascii="Arial" w:cs="Arial" w:eastAsia="Arial" w:hAnsi="Arial"/>
          <w:sz w:val="17"/>
          <w:szCs w:val="17"/>
          <w:color w:val="auto"/>
        </w:rPr>
        <w:t>- General Motors Co. (NYSE: GM) today announced third quarter net income attributable to common stockholders of $1.5 billion, or</w:t>
      </w:r>
      <w:r>
        <w:rPr>
          <w:rFonts w:ascii="Arial" w:cs="Arial" w:eastAsia="Arial" w:hAnsi="Arial"/>
          <w:sz w:val="17"/>
          <w:szCs w:val="17"/>
          <w:b w:val="1"/>
          <w:bCs w:val="1"/>
          <w:color w:val="auto"/>
        </w:rPr>
        <w:t xml:space="preserve"> </w:t>
      </w:r>
      <w:r>
        <w:rPr>
          <w:rFonts w:ascii="Arial" w:cs="Arial" w:eastAsia="Arial" w:hAnsi="Arial"/>
          <w:sz w:val="17"/>
          <w:szCs w:val="17"/>
          <w:color w:val="auto"/>
        </w:rPr>
        <w:t>$0.89 per fully diluted share including the impact of special items, which reduced net income by $ 0.1 billion and diluted earnings per share by $0.04. In the third quarter a year ago, GM's net income attributable to common stockholders was $1.7 billion, or $1.03 per fully diluted share.</w:t>
      </w:r>
    </w:p>
    <w:p>
      <w:pPr>
        <w:spacing w:after="0" w:line="158"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Net revenue in the third quarter of 2012 was $37.6 billion compared with $36.7 billion a year ago. Earnings before interest and tax (EBIT) adjusted was $2.3 billion compared with $2.2 billion a year ago.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“GM had a solid quarter because customers around the world love our new vehicles and we're also seeing green shoots take hold on tough issues like complexity reduction, pensions and Europe,” said Chairman and CEO Dan Akerson. “We are going to keep playing offense with growth products like the Chevrolet Onix, Opel Mokka and Cadillac ATS and continue to systematically address business risks.”</w:t>
      </w:r>
    </w:p>
    <w:p>
      <w:pPr>
        <w:spacing w:after="0" w:line="187" w:lineRule="exact"/>
        <w:rPr>
          <w:sz w:val="20"/>
          <w:szCs w:val="20"/>
          <w:color w:val="auto"/>
        </w:rPr>
      </w:pPr>
    </w:p>
    <w:p>
      <w:pPr>
        <w:ind w:right="340"/>
        <w:spacing w:after="0" w:line="243" w:lineRule="auto"/>
        <w:rPr>
          <w:sz w:val="20"/>
          <w:szCs w:val="20"/>
          <w:color w:val="auto"/>
        </w:rPr>
      </w:pPr>
      <w:r>
        <w:rPr>
          <w:rFonts w:ascii="Arial" w:cs="Arial" w:eastAsia="Arial" w:hAnsi="Arial"/>
          <w:sz w:val="18"/>
          <w:szCs w:val="18"/>
          <w:color w:val="auto"/>
        </w:rPr>
        <w:t>Senior Vice President and CFO Dan Ammann added, “While we still have a lot of work to do, especially in Europe, it is encouraging to see our results begin to reflect the discipline we are bringing to bear on the overall business.”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 xml:space="preserve">GM Results Overview </w:t>
            </w:r>
            <w:r>
              <w:rPr>
                <w:rFonts w:ascii="Arial" w:cs="Arial" w:eastAsia="Arial" w:hAnsi="Arial"/>
                <w:sz w:val="12"/>
                <w:szCs w:val="12"/>
                <w:color w:val="auto"/>
              </w:rPr>
              <w:t>(in billions except for per share amounts)</w:t>
            </w:r>
          </w:p>
        </w:tc>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46"/>
        </w:trPr>
        <w:tc>
          <w:tcPr>
            <w:tcW w:w="6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Q3 2012</w:t>
            </w: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Q3 2011</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Revenue</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37.6</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Earnings per share (EPS) fully diluted</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0.89</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Impact of special items on EPS fully diluted</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0.04</w:t>
            </w: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EBIT-adjusted</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Automotive net cash flow from operating activities</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Automotive free cash flow</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w:t>
            </w:r>
          </w:p>
        </w:tc>
        <w:tc>
          <w:tcPr>
            <w:tcW w:w="44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Segment Results</w:t>
      </w:r>
    </w:p>
    <w:p>
      <w:pPr>
        <w:spacing w:after="0" w:line="18"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North America (GMNA) reported EBIT-adjusted of $1.8 billion compared with $2.2 billion a year ago.</w:t>
      </w:r>
    </w:p>
    <w:p>
      <w:pPr>
        <w:ind w:left="580" w:hanging="294"/>
        <w:spacing w:after="0" w:line="23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Europe (GME) reported an EBIT-adjusted of $(0.5) billion compared with $(0.3) billion a year ago.</w:t>
      </w:r>
    </w:p>
    <w:p>
      <w:pPr>
        <w:ind w:left="580" w:hanging="294"/>
        <w:spacing w:after="0" w:line="23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International Operations (GMIO) reported EBIT-adjusted of $0.7 billion compared with $0.4 billion a year ago.</w:t>
      </w:r>
    </w:p>
    <w:p>
      <w:pPr>
        <w:ind w:left="580" w:hanging="294"/>
        <w:spacing w:after="0" w:line="23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South America (GMSA) reported EBIT-adjusted of $0.1 billion compared with near breakeven results a year ago.</w:t>
      </w: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Financial earnings before tax was $0.2 billion, up slightly compared with a year ago.</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Cash Flow and Liquidity</w:t>
      </w:r>
    </w:p>
    <w:p>
      <w:pPr>
        <w:spacing w:after="0" w:line="2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For the quarter, automotive cash flow from operating activities was $3.1 billion, up $1.3 billion from a year ago, and automotive free cash flow was $1.2 billion, up $0.9 billion. GM ended the quarter with very strong total automotive liquidity of $37.5 billion. Automotive cash and marketable securities was $31.6 billion.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De-Risking Transactions</w:t>
      </w:r>
    </w:p>
    <w:p>
      <w:pPr>
        <w:spacing w:after="0" w:line="20"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During the quarter, approximately 30 percent of eligible U.S. salaried retirees accepted GM's offer to receive a lump sum payment in lieu of ongoing pension benefits. In addition, GM expects to close in early November a previously announced transaction through which The Prudential Insurance Company of America will assume responsibility for pension obligations covering GM's remaining eligible U.S. salaried retirees.</w:t>
      </w:r>
    </w:p>
    <w:p>
      <w:pPr>
        <w:spacing w:after="0" w:line="134" w:lineRule="exact"/>
        <w:rPr>
          <w:sz w:val="20"/>
          <w:szCs w:val="20"/>
          <w:color w:val="auto"/>
        </w:rPr>
      </w:pPr>
    </w:p>
    <w:p>
      <w:pPr>
        <w:ind w:right="420"/>
        <w:spacing w:after="0" w:line="243" w:lineRule="auto"/>
        <w:rPr>
          <w:sz w:val="20"/>
          <w:szCs w:val="20"/>
          <w:color w:val="auto"/>
        </w:rPr>
      </w:pPr>
      <w:r>
        <w:rPr>
          <w:rFonts w:ascii="Arial" w:cs="Arial" w:eastAsia="Arial" w:hAnsi="Arial"/>
          <w:sz w:val="18"/>
          <w:szCs w:val="18"/>
          <w:color w:val="auto"/>
        </w:rPr>
        <w:t>Through annuitizations and lump sum payments, approximately $29 billion of GM's U.S. salaried pension liability is expected to be eliminated compared with an original estimate of $26 billion.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transactions, GM expects to make total cash contributions to its U.S. salaried pension plan of approximately $2.6 billion. In addition, GM will record an approximately $2.9 billion pre-tax charge in the fourth quarter as a special item. GM originally estimated that it would make a cash contribution of $3.5 billion to $4.5 billion and record a charge of $2.5 billion to $3.5 billion.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Outlook</w:t>
      </w:r>
    </w:p>
    <w:p>
      <w:pPr>
        <w:spacing w:after="0" w:line="20"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GM's consolidated fourth quarter EBIT-adjusted will follow typical seasonal trends with results estimated to be similar to or slightly better than the same period a year ago.</w:t>
      </w:r>
    </w:p>
    <w:p>
      <w:pPr>
        <w:spacing w:after="0" w:line="184" w:lineRule="exact"/>
        <w:rPr>
          <w:sz w:val="20"/>
          <w:szCs w:val="20"/>
          <w:color w:val="auto"/>
        </w:rPr>
      </w:pPr>
    </w:p>
    <w:p>
      <w:pPr>
        <w:ind w:right="300"/>
        <w:spacing w:after="0" w:line="261" w:lineRule="auto"/>
        <w:rPr>
          <w:sz w:val="20"/>
          <w:szCs w:val="20"/>
          <w:color w:val="auto"/>
        </w:rPr>
      </w:pPr>
      <w:r>
        <w:rPr>
          <w:rFonts w:ascii="Arial" w:cs="Arial" w:eastAsia="Arial" w:hAnsi="Arial"/>
          <w:sz w:val="17"/>
          <w:szCs w:val="17"/>
          <w:color w:val="auto"/>
        </w:rPr>
        <w:t>GM also indicated that to the extent positive financial trends continue the reversal of a significant portion of its valuation allowance on U.S. and Canadian deferred tax assets is possible in the fourth quarter of 2012. At Sept. 30, 2012, valuation allowances on deferred tax assets in the United States and Canada were $35.6 billion and $3.2 billion. In addition, valuation allowance reversals could result in goodwill impairment.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Outlook</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GM currently estimates GME's EBIT-adjusted for the 2012 calendar year to be in a range of $(1.5) billion to $(1.8) billion, depending on the level of restructuring activity in the fourth quarter. In addition, the company is targeting full-year 2013 EBIT-adjusted for GME to be slightly better than 2012. Break-even EBIT-adjusted results are targeted by mid-decade.</w:t>
      </w:r>
    </w:p>
    <w:p>
      <w:pPr>
        <w:spacing w:after="0" w:line="383"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 xml:space="preserve">General Motors Co. (NYSE:GM, TSX: GMM) and its partners produce vehicles in 30 countries, and the company has leadership positions in 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r>
        <w:rPr>
          <w:rFonts w:ascii="Arial" w:cs="Arial" w:eastAsia="Arial" w:hAnsi="Arial"/>
          <w:sz w:val="16"/>
          <w:szCs w:val="16"/>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Cell 313-407-2843</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james.cain@gm.com</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auto"/>
        </w:rPr>
        <w:t>Randy Arickx</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Cell 313-268-7070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randy.c.arickx@gm.com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874"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Forward-Looking Statements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the overall strength and stability of our markets, particularly Europe;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879" w:right="239" w:bottom="1440" w:gutter="0" w:footer="0" w:header="0"/>
        </w:sectPr>
      </w:pPr>
    </w:p>
    <w:bookmarkStart w:id="7" w:name="page8"/>
    <w:bookmarkEnd w:id="7"/>
    <w:p>
      <w:pPr>
        <w:jc w:val="center"/>
        <w:ind w:left="880"/>
        <w:spacing w:after="0"/>
        <w:rPr>
          <w:sz w:val="20"/>
          <w:szCs w:val="20"/>
          <w:color w:val="auto"/>
        </w:rPr>
      </w:pPr>
      <w:r>
        <w:rPr>
          <w:rFonts w:ascii="Arial" w:cs="Arial" w:eastAsia="Arial" w:hAnsi="Arial"/>
          <w:sz w:val="16"/>
          <w:szCs w:val="16"/>
          <w:b w:val="1"/>
          <w:bCs w:val="1"/>
          <w:color w:val="auto"/>
        </w:rPr>
        <w:t>Exhibit 1</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46" w:lineRule="exact"/>
        <w:rPr>
          <w:sz w:val="20"/>
          <w:szCs w:val="20"/>
          <w:color w:val="auto"/>
        </w:rPr>
      </w:pPr>
    </w:p>
    <w:p>
      <w:pPr>
        <w:ind w:left="4" w:right="200" w:firstLine="145"/>
        <w:spacing w:after="0" w:line="268" w:lineRule="auto"/>
        <w:rPr>
          <w:sz w:val="20"/>
          <w:szCs w:val="20"/>
          <w:color w:val="auto"/>
        </w:rPr>
      </w:pPr>
      <w:r>
        <w:rPr>
          <w:rFonts w:ascii="Arial" w:cs="Arial" w:eastAsia="Arial" w:hAnsi="Arial"/>
          <w:sz w:val="14"/>
          <w:szCs w:val="14"/>
          <w:color w:val="auto"/>
        </w:rPr>
        <w:t>The accompanying tables and charts include earnings before interest and taxes adjusted for special items, presented net of noncontrolling interests (EBIT-adjusted), and Automotive free cash flow. These metrics are not prepared in accordance with Accounting Principles Generally Accepted in the United States of America (U.S. GAAP) and have not been audited or reviewed by GM's independent auditors. EBIT-adjusted and Automotive free cash flow are considered non-GAAP financial measures.</w:t>
      </w:r>
    </w:p>
    <w:p>
      <w:pPr>
        <w:spacing w:after="0" w:line="136" w:lineRule="exact"/>
        <w:rPr>
          <w:sz w:val="20"/>
          <w:szCs w:val="20"/>
          <w:color w:val="auto"/>
        </w:rPr>
      </w:pPr>
    </w:p>
    <w:p>
      <w:pPr>
        <w:ind w:left="4" w:right="120" w:firstLine="145"/>
        <w:spacing w:after="0" w:line="289" w:lineRule="auto"/>
        <w:rPr>
          <w:sz w:val="20"/>
          <w:szCs w:val="20"/>
          <w:color w:val="auto"/>
        </w:rPr>
      </w:pPr>
      <w:r>
        <w:rPr>
          <w:rFonts w:ascii="Arial" w:cs="Arial" w:eastAsia="Arial" w:hAnsi="Arial"/>
          <w:sz w:val="13"/>
          <w:szCs w:val="13"/>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Accordingly, GM believes these non-GAAP financial measures are useful in allowing for greater transparency of GM's core operations and they are therefore used by management in its financial and operational decision-making.</w:t>
      </w:r>
    </w:p>
    <w:p>
      <w:pPr>
        <w:spacing w:after="0" w:line="124" w:lineRule="exact"/>
        <w:rPr>
          <w:sz w:val="20"/>
          <w:szCs w:val="20"/>
          <w:color w:val="auto"/>
        </w:rPr>
      </w:pPr>
    </w:p>
    <w:p>
      <w:pPr>
        <w:ind w:left="4" w:right="280" w:firstLine="145"/>
        <w:spacing w:after="0" w:line="289" w:lineRule="auto"/>
        <w:rPr>
          <w:sz w:val="20"/>
          <w:szCs w:val="20"/>
          <w:color w:val="auto"/>
        </w:rPr>
      </w:pPr>
      <w:r>
        <w:rPr>
          <w:rFonts w:ascii="Arial" w:cs="Arial" w:eastAsia="Arial" w:hAnsi="Arial"/>
          <w:sz w:val="13"/>
          <w:szCs w:val="13"/>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other measures such as Net income or Net income attributable to stockholders. Due to these limitations, these non-GAAP financial measures are used as a supplement to U.S. GAAP measures.</w:t>
      </w:r>
    </w:p>
    <w:p>
      <w:pPr>
        <w:spacing w:after="0" w:line="136"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the reconciliation of EBIT-adjusted to its most comparable U.S. GAAP measure (dollars in millions):</w:t>
      </w:r>
    </w:p>
    <w:p>
      <w:pPr>
        <w:spacing w:after="0" w:line="173"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tcPr>
          <w:p>
            <w:pPr>
              <w:ind w:left="600"/>
              <w:spacing w:after="0"/>
              <w:rPr>
                <w:sz w:val="20"/>
                <w:szCs w:val="20"/>
                <w:color w:val="auto"/>
              </w:rPr>
            </w:pPr>
            <w:r>
              <w:rPr>
                <w:rFonts w:ascii="Arial" w:cs="Arial" w:eastAsia="Arial" w:hAnsi="Arial"/>
                <w:sz w:val="14"/>
                <w:szCs w:val="14"/>
                <w:b w:val="1"/>
                <w:bCs w:val="1"/>
                <w:color w:val="auto"/>
                <w:w w:val="99"/>
              </w:rPr>
              <w:t>Three Months Ended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3"/>
                <w:szCs w:val="13"/>
                <w:b w:val="1"/>
                <w:bCs w:val="1"/>
                <w:color w:val="auto"/>
              </w:rPr>
              <w:t>September 30, 2012</w:t>
            </w:r>
          </w:p>
        </w:tc>
        <w:tc>
          <w:tcPr>
            <w:tcW w:w="138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2011</w:t>
            </w:r>
          </w:p>
        </w:tc>
        <w:tc>
          <w:tcPr>
            <w:tcW w:w="1340" w:type="dxa"/>
            <w:vAlign w:val="bottom"/>
            <w:gridSpan w:val="3"/>
          </w:tcPr>
          <w:p>
            <w:pPr>
              <w:ind w:left="80"/>
              <w:spacing w:after="0"/>
              <w:rPr>
                <w:sz w:val="20"/>
                <w:szCs w:val="20"/>
                <w:color w:val="auto"/>
              </w:rPr>
            </w:pPr>
            <w:r>
              <w:rPr>
                <w:rFonts w:ascii="Arial" w:cs="Arial" w:eastAsia="Arial" w:hAnsi="Arial"/>
                <w:sz w:val="13"/>
                <w:szCs w:val="13"/>
                <w:b w:val="1"/>
                <w:bCs w:val="1"/>
                <w:color w:val="auto"/>
              </w:rPr>
              <w:t>September 30, 2012</w:t>
            </w:r>
          </w:p>
        </w:tc>
        <w:tc>
          <w:tcPr>
            <w:tcW w:w="126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w w:val="93"/>
              </w:rPr>
              <w:t>September 30, 2011</w:t>
            </w:r>
          </w:p>
        </w:tc>
        <w:tc>
          <w:tcPr>
            <w:tcW w:w="0" w:type="dxa"/>
            <w:vAlign w:val="bottom"/>
          </w:tcPr>
          <w:p>
            <w:pPr>
              <w:spacing w:after="0"/>
              <w:rPr>
                <w:sz w:val="1"/>
                <w:szCs w:val="1"/>
                <w:color w:val="auto"/>
              </w:rPr>
            </w:pPr>
          </w:p>
        </w:tc>
      </w:tr>
      <w:tr>
        <w:trPr>
          <w:trHeight w:val="211"/>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Operating segments</w:t>
            </w: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60" w:type="dxa"/>
            <w:vAlign w:val="bottom"/>
          </w:tcPr>
          <w:p>
            <w:pPr>
              <w:ind w:left="20"/>
              <w:spacing w:after="0"/>
              <w:rPr>
                <w:sz w:val="20"/>
                <w:szCs w:val="20"/>
                <w:color w:val="auto"/>
              </w:rPr>
            </w:pPr>
            <w:r>
              <w:rPr>
                <w:rFonts w:ascii="Arial" w:cs="Arial" w:eastAsia="Arial" w:hAnsi="Arial"/>
                <w:sz w:val="14"/>
                <w:szCs w:val="14"/>
                <w:color w:val="auto"/>
              </w:rPr>
              <w:t>GMNA(a)</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5"/>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21"/>
                <w:szCs w:val="21"/>
                <w:color w:val="auto"/>
              </w:rPr>
            </w:pPr>
          </w:p>
        </w:tc>
        <w:tc>
          <w:tcPr>
            <w:tcW w:w="400" w:type="dxa"/>
            <w:vAlign w:val="bottom"/>
          </w:tcPr>
          <w:p>
            <w:pPr>
              <w:jc w:val="right"/>
              <w:ind w:right="23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5,478</w:t>
            </w:r>
          </w:p>
        </w:tc>
        <w:tc>
          <w:tcPr>
            <w:tcW w:w="100" w:type="dxa"/>
            <w:vAlign w:val="bottom"/>
          </w:tcPr>
          <w:p>
            <w:pPr>
              <w:spacing w:after="0"/>
              <w:rPr>
                <w:sz w:val="21"/>
                <w:szCs w:val="21"/>
                <w:color w:val="auto"/>
              </w:rPr>
            </w:pPr>
          </w:p>
        </w:tc>
        <w:tc>
          <w:tcPr>
            <w:tcW w:w="700" w:type="dxa"/>
            <w:vAlign w:val="bottom"/>
          </w:tcPr>
          <w:p>
            <w:pPr>
              <w:jc w:val="right"/>
              <w:ind w:right="53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5,697</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GME(a)</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(478)</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(1,095)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GMIO(a)</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25"/>
              <w:spacing w:after="0"/>
              <w:rPr>
                <w:sz w:val="20"/>
                <w:szCs w:val="20"/>
                <w:color w:val="auto"/>
              </w:rPr>
            </w:pPr>
            <w:r>
              <w:rPr>
                <w:rFonts w:ascii="Arial" w:cs="Arial" w:eastAsia="Arial" w:hAnsi="Arial"/>
                <w:sz w:val="16"/>
                <w:szCs w:val="16"/>
                <w:color w:val="auto"/>
              </w:rPr>
              <w:t>365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GMSA(a)</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178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GM Financial(b)</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25"/>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598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160"/>
              <w:spacing w:after="0"/>
              <w:rPr>
                <w:sz w:val="20"/>
                <w:szCs w:val="20"/>
                <w:color w:val="auto"/>
              </w:rPr>
            </w:pPr>
            <w:r>
              <w:rPr>
                <w:rFonts w:ascii="Arial" w:cs="Arial" w:eastAsia="Arial" w:hAnsi="Arial"/>
                <w:sz w:val="14"/>
                <w:szCs w:val="14"/>
                <w:color w:val="auto"/>
              </w:rPr>
              <w:t>Total operating segments(b)</w:t>
            </w:r>
          </w:p>
        </w:tc>
        <w:tc>
          <w:tcPr>
            <w:tcW w:w="1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2,347</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jc w:val="right"/>
              <w:ind w:right="25"/>
              <w:spacing w:after="0"/>
              <w:rPr>
                <w:sz w:val="20"/>
                <w:szCs w:val="20"/>
                <w:color w:val="auto"/>
              </w:rPr>
            </w:pPr>
            <w:r>
              <w:rPr>
                <w:rFonts w:ascii="Arial" w:cs="Arial" w:eastAsia="Arial" w:hAnsi="Arial"/>
                <w:sz w:val="14"/>
                <w:szCs w:val="14"/>
                <w:color w:val="auto"/>
              </w:rPr>
              <w:t>2,402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6,934</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7,591</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4"/>
                <w:szCs w:val="14"/>
                <w:color w:val="auto"/>
              </w:rPr>
              <w:t>Corporate and eliminations</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EBIT-adjusted(b)</w:t>
            </w:r>
          </w:p>
        </w:tc>
        <w:tc>
          <w:tcPr>
            <w:tcW w:w="100" w:type="dxa"/>
            <w:vAlign w:val="bottom"/>
          </w:tcPr>
          <w:p>
            <w:pPr>
              <w:spacing w:after="0"/>
              <w:rPr>
                <w:sz w:val="16"/>
                <w:szCs w:val="16"/>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2,296</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jc w:val="right"/>
              <w:ind w:right="25"/>
              <w:spacing w:after="0"/>
              <w:rPr>
                <w:sz w:val="20"/>
                <w:szCs w:val="20"/>
                <w:color w:val="auto"/>
              </w:rPr>
            </w:pPr>
            <w:r>
              <w:rPr>
                <w:rFonts w:ascii="Arial" w:cs="Arial" w:eastAsia="Arial" w:hAnsi="Arial"/>
                <w:sz w:val="14"/>
                <w:szCs w:val="14"/>
                <w:b w:val="1"/>
                <w:bCs w:val="1"/>
                <w:color w:val="auto"/>
              </w:rPr>
              <w:t>2,203</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6,597</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7,207</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Special items</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Corporate interest income</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25"/>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Automotive interest expense</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25"/>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20"/>
                <w:szCs w:val="20"/>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25"/>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30"/>
        </w:trPr>
        <w:tc>
          <w:tcPr>
            <w:tcW w:w="60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6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stockholders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1,833</w:t>
            </w:r>
          </w:p>
        </w:tc>
        <w:tc>
          <w:tcPr>
            <w:tcW w:w="120" w:type="dxa"/>
            <w:vAlign w:val="bottom"/>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2,107</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4,994</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3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8,465</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84" w:right="20" w:hanging="284"/>
        <w:spacing w:after="0" w:line="251" w:lineRule="auto"/>
        <w:tabs>
          <w:tab w:leader="none" w:pos="284" w:val="left"/>
        </w:tabs>
        <w:numPr>
          <w:ilvl w:val="0"/>
          <w:numId w:val="3"/>
        </w:numPr>
        <w:rPr>
          <w:rFonts w:ascii="Arial" w:cs="Arial" w:eastAsia="Arial" w:hAnsi="Arial"/>
          <w:sz w:val="14"/>
          <w:szCs w:val="14"/>
          <w:color w:val="auto"/>
        </w:rPr>
      </w:pPr>
      <w:r>
        <w:rPr>
          <w:rFonts w:ascii="Arial" w:cs="Arial" w:eastAsia="Arial" w:hAnsi="Arial"/>
          <w:sz w:val="14"/>
          <w:szCs w:val="14"/>
          <w:color w:val="auto"/>
        </w:rPr>
        <w:t>GM's automotive operations interest and income taxes are recorded centrally in Corporate; therefore, there are no reconciling items for GM's automotive operating segments between EBIT-adjusted and Net income attributable to stockholders.</w:t>
      </w:r>
    </w:p>
    <w:p>
      <w:pPr>
        <w:ind w:left="284" w:hanging="284"/>
        <w:spacing w:after="0"/>
        <w:tabs>
          <w:tab w:leader="none" w:pos="284" w:val="left"/>
        </w:tabs>
        <w:numPr>
          <w:ilvl w:val="0"/>
          <w:numId w:val="3"/>
        </w:numPr>
        <w:rPr>
          <w:rFonts w:ascii="Arial" w:cs="Arial" w:eastAsia="Arial" w:hAnsi="Arial"/>
          <w:sz w:val="14"/>
          <w:szCs w:val="14"/>
          <w:color w:val="auto"/>
        </w:rPr>
      </w:pPr>
      <w:r>
        <w:rPr>
          <w:rFonts w:ascii="Arial" w:cs="Arial" w:eastAsia="Arial" w:hAnsi="Arial"/>
          <w:sz w:val="14"/>
          <w:szCs w:val="14"/>
          <w:color w:val="auto"/>
        </w:rPr>
        <w:t>GM Financial amounts represent income before income taxes.</w:t>
      </w: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4"/>
          </w:cols>
          <w:pgMar w:left="236" w:top="533" w:right="219" w:bottom="1440" w:gutter="0" w:footer="0" w:header="0"/>
        </w:sectPr>
      </w:pPr>
    </w:p>
    <w:bookmarkStart w:id="8" w:name="page9"/>
    <w:bookmarkEnd w:id="8"/>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special items:</w:t>
      </w: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In the three months ended September 30, 2012 special items included Goodwill impairment charges of $62 million in GMIO, which is presented net of noncontrolling interests.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In the nine months ended September 30, 2012 special items included Goodwill impairment charges of $590 million in GME and $84 million in GMIO, which is presented net of noncontrolling interests.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 the nine months ended September 30, 2011 special items included the following:</w:t>
      </w:r>
    </w:p>
    <w:p>
      <w:pPr>
        <w:spacing w:after="0" w:line="202" w:lineRule="exact"/>
        <w:rPr>
          <w:sz w:val="20"/>
          <w:szCs w:val="20"/>
          <w:color w:val="auto"/>
        </w:rPr>
      </w:pPr>
    </w:p>
    <w:p>
      <w:pPr>
        <w:ind w:left="720" w:hanging="289"/>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Gain of $1.6 billion in GMNA related to the sale of GM's Class A Membership Interests in Delphi Automotive LLP;</w:t>
      </w:r>
    </w:p>
    <w:p>
      <w:pPr>
        <w:spacing w:after="0" w:line="21" w:lineRule="exact"/>
        <w:rPr>
          <w:rFonts w:ascii="Arial" w:cs="Arial" w:eastAsia="Arial" w:hAnsi="Arial"/>
          <w:sz w:val="16"/>
          <w:szCs w:val="16"/>
          <w:color w:val="auto"/>
        </w:rPr>
      </w:pPr>
    </w:p>
    <w:p>
      <w:pPr>
        <w:ind w:left="720" w:hanging="289"/>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Gain of $339 million in Corporate related to the sale of 100% of the Ally Financial, Inc. preferred stock;</w:t>
      </w:r>
    </w:p>
    <w:p>
      <w:pPr>
        <w:spacing w:after="0" w:line="9" w:lineRule="exact"/>
        <w:rPr>
          <w:rFonts w:ascii="Arial" w:cs="Arial" w:eastAsia="Arial" w:hAnsi="Arial"/>
          <w:sz w:val="16"/>
          <w:szCs w:val="16"/>
          <w:color w:val="auto"/>
        </w:rPr>
      </w:pPr>
    </w:p>
    <w:p>
      <w:pPr>
        <w:ind w:left="720" w:hanging="289"/>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Goodwill impairment charges of $395 million in GME; and</w:t>
      </w:r>
    </w:p>
    <w:p>
      <w:pPr>
        <w:spacing w:after="0" w:line="9" w:lineRule="exact"/>
        <w:rPr>
          <w:rFonts w:ascii="Arial" w:cs="Arial" w:eastAsia="Arial" w:hAnsi="Arial"/>
          <w:sz w:val="16"/>
          <w:szCs w:val="16"/>
          <w:color w:val="auto"/>
        </w:rPr>
      </w:pPr>
    </w:p>
    <w:p>
      <w:pPr>
        <w:ind w:left="720" w:hanging="289"/>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Charges of $106 million in GMIO related to GM's India joint venture.</w:t>
      </w:r>
    </w:p>
    <w:p>
      <w:pPr>
        <w:spacing w:after="0" w:line="38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summarizes the reconciliation of Automotive free cash flow to Automotive net cash provided by operating activities (dollars in millions):</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3"/>
                <w:szCs w:val="13"/>
                <w:b w:val="1"/>
                <w:bCs w:val="1"/>
                <w:color w:val="auto"/>
              </w:rPr>
              <w:t>Three Months Ended</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6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6"/>
              <w:spacing w:after="0"/>
              <w:rPr>
                <w:sz w:val="20"/>
                <w:szCs w:val="20"/>
                <w:color w:val="auto"/>
              </w:rPr>
            </w:pPr>
            <w:r>
              <w:rPr>
                <w:rFonts w:ascii="Arial" w:cs="Arial" w:eastAsia="Arial" w:hAnsi="Arial"/>
                <w:sz w:val="13"/>
                <w:szCs w:val="13"/>
                <w:b w:val="1"/>
                <w:bCs w:val="1"/>
                <w:color w:val="auto"/>
                <w:w w:val="87"/>
              </w:rPr>
              <w:t>September 30, 2012</w:t>
            </w:r>
          </w:p>
        </w:tc>
        <w:tc>
          <w:tcPr>
            <w:tcW w:w="120" w:type="dxa"/>
            <w:vAlign w:val="bottom"/>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September 30, 2011</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3"/>
                <w:szCs w:val="13"/>
                <w:b w:val="1"/>
                <w:bCs w:val="1"/>
                <w:color w:val="auto"/>
                <w:w w:val="93"/>
              </w:rPr>
              <w:t>September 30, 2012</w:t>
            </w: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w w:val="93"/>
              </w:rPr>
              <w:t>September 30, 2011</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6"/>
                <w:szCs w:val="16"/>
                <w:color w:val="auto"/>
              </w:rPr>
              <w:t>Automotive free cash flow</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6"/>
              <w:spacing w:after="0"/>
              <w:rPr>
                <w:sz w:val="20"/>
                <w:szCs w:val="20"/>
                <w:color w:val="auto"/>
              </w:rPr>
            </w:pPr>
            <w:r>
              <w:rPr>
                <w:rFonts w:ascii="Arial" w:cs="Arial" w:eastAsia="Arial" w:hAnsi="Arial"/>
                <w:sz w:val="16"/>
                <w:szCs w:val="16"/>
                <w:color w:val="auto"/>
              </w:rPr>
              <w:t>1,172</w:t>
            </w:r>
          </w:p>
        </w:tc>
        <w:tc>
          <w:tcPr>
            <w:tcW w:w="120" w:type="dxa"/>
            <w:vAlign w:val="bottom"/>
          </w:tcPr>
          <w:p>
            <w:pPr>
              <w:spacing w:after="0"/>
              <w:rPr>
                <w:sz w:val="18"/>
                <w:szCs w:val="18"/>
                <w:color w:val="auto"/>
              </w:rPr>
            </w:pPr>
          </w:p>
        </w:tc>
        <w:tc>
          <w:tcPr>
            <w:tcW w:w="660" w:type="dxa"/>
            <w:vAlign w:val="bottom"/>
          </w:tcPr>
          <w:p>
            <w:pPr>
              <w:jc w:val="right"/>
              <w:ind w:right="485"/>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400" w:type="dxa"/>
            <w:vAlign w:val="bottom"/>
          </w:tcPr>
          <w:p>
            <w:pPr>
              <w:jc w:val="right"/>
              <w:ind w:right="225"/>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3,152</w:t>
            </w:r>
          </w:p>
        </w:tc>
        <w:tc>
          <w:tcPr>
            <w:tcW w:w="100" w:type="dxa"/>
            <w:vAlign w:val="bottom"/>
          </w:tcPr>
          <w:p>
            <w:pPr>
              <w:spacing w:after="0"/>
              <w:rPr>
                <w:sz w:val="18"/>
                <w:szCs w:val="18"/>
                <w:color w:val="auto"/>
              </w:rPr>
            </w:pPr>
          </w:p>
        </w:tc>
        <w:tc>
          <w:tcPr>
            <w:tcW w:w="680" w:type="dxa"/>
            <w:vAlign w:val="bottom"/>
          </w:tcPr>
          <w:p>
            <w:pPr>
              <w:jc w:val="right"/>
              <w:ind w:right="485"/>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2,129</w:t>
            </w:r>
          </w:p>
        </w:tc>
        <w:tc>
          <w:tcPr>
            <w:tcW w:w="0" w:type="dxa"/>
            <w:vAlign w:val="bottom"/>
          </w:tcPr>
          <w:p>
            <w:pPr>
              <w:spacing w:after="0"/>
              <w:rPr>
                <w:sz w:val="1"/>
                <w:szCs w:val="1"/>
                <w:color w:val="auto"/>
              </w:rPr>
            </w:pPr>
          </w:p>
        </w:tc>
      </w:tr>
      <w:tr>
        <w:trPr>
          <w:trHeight w:val="241"/>
        </w:trPr>
        <w:tc>
          <w:tcPr>
            <w:tcW w:w="4640" w:type="dxa"/>
            <w:vAlign w:val="bottom"/>
          </w:tcPr>
          <w:p>
            <w:pPr>
              <w:spacing w:after="0"/>
              <w:rPr>
                <w:sz w:val="20"/>
                <w:szCs w:val="20"/>
                <w:color w:val="auto"/>
              </w:rPr>
            </w:pPr>
            <w:r>
              <w:rPr>
                <w:rFonts w:ascii="Arial" w:cs="Arial" w:eastAsia="Arial" w:hAnsi="Arial"/>
                <w:sz w:val="16"/>
                <w:szCs w:val="16"/>
                <w:color w:val="auto"/>
              </w:rPr>
              <w:t>Capital expenditures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46"/>
              <w:spacing w:after="0"/>
              <w:rPr>
                <w:sz w:val="20"/>
                <w:szCs w:val="20"/>
                <w:color w:val="auto"/>
              </w:rPr>
            </w:pPr>
            <w:r>
              <w:rPr>
                <w:rFonts w:ascii="Arial" w:cs="Arial" w:eastAsia="Arial" w:hAnsi="Arial"/>
                <w:sz w:val="16"/>
                <w:szCs w:val="16"/>
                <w:color w:val="auto"/>
              </w:rPr>
              <w:t>1,941</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1,571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5,993</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80" w:type="dxa"/>
            <w:vAlign w:val="bottom"/>
          </w:tcPr>
          <w:p>
            <w:pPr>
              <w:jc w:val="right"/>
              <w:ind w:right="40"/>
              <w:spacing w:after="0"/>
              <w:rPr>
                <w:sz w:val="20"/>
                <w:szCs w:val="20"/>
                <w:color w:val="auto"/>
              </w:rPr>
            </w:pPr>
            <w:r>
              <w:rPr>
                <w:rFonts w:ascii="Arial" w:cs="Arial" w:eastAsia="Arial" w:hAnsi="Arial"/>
                <w:sz w:val="16"/>
                <w:szCs w:val="16"/>
                <w:color w:val="auto"/>
              </w:rPr>
              <w:t>4,065</w:t>
            </w: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640" w:type="dxa"/>
            <w:vAlign w:val="bottom"/>
          </w:tcPr>
          <w:p>
            <w:pPr>
              <w:spacing w:after="0"/>
              <w:rPr>
                <w:sz w:val="20"/>
                <w:szCs w:val="20"/>
                <w:color w:val="auto"/>
              </w:rPr>
            </w:pPr>
            <w:r>
              <w:rPr>
                <w:rFonts w:ascii="Arial" w:cs="Arial" w:eastAsia="Arial" w:hAnsi="Arial"/>
                <w:sz w:val="16"/>
                <w:szCs w:val="16"/>
                <w:b w:val="1"/>
                <w:bCs w:val="1"/>
                <w:color w:val="auto"/>
              </w:rPr>
              <w:t>Automotive net cash provided by operating activities</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46"/>
              <w:spacing w:after="0"/>
              <w:rPr>
                <w:sz w:val="20"/>
                <w:szCs w:val="20"/>
                <w:color w:val="auto"/>
              </w:rPr>
            </w:pPr>
            <w:r>
              <w:rPr>
                <w:rFonts w:ascii="Arial" w:cs="Arial" w:eastAsia="Arial" w:hAnsi="Arial"/>
                <w:sz w:val="16"/>
                <w:szCs w:val="16"/>
                <w:b w:val="1"/>
                <w:bCs w:val="1"/>
                <w:color w:val="auto"/>
              </w:rPr>
              <w:t>3,113</w:t>
            </w:r>
          </w:p>
        </w:tc>
        <w:tc>
          <w:tcPr>
            <w:tcW w:w="120" w:type="dxa"/>
            <w:vAlign w:val="bottom"/>
          </w:tcPr>
          <w:p>
            <w:pPr>
              <w:spacing w:after="0"/>
              <w:rPr>
                <w:sz w:val="19"/>
                <w:szCs w:val="19"/>
                <w:color w:val="auto"/>
              </w:rPr>
            </w:pPr>
          </w:p>
        </w:tc>
        <w:tc>
          <w:tcPr>
            <w:tcW w:w="660" w:type="dxa"/>
            <w:vAlign w:val="bottom"/>
          </w:tcPr>
          <w:p>
            <w:pPr>
              <w:jc w:val="right"/>
              <w:ind w:right="485"/>
              <w:spacing w:after="0"/>
              <w:rPr>
                <w:sz w:val="20"/>
                <w:szCs w:val="20"/>
                <w:color w:val="auto"/>
              </w:rPr>
            </w:pPr>
            <w:r>
              <w:rPr>
                <w:rFonts w:ascii="Arial" w:cs="Arial" w:eastAsia="Arial" w:hAnsi="Arial"/>
                <w:sz w:val="16"/>
                <w:szCs w:val="16"/>
                <w:b w:val="1"/>
                <w:bCs w:val="1"/>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b w:val="1"/>
                <w:bCs w:val="1"/>
                <w:color w:val="auto"/>
              </w:rPr>
              <w:t>1,829</w:t>
            </w:r>
          </w:p>
        </w:tc>
        <w:tc>
          <w:tcPr>
            <w:tcW w:w="120" w:type="dxa"/>
            <w:vAlign w:val="bottom"/>
          </w:tcPr>
          <w:p>
            <w:pPr>
              <w:spacing w:after="0"/>
              <w:rPr>
                <w:sz w:val="19"/>
                <w:szCs w:val="19"/>
                <w:color w:val="auto"/>
              </w:rPr>
            </w:pPr>
          </w:p>
        </w:tc>
        <w:tc>
          <w:tcPr>
            <w:tcW w:w="400" w:type="dxa"/>
            <w:vAlign w:val="bottom"/>
          </w:tcPr>
          <w:p>
            <w:pPr>
              <w:jc w:val="right"/>
              <w:ind w:right="225"/>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ind w:right="22"/>
              <w:spacing w:after="0"/>
              <w:rPr>
                <w:sz w:val="20"/>
                <w:szCs w:val="20"/>
                <w:color w:val="auto"/>
              </w:rPr>
            </w:pPr>
            <w:r>
              <w:rPr>
                <w:rFonts w:ascii="Arial" w:cs="Arial" w:eastAsia="Arial" w:hAnsi="Arial"/>
                <w:sz w:val="16"/>
                <w:szCs w:val="16"/>
                <w:b w:val="1"/>
                <w:bCs w:val="1"/>
                <w:color w:val="auto"/>
              </w:rPr>
              <w:t>9,145</w:t>
            </w:r>
          </w:p>
        </w:tc>
        <w:tc>
          <w:tcPr>
            <w:tcW w:w="100" w:type="dxa"/>
            <w:vAlign w:val="bottom"/>
          </w:tcPr>
          <w:p>
            <w:pPr>
              <w:spacing w:after="0"/>
              <w:rPr>
                <w:sz w:val="19"/>
                <w:szCs w:val="19"/>
                <w:color w:val="auto"/>
              </w:rPr>
            </w:pPr>
          </w:p>
        </w:tc>
        <w:tc>
          <w:tcPr>
            <w:tcW w:w="680" w:type="dxa"/>
            <w:vAlign w:val="bottom"/>
          </w:tcPr>
          <w:p>
            <w:pPr>
              <w:jc w:val="right"/>
              <w:ind w:right="485"/>
              <w:spacing w:after="0"/>
              <w:rPr>
                <w:sz w:val="20"/>
                <w:szCs w:val="20"/>
                <w:color w:val="auto"/>
              </w:rPr>
            </w:pPr>
            <w:r>
              <w:rPr>
                <w:rFonts w:ascii="Arial" w:cs="Arial" w:eastAsia="Arial" w:hAnsi="Arial"/>
                <w:sz w:val="16"/>
                <w:szCs w:val="16"/>
                <w:b w:val="1"/>
                <w:bCs w:val="1"/>
                <w:color w:val="auto"/>
              </w:rPr>
              <w:t>$</w:t>
            </w:r>
          </w:p>
        </w:tc>
        <w:tc>
          <w:tcPr>
            <w:tcW w:w="580" w:type="dxa"/>
            <w:vAlign w:val="bottom"/>
          </w:tcPr>
          <w:p>
            <w:pPr>
              <w:jc w:val="right"/>
              <w:ind w:right="40"/>
              <w:spacing w:after="0"/>
              <w:rPr>
                <w:sz w:val="20"/>
                <w:szCs w:val="20"/>
                <w:color w:val="auto"/>
              </w:rPr>
            </w:pPr>
            <w:r>
              <w:rPr>
                <w:rFonts w:ascii="Arial" w:cs="Arial" w:eastAsia="Arial" w:hAnsi="Arial"/>
                <w:sz w:val="16"/>
                <w:szCs w:val="16"/>
                <w:b w:val="1"/>
                <w:bCs w:val="1"/>
                <w:color w:val="auto"/>
              </w:rPr>
              <w:t>6,194</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00" w:type="dxa"/>
            <w:vAlign w:val="bottom"/>
            <w:vMerge w:val="restart"/>
          </w:tcPr>
          <w:p>
            <w:pPr>
              <w:jc w:val="right"/>
              <w:ind w:right="220"/>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46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9" w:name="page10"/>
    <w:bookmarkEnd w:id="9"/>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25" w:lineRule="exact"/>
        <w:rPr>
          <w:sz w:val="20"/>
          <w:szCs w:val="20"/>
          <w:color w:val="auto"/>
        </w:rPr>
      </w:pPr>
    </w:p>
    <w:tbl>
      <w:tblPr>
        <w:tblLayout w:type="fixed"/>
        <w:tblInd w:w="24" w:type="dxa"/>
        <w:tblCellMar>
          <w:top w:w="0" w:type="dxa"/>
          <w:left w:w="0" w:type="dxa"/>
          <w:bottom w:w="0" w:type="dxa"/>
          <w:right w:w="0" w:type="dxa"/>
        </w:tblCellMar>
      </w:tblPr>
      <w:tr>
        <w:trPr>
          <w:trHeight w:val="126"/>
        </w:trPr>
        <w:tc>
          <w:tcPr>
            <w:tcW w:w="2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117"/>
        </w:trPr>
        <w:tc>
          <w:tcPr>
            <w:tcW w:w="2260" w:type="dxa"/>
            <w:vAlign w:val="bottom"/>
          </w:tcPr>
          <w:p>
            <w:pPr>
              <w:spacing w:after="0" w:line="117" w:lineRule="exact"/>
              <w:rPr>
                <w:sz w:val="20"/>
                <w:szCs w:val="20"/>
                <w:color w:val="auto"/>
              </w:rPr>
            </w:pPr>
            <w:r>
              <w:rPr>
                <w:rFonts w:ascii="Arial" w:cs="Arial" w:eastAsia="Arial" w:hAnsi="Arial"/>
                <w:sz w:val="11"/>
                <w:szCs w:val="11"/>
                <w:b w:val="1"/>
                <w:bCs w:val="1"/>
                <w:color w:val="auto"/>
              </w:rPr>
              <w:t>Three Months Ended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b w:val="1"/>
                <w:bCs w:val="1"/>
                <w:color w:val="auto"/>
              </w:rPr>
              <w:t>September 30, 2012</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23,344</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5,063</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6,745</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4,341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16</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(2,447)</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37,062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514</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37,576</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941</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253</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163</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117</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1,485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59</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1,541</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Equity income, net of tax and gain 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414</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418</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418</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117"/>
        </w:trPr>
        <w:tc>
          <w:tcPr>
            <w:tcW w:w="2260" w:type="dxa"/>
            <w:vAlign w:val="bottom"/>
          </w:tcPr>
          <w:p>
            <w:pPr>
              <w:spacing w:after="0" w:line="117" w:lineRule="exact"/>
              <w:rPr>
                <w:sz w:val="20"/>
                <w:szCs w:val="20"/>
                <w:color w:val="auto"/>
              </w:rPr>
            </w:pPr>
            <w:r>
              <w:rPr>
                <w:rFonts w:ascii="Arial" w:cs="Arial" w:eastAsia="Arial" w:hAnsi="Arial"/>
                <w:sz w:val="11"/>
                <w:szCs w:val="11"/>
                <w:b w:val="1"/>
                <w:bCs w:val="1"/>
                <w:color w:val="auto"/>
              </w:rPr>
              <w:t>Three Months Ended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b w:val="1"/>
                <w:bCs w:val="1"/>
                <w:color w:val="auto"/>
              </w:rPr>
              <w:t>September 30, 2011</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revenue(a)</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21,884</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6,151</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6,116</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4,418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20</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(2,261)</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36,328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391</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36,719</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882</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329</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115</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110</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11</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1,447</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1,471</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Equity income, net of tax and gain 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376</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377</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377</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117"/>
        </w:trPr>
        <w:tc>
          <w:tcPr>
            <w:tcW w:w="2260" w:type="dxa"/>
            <w:vAlign w:val="bottom"/>
          </w:tcPr>
          <w:p>
            <w:pPr>
              <w:spacing w:after="0" w:line="117" w:lineRule="exact"/>
              <w:rPr>
                <w:sz w:val="20"/>
                <w:szCs w:val="20"/>
                <w:color w:val="auto"/>
              </w:rPr>
            </w:pPr>
            <w:r>
              <w:rPr>
                <w:rFonts w:ascii="Arial" w:cs="Arial" w:eastAsia="Arial" w:hAnsi="Arial"/>
                <w:sz w:val="11"/>
                <w:szCs w:val="11"/>
                <w:b w:val="1"/>
                <w:bCs w:val="1"/>
                <w:color w:val="auto"/>
              </w:rPr>
              <w:t>Nine Months Ended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b w:val="1"/>
                <w:bCs w:val="1"/>
                <w:color w:val="auto"/>
              </w:rPr>
              <w:t>September 30, 2012</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70,420</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16,470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19,750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12,459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41</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(7,624)</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111,516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1,432</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112,949</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2,723</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828</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441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352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37</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4,380</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156</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4,529</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Equity income, net of tax and gain 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7</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1,133</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1,141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1,141</w:t>
            </w:r>
          </w:p>
        </w:tc>
      </w:tr>
      <w:tr>
        <w:trPr>
          <w:trHeight w:val="254"/>
        </w:trPr>
        <w:tc>
          <w:tcPr>
            <w:tcW w:w="2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53"/>
        </w:trPr>
        <w:tc>
          <w:tcPr>
            <w:tcW w:w="2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6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GME</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GMIO</w:t>
            </w:r>
          </w:p>
        </w:tc>
        <w:tc>
          <w:tcPr>
            <w:tcW w:w="14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20" w:type="dxa"/>
            <w:vAlign w:val="bottom"/>
          </w:tcPr>
          <w:p>
            <w:pPr>
              <w:spacing w:after="0"/>
              <w:rPr>
                <w:sz w:val="13"/>
                <w:szCs w:val="13"/>
                <w:color w:val="auto"/>
              </w:rPr>
            </w:pPr>
          </w:p>
        </w:tc>
        <w:tc>
          <w:tcPr>
            <w:tcW w:w="840" w:type="dxa"/>
            <w:vAlign w:val="bottom"/>
            <w:gridSpan w:val="2"/>
          </w:tcPr>
          <w:p>
            <w:pPr>
              <w:ind w:left="4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54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117"/>
        </w:trPr>
        <w:tc>
          <w:tcPr>
            <w:tcW w:w="2260" w:type="dxa"/>
            <w:vAlign w:val="bottom"/>
          </w:tcPr>
          <w:p>
            <w:pPr>
              <w:spacing w:after="0" w:line="117" w:lineRule="exact"/>
              <w:rPr>
                <w:sz w:val="20"/>
                <w:szCs w:val="20"/>
                <w:color w:val="auto"/>
              </w:rPr>
            </w:pPr>
            <w:r>
              <w:rPr>
                <w:rFonts w:ascii="Arial" w:cs="Arial" w:eastAsia="Arial" w:hAnsi="Arial"/>
                <w:sz w:val="11"/>
                <w:szCs w:val="11"/>
                <w:b w:val="1"/>
                <w:bCs w:val="1"/>
                <w:color w:val="auto"/>
              </w:rPr>
              <w:t>Nine Months Ended</w:t>
            </w: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r>
      <w:tr>
        <w:trPr>
          <w:trHeight w:val="144"/>
        </w:trPr>
        <w:tc>
          <w:tcPr>
            <w:tcW w:w="2260" w:type="dxa"/>
            <w:vAlign w:val="bottom"/>
          </w:tcPr>
          <w:p>
            <w:pPr>
              <w:spacing w:after="0"/>
              <w:rPr>
                <w:sz w:val="20"/>
                <w:szCs w:val="20"/>
                <w:color w:val="auto"/>
              </w:rPr>
            </w:pPr>
            <w:r>
              <w:rPr>
                <w:rFonts w:ascii="Arial" w:cs="Arial" w:eastAsia="Arial" w:hAnsi="Arial"/>
                <w:sz w:val="11"/>
                <w:szCs w:val="11"/>
                <w:b w:val="1"/>
                <w:bCs w:val="1"/>
                <w:color w:val="auto"/>
              </w:rPr>
              <w:t>September 30, 2011</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241"/>
        </w:trPr>
        <w:tc>
          <w:tcPr>
            <w:tcW w:w="2260" w:type="dxa"/>
            <w:vAlign w:val="bottom"/>
          </w:tcPr>
          <w:p>
            <w:pPr>
              <w:spacing w:after="0"/>
              <w:rPr>
                <w:sz w:val="20"/>
                <w:szCs w:val="20"/>
                <w:color w:val="auto"/>
              </w:rPr>
            </w:pPr>
            <w:r>
              <w:rPr>
                <w:rFonts w:ascii="Arial" w:cs="Arial" w:eastAsia="Arial" w:hAnsi="Arial"/>
                <w:sz w:val="11"/>
                <w:szCs w:val="11"/>
                <w:color w:val="auto"/>
              </w:rPr>
              <w:t>Total net sales and revenue(a)</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67,122</w:t>
            </w:r>
          </w:p>
        </w:tc>
        <w:tc>
          <w:tcPr>
            <w:tcW w:w="120" w:type="dxa"/>
            <w:vAlign w:val="bottom"/>
          </w:tcPr>
          <w:p>
            <w:pPr>
              <w:spacing w:after="0"/>
              <w:rPr>
                <w:sz w:val="20"/>
                <w:szCs w:val="20"/>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20,480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17,726</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12,677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50</w:t>
            </w:r>
          </w:p>
        </w:tc>
        <w:tc>
          <w:tcPr>
            <w:tcW w:w="14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(6,785)</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111,270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1,016</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112,286</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Depreciation, amortization and impairment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21"/>
        </w:trPr>
        <w:tc>
          <w:tcPr>
            <w:tcW w:w="2260" w:type="dxa"/>
            <w:vAlign w:val="bottom"/>
          </w:tcPr>
          <w:p>
            <w:pPr>
              <w:ind w:left="140"/>
              <w:spacing w:after="0" w:line="121" w:lineRule="exact"/>
              <w:rPr>
                <w:sz w:val="20"/>
                <w:szCs w:val="20"/>
                <w:color w:val="auto"/>
              </w:rPr>
            </w:pPr>
            <w:r>
              <w:rPr>
                <w:rFonts w:ascii="Arial" w:cs="Arial" w:eastAsia="Arial" w:hAnsi="Arial"/>
                <w:sz w:val="11"/>
                <w:szCs w:val="11"/>
                <w:color w:val="auto"/>
              </w:rPr>
              <w:t>long-lived assets and finite-lived intangible</w:t>
            </w: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2,849</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1,043</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354</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341</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64"/>
              <w:spacing w:after="0"/>
              <w:rPr>
                <w:sz w:val="20"/>
                <w:szCs w:val="20"/>
                <w:color w:val="auto"/>
              </w:rPr>
            </w:pPr>
            <w:r>
              <w:rPr>
                <w:rFonts w:ascii="Arial" w:cs="Arial" w:eastAsia="Arial" w:hAnsi="Arial"/>
                <w:sz w:val="11"/>
                <w:szCs w:val="11"/>
                <w:color w:val="auto"/>
              </w:rPr>
              <w:t>37</w:t>
            </w:r>
          </w:p>
        </w:tc>
        <w:tc>
          <w:tcPr>
            <w:tcW w:w="14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4,624</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4,681</w:t>
            </w:r>
          </w:p>
        </w:tc>
      </w:tr>
      <w:tr>
        <w:trPr>
          <w:trHeight w:val="256"/>
        </w:trPr>
        <w:tc>
          <w:tcPr>
            <w:tcW w:w="2260" w:type="dxa"/>
            <w:vAlign w:val="bottom"/>
          </w:tcPr>
          <w:p>
            <w:pPr>
              <w:spacing w:after="0"/>
              <w:rPr>
                <w:sz w:val="20"/>
                <w:szCs w:val="20"/>
                <w:color w:val="auto"/>
              </w:rPr>
            </w:pPr>
            <w:r>
              <w:rPr>
                <w:rFonts w:ascii="Arial" w:cs="Arial" w:eastAsia="Arial" w:hAnsi="Arial"/>
                <w:sz w:val="11"/>
                <w:szCs w:val="11"/>
                <w:color w:val="auto"/>
              </w:rPr>
              <w:t>Equity income, net of tax and gain on</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142"/>
        </w:trPr>
        <w:tc>
          <w:tcPr>
            <w:tcW w:w="226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1,733</w:t>
            </w:r>
          </w:p>
        </w:tc>
        <w:tc>
          <w:tcPr>
            <w:tcW w:w="12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66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1,170</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2,903</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64"/>
              <w:spacing w:after="0"/>
              <w:rPr>
                <w:sz w:val="20"/>
                <w:szCs w:val="20"/>
                <w:color w:val="auto"/>
              </w:rPr>
            </w:pPr>
            <w:r>
              <w:rPr>
                <w:rFonts w:ascii="Arial" w:cs="Arial" w:eastAsia="Arial" w:hAnsi="Arial"/>
                <w:sz w:val="11"/>
                <w:szCs w:val="11"/>
                <w:color w:val="auto"/>
              </w:rPr>
              <w:t>2,903</w:t>
            </w:r>
          </w:p>
        </w:tc>
      </w:tr>
    </w:tbl>
    <w:p>
      <w:pPr>
        <w:spacing w:after="0" w:line="4"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w:t>
      </w:r>
    </w:p>
    <w:p>
      <w:pPr>
        <w:spacing w:after="0" w:line="16" w:lineRule="exact"/>
        <w:rPr>
          <w:sz w:val="20"/>
          <w:szCs w:val="20"/>
          <w:color w:val="auto"/>
        </w:rPr>
      </w:pPr>
    </w:p>
    <w:p>
      <w:pPr>
        <w:ind w:left="284" w:hanging="284"/>
        <w:spacing w:after="0"/>
        <w:tabs>
          <w:tab w:leader="none" w:pos="284" w:val="left"/>
        </w:tabs>
        <w:numPr>
          <w:ilvl w:val="0"/>
          <w:numId w:val="5"/>
        </w:numPr>
        <w:rPr>
          <w:rFonts w:ascii="Arial" w:cs="Arial" w:eastAsia="Arial" w:hAnsi="Arial"/>
          <w:sz w:val="13"/>
          <w:szCs w:val="13"/>
          <w:color w:val="auto"/>
        </w:rPr>
      </w:pPr>
      <w:r>
        <w:rPr>
          <w:rFonts w:ascii="Arial" w:cs="Arial" w:eastAsia="Arial" w:hAnsi="Arial"/>
          <w:sz w:val="13"/>
          <w:szCs w:val="13"/>
          <w:color w:val="auto"/>
        </w:rPr>
        <w:t>Presentation of intersegment sales has been adjusted to conform to the current presentation.</w:t>
      </w: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4"/>
          </w:cols>
          <w:pgMar w:left="236" w:top="533" w:right="219" w:bottom="1440" w:gutter="0" w:footer="0" w:header="0"/>
        </w:sectPr>
      </w:pPr>
    </w:p>
    <w:bookmarkStart w:id="10" w:name="page11"/>
    <w:bookmarkEnd w:id="10"/>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120" w:type="dxa"/>
            <w:vAlign w:val="bottom"/>
          </w:tcPr>
          <w:p>
            <w:pPr>
              <w:spacing w:after="0"/>
              <w:rPr>
                <w:sz w:val="14"/>
                <w:szCs w:val="14"/>
                <w:color w:val="auto"/>
              </w:rPr>
            </w:pPr>
          </w:p>
        </w:tc>
        <w:tc>
          <w:tcPr>
            <w:tcW w:w="1720" w:type="dxa"/>
            <w:vAlign w:val="bottom"/>
            <w:gridSpan w:val="2"/>
          </w:tcPr>
          <w:p>
            <w:pPr>
              <w:ind w:left="280"/>
              <w:spacing w:after="0"/>
              <w:rPr>
                <w:sz w:val="20"/>
                <w:szCs w:val="20"/>
                <w:color w:val="auto"/>
              </w:rPr>
            </w:pPr>
            <w:r>
              <w:rPr>
                <w:rFonts w:ascii="Arial" w:cs="Arial" w:eastAsia="Arial" w:hAnsi="Arial"/>
                <w:sz w:val="13"/>
                <w:szCs w:val="13"/>
                <w:b w:val="1"/>
                <w:bCs w:val="1"/>
                <w:color w:val="auto"/>
              </w:rPr>
              <w:t>September 30, 2012</w:t>
            </w:r>
          </w:p>
        </w:tc>
        <w:tc>
          <w:tcPr>
            <w:tcW w:w="1600" w:type="dxa"/>
            <w:vAlign w:val="bottom"/>
          </w:tcPr>
          <w:p>
            <w:pPr>
              <w:jc w:val="right"/>
              <w:ind w:right="201"/>
              <w:spacing w:after="0"/>
              <w:rPr>
                <w:sz w:val="20"/>
                <w:szCs w:val="20"/>
                <w:color w:val="auto"/>
              </w:rPr>
            </w:pPr>
            <w:r>
              <w:rPr>
                <w:rFonts w:ascii="Arial" w:cs="Arial" w:eastAsia="Arial" w:hAnsi="Arial"/>
                <w:sz w:val="13"/>
                <w:szCs w:val="13"/>
                <w:b w:val="1"/>
                <w:bCs w:val="1"/>
                <w:color w:val="auto"/>
              </w:rPr>
              <w:t>December 31, 2011</w:t>
            </w:r>
          </w:p>
        </w:tc>
      </w:tr>
      <w:tr>
        <w:trPr>
          <w:trHeight w:val="217"/>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Worldwide Employment (thousands)</w:t>
            </w: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r>
      <w:tr>
        <w:trPr>
          <w:trHeight w:val="241"/>
        </w:trPr>
        <w:tc>
          <w:tcPr>
            <w:tcW w:w="8120" w:type="dxa"/>
            <w:vAlign w:val="bottom"/>
          </w:tcPr>
          <w:p>
            <w:pPr>
              <w:ind w:left="20"/>
              <w:spacing w:after="0"/>
              <w:rPr>
                <w:sz w:val="20"/>
                <w:szCs w:val="20"/>
                <w:color w:val="auto"/>
              </w:rPr>
            </w:pPr>
            <w:r>
              <w:rPr>
                <w:rFonts w:ascii="Arial" w:cs="Arial" w:eastAsia="Arial" w:hAnsi="Arial"/>
                <w:sz w:val="16"/>
                <w:szCs w:val="16"/>
                <w:color w:val="auto"/>
              </w:rPr>
              <w:t>GMNA</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98</w:t>
            </w:r>
          </w:p>
        </w:tc>
      </w:tr>
      <w:tr>
        <w:trPr>
          <w:trHeight w:val="241"/>
        </w:trPr>
        <w:tc>
          <w:tcPr>
            <w:tcW w:w="8120" w:type="dxa"/>
            <w:vAlign w:val="bottom"/>
          </w:tcPr>
          <w:p>
            <w:pPr>
              <w:ind w:left="20"/>
              <w:spacing w:after="0"/>
              <w:rPr>
                <w:sz w:val="20"/>
                <w:szCs w:val="20"/>
                <w:color w:val="auto"/>
              </w:rPr>
            </w:pPr>
            <w:r>
              <w:rPr>
                <w:rFonts w:ascii="Arial" w:cs="Arial" w:eastAsia="Arial" w:hAnsi="Arial"/>
                <w:sz w:val="16"/>
                <w:szCs w:val="16"/>
                <w:color w:val="auto"/>
              </w:rPr>
              <w:t>GME</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39</w:t>
            </w:r>
          </w:p>
        </w:tc>
      </w:tr>
      <w:tr>
        <w:trPr>
          <w:trHeight w:val="241"/>
        </w:trPr>
        <w:tc>
          <w:tcPr>
            <w:tcW w:w="8120" w:type="dxa"/>
            <w:vAlign w:val="bottom"/>
          </w:tcPr>
          <w:p>
            <w:pPr>
              <w:ind w:left="20"/>
              <w:spacing w:after="0"/>
              <w:rPr>
                <w:sz w:val="20"/>
                <w:szCs w:val="20"/>
                <w:color w:val="auto"/>
              </w:rPr>
            </w:pPr>
            <w:r>
              <w:rPr>
                <w:rFonts w:ascii="Arial" w:cs="Arial" w:eastAsia="Arial" w:hAnsi="Arial"/>
                <w:sz w:val="16"/>
                <w:szCs w:val="16"/>
                <w:color w:val="auto"/>
              </w:rPr>
              <w:t>GMIO(a)</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34</w:t>
            </w:r>
          </w:p>
        </w:tc>
      </w:tr>
      <w:tr>
        <w:trPr>
          <w:trHeight w:val="241"/>
        </w:trPr>
        <w:tc>
          <w:tcPr>
            <w:tcW w:w="8120" w:type="dxa"/>
            <w:vAlign w:val="bottom"/>
          </w:tcPr>
          <w:p>
            <w:pPr>
              <w:ind w:left="20"/>
              <w:spacing w:after="0"/>
              <w:rPr>
                <w:sz w:val="20"/>
                <w:szCs w:val="20"/>
                <w:color w:val="auto"/>
              </w:rPr>
            </w:pPr>
            <w:r>
              <w:rPr>
                <w:rFonts w:ascii="Arial" w:cs="Arial" w:eastAsia="Arial" w:hAnsi="Arial"/>
                <w:sz w:val="16"/>
                <w:szCs w:val="16"/>
                <w:color w:val="auto"/>
              </w:rPr>
              <w:t>GMSA</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33</w:t>
            </w:r>
          </w:p>
        </w:tc>
      </w:tr>
      <w:tr>
        <w:trPr>
          <w:trHeight w:val="241"/>
        </w:trPr>
        <w:tc>
          <w:tcPr>
            <w:tcW w:w="812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w:t>
            </w:r>
          </w:p>
        </w:tc>
      </w:tr>
      <w:tr>
        <w:trPr>
          <w:trHeight w:val="24"/>
        </w:trPr>
        <w:tc>
          <w:tcPr>
            <w:tcW w:w="8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7"/>
        </w:trPr>
        <w:tc>
          <w:tcPr>
            <w:tcW w:w="812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16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213</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207</w:t>
            </w:r>
          </w:p>
        </w:tc>
      </w:tr>
      <w:tr>
        <w:trPr>
          <w:trHeight w:val="20"/>
        </w:trPr>
        <w:tc>
          <w:tcPr>
            <w:tcW w:w="8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440"/>
        </w:trPr>
        <w:tc>
          <w:tcPr>
            <w:tcW w:w="8120" w:type="dxa"/>
            <w:vAlign w:val="bottom"/>
          </w:tcPr>
          <w:p>
            <w:pPr>
              <w:ind w:left="20"/>
              <w:spacing w:after="0"/>
              <w:rPr>
                <w:sz w:val="20"/>
                <w:szCs w:val="20"/>
                <w:color w:val="auto"/>
              </w:rPr>
            </w:pPr>
            <w:r>
              <w:rPr>
                <w:rFonts w:ascii="Arial" w:cs="Arial" w:eastAsia="Arial" w:hAnsi="Arial"/>
                <w:sz w:val="16"/>
                <w:szCs w:val="16"/>
                <w:color w:val="auto"/>
              </w:rPr>
              <w:t>U.S. - Salaried</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4"/>
                <w:szCs w:val="24"/>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29</w:t>
            </w:r>
          </w:p>
        </w:tc>
      </w:tr>
      <w:tr>
        <w:trPr>
          <w:trHeight w:val="241"/>
        </w:trPr>
        <w:tc>
          <w:tcPr>
            <w:tcW w:w="8120" w:type="dxa"/>
            <w:vAlign w:val="bottom"/>
          </w:tcPr>
          <w:p>
            <w:pPr>
              <w:ind w:left="20"/>
              <w:spacing w:after="0"/>
              <w:rPr>
                <w:sz w:val="20"/>
                <w:szCs w:val="20"/>
                <w:color w:val="auto"/>
              </w:rPr>
            </w:pPr>
            <w:r>
              <w:rPr>
                <w:rFonts w:ascii="Arial" w:cs="Arial" w:eastAsia="Arial" w:hAnsi="Arial"/>
                <w:sz w:val="16"/>
                <w:szCs w:val="16"/>
                <w:color w:val="auto"/>
              </w:rPr>
              <w:t>U.S. - Hourly</w:t>
            </w:r>
          </w:p>
        </w:tc>
        <w:tc>
          <w:tcPr>
            <w:tcW w:w="1620" w:type="dxa"/>
            <w:vAlign w:val="bottom"/>
          </w:tcPr>
          <w:p>
            <w:pPr>
              <w:jc w:val="right"/>
              <w:ind w:right="4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48</w:t>
            </w:r>
          </w:p>
        </w:tc>
      </w:tr>
      <w:tr>
        <w:trPr>
          <w:trHeight w:val="217"/>
        </w:trPr>
        <w:tc>
          <w:tcPr>
            <w:tcW w:w="8120" w:type="dxa"/>
            <w:vAlign w:val="bottom"/>
          </w:tcPr>
          <w:p>
            <w:pPr>
              <w:spacing w:after="0"/>
              <w:rPr>
                <w:sz w:val="20"/>
                <w:szCs w:val="20"/>
                <w:color w:val="auto"/>
              </w:rPr>
            </w:pPr>
            <w:r>
              <w:rPr>
                <w:rFonts w:ascii="Arial" w:cs="Arial" w:eastAsia="Arial" w:hAnsi="Arial"/>
                <w:sz w:val="16"/>
                <w:szCs w:val="16"/>
                <w:color w:val="auto"/>
              </w:rPr>
              <w:t>______</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r>
    </w:tbl>
    <w:p>
      <w:pPr>
        <w:spacing w:after="0"/>
        <w:tabs>
          <w:tab w:leader="none" w:pos="26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3"/>
          <w:szCs w:val="13"/>
          <w:color w:val="auto"/>
        </w:rPr>
        <w:t>Increase in GMIO includes an increase of 4,000 employees due to the acquisition of HKJV.</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40"/>
          </w:cols>
          <w:pgMar w:left="240" w:top="726" w:right="219" w:bottom="1440" w:gutter="0" w:footer="0" w:header="0"/>
        </w:sectPr>
      </w:pPr>
    </w:p>
    <w:bookmarkStart w:id="11" w:name="page12"/>
    <w:bookmarkEnd w:id="11"/>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2012</w:t>
            </w:r>
          </w:p>
        </w:tc>
        <w:tc>
          <w:tcPr>
            <w:tcW w:w="13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2011</w:t>
            </w: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2012</w:t>
            </w:r>
          </w:p>
        </w:tc>
        <w:tc>
          <w:tcPr>
            <w:tcW w:w="1260" w:type="dxa"/>
            <w:vAlign w:val="bottom"/>
          </w:tcPr>
          <w:p>
            <w:pPr>
              <w:jc w:val="right"/>
              <w:ind w:right="21"/>
              <w:spacing w:after="0"/>
              <w:rPr>
                <w:sz w:val="20"/>
                <w:szCs w:val="20"/>
                <w:color w:val="auto"/>
              </w:rPr>
            </w:pPr>
            <w:r>
              <w:rPr>
                <w:rFonts w:ascii="Arial" w:cs="Arial" w:eastAsia="Arial" w:hAnsi="Arial"/>
                <w:sz w:val="13"/>
                <w:szCs w:val="13"/>
                <w:b w:val="1"/>
                <w:bCs w:val="1"/>
                <w:color w:val="auto"/>
                <w:w w:val="93"/>
              </w:rPr>
              <w:t>September 30, 2011</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Production Volume (units in thousands)(a)</w:t>
            </w: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GMNA - Cars</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965</w:t>
            </w:r>
          </w:p>
        </w:tc>
        <w:tc>
          <w:tcPr>
            <w:tcW w:w="1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GMNA - Trucks</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473</w:t>
            </w: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1,497</w:t>
            </w:r>
          </w:p>
        </w:tc>
        <w:tc>
          <w:tcPr>
            <w:tcW w:w="1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Total GMNA</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740</w:t>
            </w:r>
          </w:p>
        </w:tc>
        <w:tc>
          <w:tcPr>
            <w:tcW w:w="120" w:type="dxa"/>
            <w:vAlign w:val="bottom"/>
          </w:tcPr>
          <w:p>
            <w:pPr>
              <w:spacing w:after="0"/>
              <w:rPr>
                <w:sz w:val="18"/>
                <w:szCs w:val="18"/>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2,462</w:t>
            </w:r>
          </w:p>
        </w:tc>
        <w:tc>
          <w:tcPr>
            <w:tcW w:w="10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2,350</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GME</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718</w:t>
            </w:r>
          </w:p>
        </w:tc>
        <w:tc>
          <w:tcPr>
            <w:tcW w:w="1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GMIO - Consolidated Entities</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GMIO - Joint Ventures(b)</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2,352</w:t>
            </w:r>
          </w:p>
        </w:tc>
        <w:tc>
          <w:tcPr>
            <w:tcW w:w="1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Total GMIO</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1,056</w:t>
            </w:r>
          </w:p>
        </w:tc>
        <w:tc>
          <w:tcPr>
            <w:tcW w:w="12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968</w:t>
            </w:r>
          </w:p>
        </w:tc>
        <w:tc>
          <w:tcPr>
            <w:tcW w:w="120" w:type="dxa"/>
            <w:vAlign w:val="bottom"/>
          </w:tcPr>
          <w:p>
            <w:pPr>
              <w:spacing w:after="0"/>
              <w:rPr>
                <w:sz w:val="18"/>
                <w:szCs w:val="18"/>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3,218</w:t>
            </w:r>
          </w:p>
        </w:tc>
        <w:tc>
          <w:tcPr>
            <w:tcW w:w="100" w:type="dxa"/>
            <w:vAlign w:val="bottom"/>
          </w:tcPr>
          <w:p>
            <w:pPr>
              <w:spacing w:after="0"/>
              <w:rPr>
                <w:sz w:val="18"/>
                <w:szCs w:val="18"/>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GMSA</w:t>
            </w:r>
          </w:p>
        </w:tc>
        <w:tc>
          <w:tcPr>
            <w:tcW w:w="1280" w:type="dxa"/>
            <w:vAlign w:val="bottom"/>
          </w:tcPr>
          <w:p>
            <w:pPr>
              <w:jc w:val="right"/>
              <w:ind w:right="63"/>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20"/>
                <w:szCs w:val="20"/>
                <w:color w:val="auto"/>
              </w:rPr>
            </w:pPr>
          </w:p>
        </w:tc>
        <w:tc>
          <w:tcPr>
            <w:tcW w:w="1240" w:type="dxa"/>
            <w:vAlign w:val="bottom"/>
          </w:tcPr>
          <w:p>
            <w:pPr>
              <w:jc w:val="right"/>
              <w:ind w:right="23"/>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0"/>
                <w:szCs w:val="20"/>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128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2,237</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2,221</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7,054</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6,948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6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4" w:hanging="284"/>
        <w:spacing w:after="0" w:line="232" w:lineRule="auto"/>
        <w:tabs>
          <w:tab w:leader="none" w:pos="284"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Production volume includes vehicles produced by certain joint ventures.</w:t>
      </w:r>
    </w:p>
    <w:p>
      <w:pPr>
        <w:ind w:left="284" w:hanging="284"/>
        <w:spacing w:after="0"/>
        <w:tabs>
          <w:tab w:leader="none" w:pos="284"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joint venture agreements with SGMW and FAW-GM allow for significant rights as a member as well as the contractual right to report SGMW and FAW-GM joint venture production in China.</w:t>
      </w:r>
    </w:p>
    <w:p>
      <w:pPr>
        <w:spacing w:after="0" w:line="200" w:lineRule="exact"/>
        <w:rPr>
          <w:sz w:val="20"/>
          <w:szCs w:val="20"/>
          <w:color w:val="auto"/>
        </w:rPr>
      </w:pP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4"/>
          </w:cols>
          <w:pgMar w:left="236" w:top="726" w:right="219" w:bottom="1440" w:gutter="0" w:footer="0" w:header="0"/>
        </w:sectPr>
      </w:pPr>
    </w:p>
    <w:bookmarkStart w:id="12" w:name="page13"/>
    <w:bookmarkEnd w:id="12"/>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2012</w:t>
            </w:r>
          </w:p>
        </w:tc>
        <w:tc>
          <w:tcPr>
            <w:tcW w:w="13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2011</w:t>
            </w: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2012</w:t>
            </w:r>
          </w:p>
        </w:tc>
        <w:tc>
          <w:tcPr>
            <w:tcW w:w="1260" w:type="dxa"/>
            <w:vAlign w:val="bottom"/>
          </w:tcPr>
          <w:p>
            <w:pPr>
              <w:jc w:val="right"/>
              <w:ind w:right="20"/>
              <w:spacing w:after="0"/>
              <w:rPr>
                <w:sz w:val="20"/>
                <w:szCs w:val="20"/>
                <w:color w:val="auto"/>
              </w:rPr>
            </w:pPr>
            <w:r>
              <w:rPr>
                <w:rFonts w:ascii="Arial" w:cs="Arial" w:eastAsia="Arial" w:hAnsi="Arial"/>
                <w:sz w:val="13"/>
                <w:szCs w:val="13"/>
                <w:b w:val="1"/>
                <w:bCs w:val="1"/>
                <w:color w:val="auto"/>
                <w:w w:val="93"/>
              </w:rPr>
              <w:t>September 30, 2011</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Vehicle Sales (units in thousands)(a)(b)(c)</w:t>
            </w: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 - Cars</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 - Trucks</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 - Crossovers</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Cadillac</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Buick</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GMC</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United States</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652</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641</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1,968</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1,902</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Canada, Mexico and Other</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316</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GMNA</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759</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746</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2,284</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2,214</w:t>
            </w:r>
          </w:p>
        </w:tc>
        <w:tc>
          <w:tcPr>
            <w:tcW w:w="0" w:type="dxa"/>
            <w:vAlign w:val="bottom"/>
          </w:tcPr>
          <w:p>
            <w:pPr>
              <w:spacing w:after="0"/>
              <w:rPr>
                <w:sz w:val="1"/>
                <w:szCs w:val="1"/>
                <w:color w:val="auto"/>
              </w:rPr>
            </w:pPr>
          </w:p>
        </w:tc>
      </w:tr>
      <w:tr>
        <w:trPr>
          <w:trHeight w:val="24"/>
        </w:trPr>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GME</w:t>
            </w: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Opel/Vauxhall</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818</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415</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Other</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GME</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382</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412</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1,235</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1,333</w:t>
            </w:r>
          </w:p>
        </w:tc>
        <w:tc>
          <w:tcPr>
            <w:tcW w:w="0" w:type="dxa"/>
            <w:vAlign w:val="bottom"/>
          </w:tcPr>
          <w:p>
            <w:pPr>
              <w:spacing w:after="0"/>
              <w:rPr>
                <w:sz w:val="1"/>
                <w:szCs w:val="1"/>
                <w:color w:val="auto"/>
              </w:rPr>
            </w:pPr>
          </w:p>
        </w:tc>
      </w:tr>
      <w:tr>
        <w:trPr>
          <w:trHeight w:val="24"/>
        </w:trPr>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GMIO</w:t>
            </w: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858</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Wuling</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303</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990</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Buick</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GM Daewoo</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Holden</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GMC</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Cadillac</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Other</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GMIO(d)</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857</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811</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2,648</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2,437</w:t>
            </w:r>
          </w:p>
        </w:tc>
        <w:tc>
          <w:tcPr>
            <w:tcW w:w="0" w:type="dxa"/>
            <w:vAlign w:val="bottom"/>
          </w:tcPr>
          <w:p>
            <w:pPr>
              <w:spacing w:after="0"/>
              <w:rPr>
                <w:sz w:val="1"/>
                <w:szCs w:val="1"/>
                <w:color w:val="auto"/>
              </w:rPr>
            </w:pPr>
          </w:p>
        </w:tc>
      </w:tr>
      <w:tr>
        <w:trPr>
          <w:trHeight w:val="24"/>
        </w:trPr>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GMSA</w:t>
            </w: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783</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Other</w:t>
            </w:r>
          </w:p>
        </w:tc>
        <w:tc>
          <w:tcPr>
            <w:tcW w:w="1280" w:type="dxa"/>
            <w:vAlign w:val="bottom"/>
          </w:tcPr>
          <w:p>
            <w:pPr>
              <w:jc w:val="right"/>
              <w:ind w:right="6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GMSA</w:t>
            </w:r>
          </w:p>
        </w:tc>
        <w:tc>
          <w:tcPr>
            <w:tcW w:w="1280" w:type="dxa"/>
            <w:vAlign w:val="bottom"/>
          </w:tcPr>
          <w:p>
            <w:pPr>
              <w:jc w:val="right"/>
              <w:ind w:right="61"/>
              <w:spacing w:after="0"/>
              <w:rPr>
                <w:sz w:val="20"/>
                <w:szCs w:val="20"/>
                <w:color w:val="auto"/>
              </w:rPr>
            </w:pPr>
            <w:r>
              <w:rPr>
                <w:rFonts w:ascii="Arial" w:cs="Arial" w:eastAsia="Arial" w:hAnsi="Arial"/>
                <w:sz w:val="16"/>
                <w:szCs w:val="16"/>
                <w:b w:val="1"/>
                <w:bCs w:val="1"/>
                <w:color w:val="auto"/>
              </w:rPr>
              <w:t>283</w:t>
            </w:r>
          </w:p>
        </w:tc>
        <w:tc>
          <w:tcPr>
            <w:tcW w:w="12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277</w:t>
            </w:r>
          </w:p>
        </w:tc>
        <w:tc>
          <w:tcPr>
            <w:tcW w:w="120" w:type="dxa"/>
            <w:vAlign w:val="bottom"/>
          </w:tcPr>
          <w:p>
            <w:pPr>
              <w:spacing w:after="0"/>
              <w:rPr>
                <w:sz w:val="18"/>
                <w:szCs w:val="18"/>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b w:val="1"/>
                <w:bCs w:val="1"/>
                <w:color w:val="auto"/>
              </w:rPr>
              <w:t>787</w:t>
            </w:r>
          </w:p>
        </w:tc>
        <w:tc>
          <w:tcPr>
            <w:tcW w:w="100" w:type="dxa"/>
            <w:vAlign w:val="bottom"/>
          </w:tcPr>
          <w:p>
            <w:pPr>
              <w:spacing w:after="0"/>
              <w:rPr>
                <w:sz w:val="18"/>
                <w:szCs w:val="18"/>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b w:val="1"/>
                <w:bCs w:val="1"/>
                <w:color w:val="auto"/>
              </w:rPr>
              <w:t>799</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12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2,281</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2,245</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6,954</w:t>
            </w: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6,783</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6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4" w:right="20" w:hanging="284"/>
        <w:spacing w:after="0" w:line="232"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GMNA vehicle sales primarily represent sales to the end customer. GME, GMIO and GMSA vehicle sales primarily represent estimated sales to the end customer. In countries where end customer data is not readily available other data sources, such as wholesale or forecast volumes, are used to estimate vehicle sales.</w:t>
      </w:r>
    </w:p>
    <w:p>
      <w:pPr>
        <w:ind w:left="284" w:hanging="284"/>
        <w:spacing w:after="0" w:line="232"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Certain fleet sales that are accounted for as operating leases are included in vehicle sales at the time of delivery to the daily rental car companies.</w:t>
      </w:r>
    </w:p>
    <w:p>
      <w:pPr>
        <w:ind w:left="284" w:hanging="284"/>
        <w:spacing w:after="0" w:line="232"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Vehicle sales data may include rounding differences.</w:t>
      </w:r>
    </w:p>
    <w:p>
      <w:pPr>
        <w:ind w:left="284" w:right="140" w:hanging="284"/>
        <w:spacing w:after="0" w:line="238"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the following joint venture sales. Vehicle sales for SAIC GM Investment Limited, General Motors India Private Limited and Chevrolet Sales India Private Limited (collectively HKJV) are included through August 31, 2012:</w:t>
      </w:r>
    </w:p>
    <w:p>
      <w:pPr>
        <w:spacing w:after="0" w:line="184" w:lineRule="exact"/>
        <w:rPr>
          <w:sz w:val="20"/>
          <w:szCs w:val="20"/>
          <w:color w:val="auto"/>
        </w:rPr>
      </w:pPr>
    </w:p>
    <w:tbl>
      <w:tblPr>
        <w:tblLayout w:type="fixed"/>
        <w:tblInd w:w="24" w:type="dxa"/>
        <w:tblCellMar>
          <w:top w:w="0" w:type="dxa"/>
          <w:left w:w="0" w:type="dxa"/>
          <w:bottom w:w="0" w:type="dxa"/>
          <w:right w:w="0" w:type="dxa"/>
        </w:tblCellMar>
      </w:tblPr>
      <w:tr>
        <w:trPr>
          <w:trHeight w:val="172"/>
        </w:trPr>
        <w:tc>
          <w:tcPr>
            <w:tcW w:w="6040" w:type="dxa"/>
            <w:vAlign w:val="bottom"/>
          </w:tcPr>
          <w:p>
            <w:pPr>
              <w:spacing w:after="0"/>
              <w:rPr>
                <w:sz w:val="14"/>
                <w:szCs w:val="14"/>
                <w:color w:val="auto"/>
              </w:rPr>
            </w:pPr>
          </w:p>
        </w:tc>
        <w:tc>
          <w:tcPr>
            <w:tcW w:w="266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60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3"/>
                <w:szCs w:val="13"/>
                <w:b w:val="1"/>
                <w:bCs w:val="1"/>
                <w:color w:val="auto"/>
              </w:rPr>
              <w:t>Nine Months Ended</w:t>
            </w:r>
          </w:p>
        </w:tc>
      </w:tr>
      <w:tr>
        <w:trPr>
          <w:trHeight w:val="230"/>
        </w:trPr>
        <w:tc>
          <w:tcPr>
            <w:tcW w:w="604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2012</w:t>
            </w:r>
          </w:p>
        </w:tc>
        <w:tc>
          <w:tcPr>
            <w:tcW w:w="138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2011</w:t>
            </w: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2012</w:t>
            </w:r>
          </w:p>
        </w:tc>
        <w:tc>
          <w:tcPr>
            <w:tcW w:w="1260" w:type="dxa"/>
            <w:vAlign w:val="bottom"/>
          </w:tcPr>
          <w:p>
            <w:pPr>
              <w:jc w:val="right"/>
              <w:ind w:right="36"/>
              <w:spacing w:after="0"/>
              <w:rPr>
                <w:sz w:val="20"/>
                <w:szCs w:val="20"/>
                <w:color w:val="auto"/>
              </w:rPr>
            </w:pPr>
            <w:r>
              <w:rPr>
                <w:rFonts w:ascii="Arial" w:cs="Arial" w:eastAsia="Arial" w:hAnsi="Arial"/>
                <w:sz w:val="13"/>
                <w:szCs w:val="13"/>
                <w:b w:val="1"/>
                <w:bCs w:val="1"/>
                <w:color w:val="auto"/>
                <w:w w:val="93"/>
              </w:rPr>
              <w:t>September 30, 2011</w:t>
            </w:r>
          </w:p>
        </w:tc>
      </w:tr>
      <w:tr>
        <w:trPr>
          <w:trHeight w:val="231"/>
        </w:trPr>
        <w:tc>
          <w:tcPr>
            <w:tcW w:w="6040" w:type="dxa"/>
            <w:vAlign w:val="bottom"/>
          </w:tcPr>
          <w:p>
            <w:pPr>
              <w:spacing w:after="0"/>
              <w:rPr>
                <w:sz w:val="20"/>
                <w:szCs w:val="20"/>
                <w:color w:val="auto"/>
              </w:rPr>
            </w:pPr>
            <w:r>
              <w:rPr>
                <w:rFonts w:ascii="Arial" w:cs="Arial" w:eastAsia="Arial" w:hAnsi="Arial"/>
                <w:sz w:val="13"/>
                <w:szCs w:val="13"/>
                <w:color w:val="auto"/>
              </w:rPr>
              <w:t>Joint venture sales in China</w:t>
            </w: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41"/>
        </w:trPr>
        <w:tc>
          <w:tcPr>
            <w:tcW w:w="6040" w:type="dxa"/>
            <w:vAlign w:val="bottom"/>
          </w:tcPr>
          <w:p>
            <w:pPr>
              <w:ind w:left="140"/>
              <w:spacing w:after="0"/>
              <w:rPr>
                <w:sz w:val="20"/>
                <w:szCs w:val="20"/>
                <w:color w:val="auto"/>
              </w:rPr>
            </w:pPr>
            <w:r>
              <w:rPr>
                <w:rFonts w:ascii="Arial" w:cs="Arial" w:eastAsia="Arial" w:hAnsi="Arial"/>
                <w:sz w:val="13"/>
                <w:szCs w:val="13"/>
                <w:color w:val="auto"/>
              </w:rPr>
              <w:t>SGMS</w:t>
            </w:r>
          </w:p>
        </w:tc>
        <w:tc>
          <w:tcPr>
            <w:tcW w:w="1280" w:type="dxa"/>
            <w:vAlign w:val="bottom"/>
          </w:tcPr>
          <w:p>
            <w:pPr>
              <w:jc w:val="right"/>
              <w:ind w:right="76"/>
              <w:spacing w:after="0"/>
              <w:rPr>
                <w:sz w:val="20"/>
                <w:szCs w:val="20"/>
                <w:color w:val="auto"/>
              </w:rPr>
            </w:pPr>
            <w:r>
              <w:rPr>
                <w:rFonts w:ascii="Arial" w:cs="Arial" w:eastAsia="Arial" w:hAnsi="Arial"/>
                <w:sz w:val="13"/>
                <w:szCs w:val="13"/>
                <w:color w:val="auto"/>
              </w:rPr>
              <w:t>327</w:t>
            </w:r>
          </w:p>
        </w:tc>
        <w:tc>
          <w:tcPr>
            <w:tcW w:w="120" w:type="dxa"/>
            <w:vAlign w:val="bottom"/>
          </w:tcPr>
          <w:p>
            <w:pPr>
              <w:spacing w:after="0"/>
              <w:rPr>
                <w:sz w:val="20"/>
                <w:szCs w:val="20"/>
                <w:color w:val="auto"/>
              </w:rPr>
            </w:pPr>
          </w:p>
        </w:tc>
        <w:tc>
          <w:tcPr>
            <w:tcW w:w="1260" w:type="dxa"/>
            <w:vAlign w:val="bottom"/>
          </w:tcPr>
          <w:p>
            <w:pPr>
              <w:jc w:val="right"/>
              <w:ind w:right="56"/>
              <w:spacing w:after="0"/>
              <w:rPr>
                <w:sz w:val="20"/>
                <w:szCs w:val="20"/>
                <w:color w:val="auto"/>
              </w:rPr>
            </w:pPr>
            <w:r>
              <w:rPr>
                <w:rFonts w:ascii="Arial" w:cs="Arial" w:eastAsia="Arial" w:hAnsi="Arial"/>
                <w:sz w:val="13"/>
                <w:szCs w:val="13"/>
                <w:color w:val="auto"/>
              </w:rPr>
              <w:t>306</w:t>
            </w:r>
          </w:p>
        </w:tc>
        <w:tc>
          <w:tcPr>
            <w:tcW w:w="12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3"/>
                <w:szCs w:val="13"/>
                <w:color w:val="auto"/>
              </w:rPr>
              <w:t>967</w:t>
            </w:r>
          </w:p>
        </w:tc>
        <w:tc>
          <w:tcPr>
            <w:tcW w:w="100" w:type="dxa"/>
            <w:vAlign w:val="bottom"/>
          </w:tcPr>
          <w:p>
            <w:pPr>
              <w:spacing w:after="0"/>
              <w:rPr>
                <w:sz w:val="20"/>
                <w:szCs w:val="20"/>
                <w:color w:val="auto"/>
              </w:rPr>
            </w:pPr>
          </w:p>
        </w:tc>
        <w:tc>
          <w:tcPr>
            <w:tcW w:w="1260" w:type="dxa"/>
            <w:vAlign w:val="bottom"/>
          </w:tcPr>
          <w:p>
            <w:pPr>
              <w:jc w:val="right"/>
              <w:ind w:right="56"/>
              <w:spacing w:after="0"/>
              <w:rPr>
                <w:sz w:val="20"/>
                <w:szCs w:val="20"/>
                <w:color w:val="auto"/>
              </w:rPr>
            </w:pPr>
            <w:r>
              <w:rPr>
                <w:rFonts w:ascii="Arial" w:cs="Arial" w:eastAsia="Arial" w:hAnsi="Arial"/>
                <w:sz w:val="13"/>
                <w:szCs w:val="13"/>
                <w:color w:val="auto"/>
              </w:rPr>
              <w:t>906</w:t>
            </w:r>
          </w:p>
        </w:tc>
      </w:tr>
      <w:tr>
        <w:trPr>
          <w:trHeight w:val="241"/>
        </w:trPr>
        <w:tc>
          <w:tcPr>
            <w:tcW w:w="6040" w:type="dxa"/>
            <w:vAlign w:val="bottom"/>
          </w:tcPr>
          <w:p>
            <w:pPr>
              <w:ind w:left="140"/>
              <w:spacing w:after="0"/>
              <w:rPr>
                <w:sz w:val="20"/>
                <w:szCs w:val="20"/>
                <w:color w:val="auto"/>
              </w:rPr>
            </w:pPr>
            <w:r>
              <w:rPr>
                <w:rFonts w:ascii="Arial" w:cs="Arial" w:eastAsia="Arial" w:hAnsi="Arial"/>
                <w:sz w:val="13"/>
                <w:szCs w:val="13"/>
                <w:color w:val="auto"/>
              </w:rPr>
              <w:t>SGMW and FAW-GM</w:t>
            </w:r>
          </w:p>
        </w:tc>
        <w:tc>
          <w:tcPr>
            <w:tcW w:w="1280" w:type="dxa"/>
            <w:vAlign w:val="bottom"/>
          </w:tcPr>
          <w:p>
            <w:pPr>
              <w:jc w:val="right"/>
              <w:ind w:right="76"/>
              <w:spacing w:after="0"/>
              <w:rPr>
                <w:sz w:val="20"/>
                <w:szCs w:val="20"/>
                <w:color w:val="auto"/>
              </w:rPr>
            </w:pPr>
            <w:r>
              <w:rPr>
                <w:rFonts w:ascii="Arial" w:cs="Arial" w:eastAsia="Arial" w:hAnsi="Arial"/>
                <w:sz w:val="13"/>
                <w:szCs w:val="13"/>
                <w:color w:val="auto"/>
              </w:rPr>
              <w:t>336</w:t>
            </w:r>
          </w:p>
        </w:tc>
        <w:tc>
          <w:tcPr>
            <w:tcW w:w="120" w:type="dxa"/>
            <w:vAlign w:val="bottom"/>
          </w:tcPr>
          <w:p>
            <w:pPr>
              <w:spacing w:after="0"/>
              <w:rPr>
                <w:sz w:val="20"/>
                <w:szCs w:val="20"/>
                <w:color w:val="auto"/>
              </w:rPr>
            </w:pPr>
          </w:p>
        </w:tc>
        <w:tc>
          <w:tcPr>
            <w:tcW w:w="1260" w:type="dxa"/>
            <w:vAlign w:val="bottom"/>
          </w:tcPr>
          <w:p>
            <w:pPr>
              <w:jc w:val="right"/>
              <w:ind w:right="56"/>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3"/>
                <w:szCs w:val="13"/>
                <w:color w:val="auto"/>
              </w:rPr>
              <w:t>1,111</w:t>
            </w:r>
          </w:p>
        </w:tc>
        <w:tc>
          <w:tcPr>
            <w:tcW w:w="100" w:type="dxa"/>
            <w:vAlign w:val="bottom"/>
          </w:tcPr>
          <w:p>
            <w:pPr>
              <w:spacing w:after="0"/>
              <w:rPr>
                <w:sz w:val="20"/>
                <w:szCs w:val="20"/>
                <w:color w:val="auto"/>
              </w:rPr>
            </w:pPr>
          </w:p>
        </w:tc>
        <w:tc>
          <w:tcPr>
            <w:tcW w:w="1260" w:type="dxa"/>
            <w:vAlign w:val="bottom"/>
          </w:tcPr>
          <w:p>
            <w:pPr>
              <w:jc w:val="right"/>
              <w:ind w:right="56"/>
              <w:spacing w:after="0"/>
              <w:rPr>
                <w:sz w:val="20"/>
                <w:szCs w:val="20"/>
                <w:color w:val="auto"/>
              </w:rPr>
            </w:pPr>
            <w:r>
              <w:rPr>
                <w:rFonts w:ascii="Arial" w:cs="Arial" w:eastAsia="Arial" w:hAnsi="Arial"/>
                <w:sz w:val="13"/>
                <w:szCs w:val="13"/>
                <w:color w:val="auto"/>
              </w:rPr>
              <w:t>983</w:t>
            </w:r>
          </w:p>
        </w:tc>
      </w:tr>
      <w:tr>
        <w:trPr>
          <w:trHeight w:val="241"/>
        </w:trPr>
        <w:tc>
          <w:tcPr>
            <w:tcW w:w="6040" w:type="dxa"/>
            <w:vAlign w:val="bottom"/>
          </w:tcPr>
          <w:p>
            <w:pPr>
              <w:spacing w:after="0"/>
              <w:rPr>
                <w:sz w:val="20"/>
                <w:szCs w:val="20"/>
                <w:color w:val="auto"/>
              </w:rPr>
            </w:pPr>
            <w:r>
              <w:rPr>
                <w:rFonts w:ascii="Arial" w:cs="Arial" w:eastAsia="Arial" w:hAnsi="Arial"/>
                <w:sz w:val="13"/>
                <w:szCs w:val="13"/>
                <w:color w:val="auto"/>
              </w:rPr>
              <w:t>Joint venture sales in India</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41"/>
        </w:trPr>
        <w:tc>
          <w:tcPr>
            <w:tcW w:w="6040" w:type="dxa"/>
            <w:vAlign w:val="bottom"/>
          </w:tcPr>
          <w:p>
            <w:pPr>
              <w:ind w:left="140"/>
              <w:spacing w:after="0"/>
              <w:rPr>
                <w:sz w:val="20"/>
                <w:szCs w:val="20"/>
                <w:color w:val="auto"/>
              </w:rPr>
            </w:pPr>
            <w:r>
              <w:rPr>
                <w:rFonts w:ascii="Arial" w:cs="Arial" w:eastAsia="Arial" w:hAnsi="Arial"/>
                <w:sz w:val="13"/>
                <w:szCs w:val="13"/>
                <w:color w:val="auto"/>
              </w:rPr>
              <w:t>HKJV</w:t>
            </w:r>
          </w:p>
        </w:tc>
        <w:tc>
          <w:tcPr>
            <w:tcW w:w="1280" w:type="dxa"/>
            <w:vAlign w:val="bottom"/>
          </w:tcPr>
          <w:p>
            <w:pPr>
              <w:jc w:val="right"/>
              <w:ind w:right="76"/>
              <w:spacing w:after="0"/>
              <w:rPr>
                <w:sz w:val="20"/>
                <w:szCs w:val="20"/>
                <w:color w:val="auto"/>
              </w:rPr>
            </w:pPr>
            <w:r>
              <w:rPr>
                <w:rFonts w:ascii="Arial" w:cs="Arial" w:eastAsia="Arial" w:hAnsi="Arial"/>
                <w:sz w:val="13"/>
                <w:szCs w:val="13"/>
                <w:color w:val="auto"/>
              </w:rPr>
              <w:t>15</w:t>
            </w:r>
          </w:p>
        </w:tc>
        <w:tc>
          <w:tcPr>
            <w:tcW w:w="120" w:type="dxa"/>
            <w:vAlign w:val="bottom"/>
          </w:tcPr>
          <w:p>
            <w:pPr>
              <w:spacing w:after="0"/>
              <w:rPr>
                <w:sz w:val="20"/>
                <w:szCs w:val="20"/>
                <w:color w:val="auto"/>
              </w:rPr>
            </w:pPr>
          </w:p>
        </w:tc>
        <w:tc>
          <w:tcPr>
            <w:tcW w:w="1260" w:type="dxa"/>
            <w:vAlign w:val="bottom"/>
          </w:tcPr>
          <w:p>
            <w:pPr>
              <w:jc w:val="right"/>
              <w:ind w:right="56"/>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0"/>
                <w:szCs w:val="20"/>
                <w:color w:val="auto"/>
              </w:rPr>
            </w:pPr>
          </w:p>
        </w:tc>
        <w:tc>
          <w:tcPr>
            <w:tcW w:w="1260" w:type="dxa"/>
            <w:vAlign w:val="bottom"/>
          </w:tcPr>
          <w:p>
            <w:pPr>
              <w:jc w:val="right"/>
              <w:ind w:right="56"/>
              <w:spacing w:after="0"/>
              <w:rPr>
                <w:sz w:val="20"/>
                <w:szCs w:val="20"/>
                <w:color w:val="auto"/>
              </w:rPr>
            </w:pPr>
            <w:r>
              <w:rPr>
                <w:rFonts w:ascii="Arial" w:cs="Arial" w:eastAsia="Arial" w:hAnsi="Arial"/>
                <w:sz w:val="13"/>
                <w:szCs w:val="13"/>
                <w:color w:val="auto"/>
              </w:rPr>
              <w:t>84</w:t>
            </w:r>
          </w:p>
        </w:tc>
      </w:tr>
    </w:tbl>
    <w:p>
      <w:pPr>
        <w:spacing w:after="0" w:line="2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4"/>
          </w:cols>
          <w:pgMar w:left="236" w:top="533" w:right="219" w:bottom="1440" w:gutter="0" w:footer="0" w:header="0"/>
        </w:sectPr>
      </w:pPr>
    </w:p>
    <w:bookmarkStart w:id="13" w:name="page14"/>
    <w:bookmarkEnd w:id="13"/>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264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4"/>
                <w:szCs w:val="14"/>
                <w:color w:val="auto"/>
              </w:rPr>
            </w:pPr>
          </w:p>
        </w:tc>
        <w:tc>
          <w:tcPr>
            <w:tcW w:w="2620" w:type="dxa"/>
            <w:vAlign w:val="bottom"/>
            <w:tcBorders>
              <w:bottom w:val="single" w:sz="8" w:color="auto"/>
            </w:tcBorders>
            <w:gridSpan w:val="3"/>
          </w:tcPr>
          <w:p>
            <w:pPr>
              <w:ind w:left="760"/>
              <w:spacing w:after="0"/>
              <w:rPr>
                <w:sz w:val="20"/>
                <w:szCs w:val="20"/>
                <w:color w:val="auto"/>
              </w:rPr>
            </w:pPr>
            <w:r>
              <w:rPr>
                <w:rFonts w:ascii="Arial" w:cs="Arial" w:eastAsia="Arial" w:hAnsi="Arial"/>
                <w:sz w:val="13"/>
                <w:szCs w:val="13"/>
                <w:b w:val="1"/>
                <w:bCs w:val="1"/>
                <w:color w:val="auto"/>
              </w:rPr>
              <w:t>Nine Months Ended</w:t>
            </w:r>
          </w:p>
        </w:tc>
      </w:tr>
      <w:tr>
        <w:trPr>
          <w:trHeight w:val="230"/>
        </w:trPr>
        <w:tc>
          <w:tcPr>
            <w:tcW w:w="6060" w:type="dxa"/>
            <w:vAlign w:val="bottom"/>
          </w:tcPr>
          <w:p>
            <w:pPr>
              <w:spacing w:after="0"/>
              <w:rPr>
                <w:sz w:val="20"/>
                <w:szCs w:val="20"/>
                <w:color w:val="auto"/>
              </w:rPr>
            </w:pPr>
          </w:p>
        </w:tc>
        <w:tc>
          <w:tcPr>
            <w:tcW w:w="1400" w:type="dxa"/>
            <w:vAlign w:val="bottom"/>
            <w:gridSpan w:val="2"/>
          </w:tcPr>
          <w:p>
            <w:pPr>
              <w:ind w:left="100"/>
              <w:spacing w:after="0"/>
              <w:rPr>
                <w:sz w:val="20"/>
                <w:szCs w:val="20"/>
                <w:color w:val="auto"/>
              </w:rPr>
            </w:pPr>
            <w:r>
              <w:rPr>
                <w:rFonts w:ascii="Arial" w:cs="Arial" w:eastAsia="Arial" w:hAnsi="Arial"/>
                <w:sz w:val="13"/>
                <w:szCs w:val="13"/>
                <w:b w:val="1"/>
                <w:bCs w:val="1"/>
                <w:color w:val="auto"/>
              </w:rPr>
              <w:t>September 30, 2012</w:t>
            </w:r>
          </w:p>
        </w:tc>
        <w:tc>
          <w:tcPr>
            <w:tcW w:w="136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2011</w:t>
            </w:r>
          </w:p>
        </w:tc>
        <w:tc>
          <w:tcPr>
            <w:tcW w:w="136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2012</w:t>
            </w:r>
          </w:p>
        </w:tc>
        <w:tc>
          <w:tcPr>
            <w:tcW w:w="1260" w:type="dxa"/>
            <w:vAlign w:val="bottom"/>
          </w:tcPr>
          <w:p>
            <w:pPr>
              <w:ind w:left="100"/>
              <w:spacing w:after="0"/>
              <w:rPr>
                <w:sz w:val="20"/>
                <w:szCs w:val="20"/>
                <w:color w:val="auto"/>
              </w:rPr>
            </w:pPr>
            <w:r>
              <w:rPr>
                <w:rFonts w:ascii="Arial" w:cs="Arial" w:eastAsia="Arial" w:hAnsi="Arial"/>
                <w:sz w:val="13"/>
                <w:szCs w:val="13"/>
                <w:b w:val="1"/>
                <w:bCs w:val="1"/>
                <w:color w:val="auto"/>
                <w:w w:val="93"/>
              </w:rPr>
              <w:t>September 30, 2011</w:t>
            </w: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Market Share(a)(b)</w:t>
            </w: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United States - Cars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14.6%</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15.7%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14.8%</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16.6%</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United States - Trucks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23.5%</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26.1%</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23.2%</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24.9%</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United States - Crossovers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17.0%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19.1%</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17.6%</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19.4%</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Total United States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17.6%</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19.7%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17.7%</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19.6%</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Total GMNA</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16.9%</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18.8%</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17.0%</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18.7%</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Total GME</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8.6%</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7"/>
              </w:rPr>
              <w:t>8.8%</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7"/>
              </w:rPr>
              <w:t>8.5%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8.8%</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Total GMIO(c)</w:t>
            </w:r>
          </w:p>
        </w:tc>
        <w:tc>
          <w:tcPr>
            <w:tcW w:w="1280" w:type="dxa"/>
            <w:vAlign w:val="bottom"/>
          </w:tcPr>
          <w:p>
            <w:pPr>
              <w:jc w:val="center"/>
              <w:spacing w:after="0"/>
              <w:rPr>
                <w:sz w:val="20"/>
                <w:szCs w:val="20"/>
                <w:color w:val="auto"/>
              </w:rPr>
            </w:pPr>
            <w:r>
              <w:rPr>
                <w:rFonts w:ascii="Arial" w:cs="Arial" w:eastAsia="Arial" w:hAnsi="Arial"/>
                <w:sz w:val="16"/>
                <w:szCs w:val="16"/>
                <w:color w:val="auto"/>
                <w:w w:val="93"/>
              </w:rPr>
              <w:t>9.4%</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7"/>
              </w:rPr>
              <w:t>9.6%</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7"/>
              </w:rPr>
              <w:t>9.3%</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9.5%</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Total GMSA</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17.9%</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18.7%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18.1%</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18.9%</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Worldwide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11.6%</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6"/>
              </w:rPr>
              <w:t>12.1%</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6"/>
              </w:rPr>
              <w:t>11.5%</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6"/>
              </w:rPr>
              <w:t>11.9%</w:t>
            </w:r>
          </w:p>
        </w:tc>
      </w:tr>
      <w:tr>
        <w:trPr>
          <w:trHeight w:val="482"/>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U.S. Retail/Fleet Mix</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 Fleet Sales - Cars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29.7%</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29.9%</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31.4%</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32.9%</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 Fleet Sales - Trucks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24.2%</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24.9%</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26.7%</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25.1%</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color w:val="auto"/>
              </w:rPr>
              <w:t>% Fleet Sales - Crossovers</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16.0%</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21.6%</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19.9%</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19.4%</w:t>
            </w:r>
          </w:p>
        </w:tc>
      </w:tr>
      <w:tr>
        <w:trPr>
          <w:trHeight w:val="241"/>
        </w:trPr>
        <w:tc>
          <w:tcPr>
            <w:tcW w:w="6060" w:type="dxa"/>
            <w:vAlign w:val="bottom"/>
          </w:tcPr>
          <w:p>
            <w:pPr>
              <w:ind w:left="160"/>
              <w:spacing w:after="0"/>
              <w:rPr>
                <w:sz w:val="20"/>
                <w:szCs w:val="20"/>
                <w:color w:val="auto"/>
              </w:rPr>
            </w:pPr>
            <w:r>
              <w:rPr>
                <w:rFonts w:ascii="Arial" w:cs="Arial" w:eastAsia="Arial" w:hAnsi="Arial"/>
                <w:sz w:val="16"/>
                <w:szCs w:val="16"/>
                <w:b w:val="1"/>
                <w:bCs w:val="1"/>
                <w:color w:val="auto"/>
              </w:rPr>
              <w:t>Total Vehicles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6"/>
              </w:rPr>
              <w:t>24.4%</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6"/>
              </w:rPr>
              <w:t>25.9%</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6"/>
              </w:rPr>
              <w:t>27.0%</w:t>
            </w:r>
          </w:p>
        </w:tc>
        <w:tc>
          <w:tcPr>
            <w:tcW w:w="1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6"/>
              </w:rPr>
              <w:t>26.8%</w:t>
            </w:r>
          </w:p>
        </w:tc>
      </w:tr>
      <w:tr>
        <w:trPr>
          <w:trHeight w:val="482"/>
        </w:trPr>
        <w:tc>
          <w:tcPr>
            <w:tcW w:w="6060" w:type="dxa"/>
            <w:vAlign w:val="bottom"/>
          </w:tcPr>
          <w:p>
            <w:pPr>
              <w:ind w:left="20"/>
              <w:spacing w:after="0"/>
              <w:rPr>
                <w:sz w:val="20"/>
                <w:szCs w:val="20"/>
                <w:color w:val="auto"/>
              </w:rPr>
            </w:pPr>
            <w:r>
              <w:rPr>
                <w:rFonts w:ascii="Arial" w:cs="Arial" w:eastAsia="Arial" w:hAnsi="Arial"/>
                <w:sz w:val="16"/>
                <w:szCs w:val="16"/>
                <w:color w:val="auto"/>
              </w:rPr>
              <w:t>GMNA Capacity Utilization</w:t>
            </w:r>
          </w:p>
        </w:tc>
        <w:tc>
          <w:tcPr>
            <w:tcW w:w="1280" w:type="dxa"/>
            <w:vAlign w:val="bottom"/>
          </w:tcPr>
          <w:p>
            <w:pPr>
              <w:jc w:val="center"/>
              <w:spacing w:after="0"/>
              <w:rPr>
                <w:sz w:val="20"/>
                <w:szCs w:val="20"/>
                <w:color w:val="auto"/>
              </w:rPr>
            </w:pPr>
            <w:r>
              <w:rPr>
                <w:rFonts w:ascii="Arial" w:cs="Arial" w:eastAsia="Arial" w:hAnsi="Arial"/>
                <w:sz w:val="16"/>
                <w:szCs w:val="16"/>
                <w:color w:val="auto"/>
                <w:w w:val="92"/>
              </w:rPr>
              <w:t>91.8%</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91.6%</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88"/>
              </w:rPr>
              <w:t>98.8%</w:t>
            </w:r>
          </w:p>
        </w:tc>
        <w:tc>
          <w:tcPr>
            <w:tcW w:w="12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97.0%</w:t>
            </w:r>
          </w:p>
        </w:tc>
      </w:tr>
      <w:tr>
        <w:trPr>
          <w:trHeight w:val="211"/>
        </w:trPr>
        <w:tc>
          <w:tcPr>
            <w:tcW w:w="6060" w:type="dxa"/>
            <w:vAlign w:val="bottom"/>
          </w:tcPr>
          <w:p>
            <w:pPr>
              <w:spacing w:after="0"/>
              <w:rPr>
                <w:sz w:val="20"/>
                <w:szCs w:val="20"/>
                <w:color w:val="auto"/>
              </w:rPr>
            </w:pPr>
            <w:r>
              <w:rPr>
                <w:rFonts w:ascii="Arial" w:cs="Arial" w:eastAsia="Arial" w:hAnsi="Arial"/>
                <w:sz w:val="16"/>
                <w:szCs w:val="16"/>
                <w:color w:val="auto"/>
              </w:rPr>
              <w:t>__________</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ind w:left="284" w:hanging="284"/>
        <w:spacing w:after="0" w:line="232" w:lineRule="auto"/>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Market share information is based on vehicle sales volume.</w:t>
      </w:r>
    </w:p>
    <w:p>
      <w:pPr>
        <w:ind w:left="284" w:right="140" w:hanging="284"/>
        <w:spacing w:after="0" w:line="232" w:lineRule="auto"/>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GMNA vehicle sales primarily represent sales to the end customer. GME, GMIO and GMSA vehicle sales primarily represent estimated sales to the end customer. In countries where end customer data is not readily available other data sources, such as wholesale or forecast volumes, are used to estimate vehicle sales.</w:t>
      </w:r>
    </w:p>
    <w:p>
      <w:pPr>
        <w:ind w:left="284" w:right="20" w:hanging="284"/>
        <w:spacing w:after="0" w:line="238" w:lineRule="auto"/>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the following joint venture sales. Vehicle sales for SAIC GM Investment Limited, General Motors India Private Limited and Chevrolet Sales India Private Limited (collectively HKJV) are included through August 31, 2012:</w:t>
      </w:r>
    </w:p>
    <w:p>
      <w:pPr>
        <w:spacing w:after="0" w:line="184" w:lineRule="exact"/>
        <w:rPr>
          <w:sz w:val="20"/>
          <w:szCs w:val="20"/>
          <w:color w:val="auto"/>
        </w:rPr>
      </w:pPr>
    </w:p>
    <w:tbl>
      <w:tblPr>
        <w:tblLayout w:type="fixed"/>
        <w:tblInd w:w="1624" w:type="dxa"/>
        <w:tblCellMar>
          <w:top w:w="0" w:type="dxa"/>
          <w:left w:w="0" w:type="dxa"/>
          <w:bottom w:w="0" w:type="dxa"/>
          <w:right w:w="0" w:type="dxa"/>
        </w:tblCellMar>
      </w:tblPr>
      <w:tr>
        <w:trPr>
          <w:trHeight w:val="172"/>
        </w:trPr>
        <w:tc>
          <w:tcPr>
            <w:tcW w:w="4460" w:type="dxa"/>
            <w:vAlign w:val="bottom"/>
          </w:tcPr>
          <w:p>
            <w:pPr>
              <w:spacing w:after="0"/>
              <w:rPr>
                <w:sz w:val="14"/>
                <w:szCs w:val="14"/>
                <w:color w:val="auto"/>
              </w:rPr>
            </w:pPr>
          </w:p>
        </w:tc>
        <w:tc>
          <w:tcPr>
            <w:tcW w:w="182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4"/>
                <w:szCs w:val="14"/>
                <w:color w:val="auto"/>
              </w:rPr>
            </w:pPr>
          </w:p>
        </w:tc>
        <w:tc>
          <w:tcPr>
            <w:tcW w:w="184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3"/>
                <w:szCs w:val="13"/>
                <w:b w:val="1"/>
                <w:bCs w:val="1"/>
                <w:color w:val="auto"/>
              </w:rPr>
              <w:t>Nine Months Ended</w:t>
            </w:r>
          </w:p>
        </w:tc>
      </w:tr>
      <w:tr>
        <w:trPr>
          <w:trHeight w:val="134"/>
        </w:trPr>
        <w:tc>
          <w:tcPr>
            <w:tcW w:w="4460" w:type="dxa"/>
            <w:vAlign w:val="bottom"/>
          </w:tcPr>
          <w:p>
            <w:pPr>
              <w:spacing w:after="0"/>
              <w:rPr>
                <w:sz w:val="11"/>
                <w:szCs w:val="11"/>
                <w:color w:val="auto"/>
              </w:rPr>
            </w:pPr>
          </w:p>
        </w:tc>
        <w:tc>
          <w:tcPr>
            <w:tcW w:w="960" w:type="dxa"/>
            <w:vAlign w:val="bottom"/>
            <w:gridSpan w:val="2"/>
          </w:tcPr>
          <w:p>
            <w:pPr>
              <w:ind w:left="40"/>
              <w:spacing w:after="0" w:line="134" w:lineRule="exact"/>
              <w:rPr>
                <w:sz w:val="20"/>
                <w:szCs w:val="20"/>
                <w:color w:val="auto"/>
              </w:rPr>
            </w:pPr>
            <w:r>
              <w:rPr>
                <w:rFonts w:ascii="Arial" w:cs="Arial" w:eastAsia="Arial" w:hAnsi="Arial"/>
                <w:sz w:val="13"/>
                <w:szCs w:val="13"/>
                <w:b w:val="1"/>
                <w:bCs w:val="1"/>
                <w:color w:val="auto"/>
              </w:rPr>
              <w:t>September 30,</w:t>
            </w:r>
          </w:p>
        </w:tc>
        <w:tc>
          <w:tcPr>
            <w:tcW w:w="960" w:type="dxa"/>
            <w:vAlign w:val="bottom"/>
            <w:gridSpan w:val="2"/>
          </w:tcPr>
          <w:p>
            <w:pPr>
              <w:ind w:left="40"/>
              <w:spacing w:after="0" w:line="134" w:lineRule="exact"/>
              <w:rPr>
                <w:sz w:val="20"/>
                <w:szCs w:val="20"/>
                <w:color w:val="auto"/>
              </w:rPr>
            </w:pPr>
            <w:r>
              <w:rPr>
                <w:rFonts w:ascii="Arial" w:cs="Arial" w:eastAsia="Arial" w:hAnsi="Arial"/>
                <w:sz w:val="13"/>
                <w:szCs w:val="13"/>
                <w:b w:val="1"/>
                <w:bCs w:val="1"/>
                <w:color w:val="auto"/>
              </w:rPr>
              <w:t>September 30,</w:t>
            </w:r>
          </w:p>
        </w:tc>
        <w:tc>
          <w:tcPr>
            <w:tcW w:w="980" w:type="dxa"/>
            <w:vAlign w:val="bottom"/>
            <w:gridSpan w:val="2"/>
          </w:tcPr>
          <w:p>
            <w:pPr>
              <w:ind w:left="40"/>
              <w:spacing w:after="0" w:line="134" w:lineRule="exact"/>
              <w:rPr>
                <w:sz w:val="20"/>
                <w:szCs w:val="20"/>
                <w:color w:val="auto"/>
              </w:rPr>
            </w:pPr>
            <w:r>
              <w:rPr>
                <w:rFonts w:ascii="Arial" w:cs="Arial" w:eastAsia="Arial" w:hAnsi="Arial"/>
                <w:sz w:val="13"/>
                <w:szCs w:val="13"/>
                <w:b w:val="1"/>
                <w:bCs w:val="1"/>
                <w:color w:val="auto"/>
              </w:rPr>
              <w:t>September 30,</w:t>
            </w:r>
          </w:p>
        </w:tc>
        <w:tc>
          <w:tcPr>
            <w:tcW w:w="8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89"/>
              </w:rPr>
              <w:t>September 30,</w:t>
            </w:r>
          </w:p>
        </w:tc>
      </w:tr>
      <w:tr>
        <w:trPr>
          <w:trHeight w:val="169"/>
        </w:trPr>
        <w:tc>
          <w:tcPr>
            <w:tcW w:w="4460" w:type="dxa"/>
            <w:vAlign w:val="bottom"/>
          </w:tcPr>
          <w:p>
            <w:pPr>
              <w:spacing w:after="0"/>
              <w:rPr>
                <w:sz w:val="14"/>
                <w:szCs w:val="14"/>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256"/>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236"/>
              <w:spacing w:after="0"/>
              <w:rPr>
                <w:sz w:val="20"/>
                <w:szCs w:val="20"/>
                <w:color w:val="auto"/>
              </w:rPr>
            </w:pPr>
            <w:r>
              <w:rPr>
                <w:rFonts w:ascii="Arial" w:cs="Arial" w:eastAsia="Arial" w:hAnsi="Arial"/>
                <w:sz w:val="13"/>
                <w:szCs w:val="13"/>
                <w:b w:val="1"/>
                <w:bCs w:val="1"/>
                <w:color w:val="auto"/>
              </w:rPr>
              <w:t>2011</w:t>
            </w:r>
          </w:p>
        </w:tc>
      </w:tr>
      <w:tr>
        <w:trPr>
          <w:trHeight w:val="231"/>
        </w:trPr>
        <w:tc>
          <w:tcPr>
            <w:tcW w:w="4460" w:type="dxa"/>
            <w:vAlign w:val="bottom"/>
          </w:tcPr>
          <w:p>
            <w:pPr>
              <w:spacing w:after="0"/>
              <w:rPr>
                <w:sz w:val="20"/>
                <w:szCs w:val="20"/>
                <w:color w:val="auto"/>
              </w:rPr>
            </w:pPr>
            <w:r>
              <w:rPr>
                <w:rFonts w:ascii="Arial" w:cs="Arial" w:eastAsia="Arial" w:hAnsi="Arial"/>
                <w:sz w:val="13"/>
                <w:szCs w:val="13"/>
                <w:color w:val="auto"/>
              </w:rPr>
              <w:t>Joint venture sales in China</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1"/>
        </w:trPr>
        <w:tc>
          <w:tcPr>
            <w:tcW w:w="4460" w:type="dxa"/>
            <w:vAlign w:val="bottom"/>
          </w:tcPr>
          <w:p>
            <w:pPr>
              <w:ind w:left="140"/>
              <w:spacing w:after="0"/>
              <w:rPr>
                <w:sz w:val="20"/>
                <w:szCs w:val="20"/>
                <w:color w:val="auto"/>
              </w:rPr>
            </w:pPr>
            <w:r>
              <w:rPr>
                <w:rFonts w:ascii="Arial" w:cs="Arial" w:eastAsia="Arial" w:hAnsi="Arial"/>
                <w:sz w:val="13"/>
                <w:szCs w:val="13"/>
                <w:color w:val="auto"/>
              </w:rPr>
              <w:t>SGMS</w:t>
            </w:r>
          </w:p>
        </w:tc>
        <w:tc>
          <w:tcPr>
            <w:tcW w:w="860" w:type="dxa"/>
            <w:vAlign w:val="bottom"/>
          </w:tcPr>
          <w:p>
            <w:pPr>
              <w:jc w:val="right"/>
              <w:spacing w:after="0"/>
              <w:rPr>
                <w:sz w:val="20"/>
                <w:szCs w:val="20"/>
                <w:color w:val="auto"/>
              </w:rPr>
            </w:pPr>
            <w:r>
              <w:rPr>
                <w:rFonts w:ascii="Arial" w:cs="Arial" w:eastAsia="Arial" w:hAnsi="Arial"/>
                <w:sz w:val="13"/>
                <w:szCs w:val="13"/>
                <w:color w:val="auto"/>
              </w:rPr>
              <w:t>327</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306</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967</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906</w:t>
            </w:r>
          </w:p>
        </w:tc>
      </w:tr>
      <w:tr>
        <w:trPr>
          <w:trHeight w:val="241"/>
        </w:trPr>
        <w:tc>
          <w:tcPr>
            <w:tcW w:w="4460" w:type="dxa"/>
            <w:vAlign w:val="bottom"/>
          </w:tcPr>
          <w:p>
            <w:pPr>
              <w:ind w:left="140"/>
              <w:spacing w:after="0"/>
              <w:rPr>
                <w:sz w:val="20"/>
                <w:szCs w:val="20"/>
                <w:color w:val="auto"/>
              </w:rPr>
            </w:pPr>
            <w:r>
              <w:rPr>
                <w:rFonts w:ascii="Arial" w:cs="Arial" w:eastAsia="Arial" w:hAnsi="Arial"/>
                <w:sz w:val="13"/>
                <w:szCs w:val="13"/>
                <w:color w:val="auto"/>
              </w:rPr>
              <w:t>SGMW and FAW-GM</w:t>
            </w:r>
          </w:p>
        </w:tc>
        <w:tc>
          <w:tcPr>
            <w:tcW w:w="860" w:type="dxa"/>
            <w:vAlign w:val="bottom"/>
          </w:tcPr>
          <w:p>
            <w:pPr>
              <w:jc w:val="right"/>
              <w:spacing w:after="0"/>
              <w:rPr>
                <w:sz w:val="20"/>
                <w:szCs w:val="20"/>
                <w:color w:val="auto"/>
              </w:rPr>
            </w:pPr>
            <w:r>
              <w:rPr>
                <w:rFonts w:ascii="Arial" w:cs="Arial" w:eastAsia="Arial" w:hAnsi="Arial"/>
                <w:sz w:val="13"/>
                <w:szCs w:val="13"/>
                <w:color w:val="auto"/>
              </w:rPr>
              <w:t>336</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1,111</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983</w:t>
            </w:r>
          </w:p>
        </w:tc>
      </w:tr>
      <w:tr>
        <w:trPr>
          <w:trHeight w:val="241"/>
        </w:trPr>
        <w:tc>
          <w:tcPr>
            <w:tcW w:w="4460" w:type="dxa"/>
            <w:vAlign w:val="bottom"/>
          </w:tcPr>
          <w:p>
            <w:pPr>
              <w:spacing w:after="0"/>
              <w:rPr>
                <w:sz w:val="20"/>
                <w:szCs w:val="20"/>
                <w:color w:val="auto"/>
              </w:rPr>
            </w:pPr>
            <w:r>
              <w:rPr>
                <w:rFonts w:ascii="Arial" w:cs="Arial" w:eastAsia="Arial" w:hAnsi="Arial"/>
                <w:sz w:val="13"/>
                <w:szCs w:val="13"/>
                <w:color w:val="auto"/>
              </w:rPr>
              <w:t>Joint venture sales in India</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41"/>
        </w:trPr>
        <w:tc>
          <w:tcPr>
            <w:tcW w:w="4460" w:type="dxa"/>
            <w:vAlign w:val="bottom"/>
          </w:tcPr>
          <w:p>
            <w:pPr>
              <w:ind w:left="140"/>
              <w:spacing w:after="0"/>
              <w:rPr>
                <w:sz w:val="20"/>
                <w:szCs w:val="20"/>
                <w:color w:val="auto"/>
              </w:rPr>
            </w:pPr>
            <w:r>
              <w:rPr>
                <w:rFonts w:ascii="Arial" w:cs="Arial" w:eastAsia="Arial" w:hAnsi="Arial"/>
                <w:sz w:val="13"/>
                <w:szCs w:val="13"/>
                <w:color w:val="auto"/>
              </w:rPr>
              <w:t>HKJV</w:t>
            </w:r>
          </w:p>
        </w:tc>
        <w:tc>
          <w:tcPr>
            <w:tcW w:w="8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84</w:t>
            </w:r>
          </w:p>
        </w:tc>
      </w:tr>
    </w:tbl>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4"/>
          </w:cols>
          <w:pgMar w:left="236" w:top="726" w:right="219" w:bottom="1440" w:gutter="0" w:footer="0" w:header="0"/>
        </w:sectPr>
      </w:pPr>
    </w:p>
    <w:bookmarkStart w:id="14" w:name="page15"/>
    <w:bookmarkEnd w:id="14"/>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Condensed Consolidated Income Statements</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(In millions, except per share amounts)</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0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3"/>
                <w:szCs w:val="13"/>
                <w:b w:val="1"/>
                <w:bCs w:val="1"/>
                <w:color w:val="auto"/>
              </w:rPr>
              <w:t>Three Months Ended</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Nine Months Ended</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40" w:type="dxa"/>
            <w:vAlign w:val="bottom"/>
          </w:tcPr>
          <w:p>
            <w:pPr>
              <w:spacing w:after="0"/>
              <w:rPr>
                <w:sz w:val="20"/>
                <w:szCs w:val="20"/>
                <w:color w:val="auto"/>
              </w:rPr>
            </w:pPr>
          </w:p>
        </w:tc>
        <w:tc>
          <w:tcPr>
            <w:tcW w:w="140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2012</w:t>
            </w:r>
          </w:p>
        </w:tc>
        <w:tc>
          <w:tcPr>
            <w:tcW w:w="138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2011</w:t>
            </w:r>
          </w:p>
        </w:tc>
        <w:tc>
          <w:tcPr>
            <w:tcW w:w="1340" w:type="dxa"/>
            <w:vAlign w:val="bottom"/>
            <w:gridSpan w:val="3"/>
          </w:tcPr>
          <w:p>
            <w:pPr>
              <w:ind w:left="80"/>
              <w:spacing w:after="0"/>
              <w:rPr>
                <w:sz w:val="20"/>
                <w:szCs w:val="20"/>
                <w:color w:val="auto"/>
              </w:rPr>
            </w:pPr>
            <w:r>
              <w:rPr>
                <w:rFonts w:ascii="Arial" w:cs="Arial" w:eastAsia="Arial" w:hAnsi="Arial"/>
                <w:sz w:val="13"/>
                <w:szCs w:val="13"/>
                <w:b w:val="1"/>
                <w:bCs w:val="1"/>
                <w:color w:val="auto"/>
              </w:rPr>
              <w:t>September 30, 2012</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3"/>
              </w:rPr>
              <w:t>September 30, 2011</w:t>
            </w:r>
          </w:p>
        </w:tc>
        <w:tc>
          <w:tcPr>
            <w:tcW w:w="0" w:type="dxa"/>
            <w:vAlign w:val="bottom"/>
          </w:tcPr>
          <w:p>
            <w:pPr>
              <w:spacing w:after="0"/>
              <w:rPr>
                <w:sz w:val="1"/>
                <w:szCs w:val="1"/>
                <w:color w:val="auto"/>
              </w:rPr>
            </w:pPr>
          </w:p>
        </w:tc>
      </w:tr>
      <w:tr>
        <w:trPr>
          <w:trHeight w:val="217"/>
        </w:trPr>
        <w:tc>
          <w:tcPr>
            <w:tcW w:w="6040" w:type="dxa"/>
            <w:vAlign w:val="bottom"/>
          </w:tcPr>
          <w:p>
            <w:pPr>
              <w:spacing w:after="0"/>
              <w:rPr>
                <w:sz w:val="20"/>
                <w:szCs w:val="20"/>
                <w:color w:val="auto"/>
              </w:rPr>
            </w:pPr>
            <w:r>
              <w:rPr>
                <w:rFonts w:ascii="Arial" w:cs="Arial" w:eastAsia="Arial" w:hAnsi="Arial"/>
                <w:sz w:val="16"/>
                <w:szCs w:val="16"/>
                <w:b w:val="1"/>
                <w:bCs w:val="1"/>
                <w:color w:val="auto"/>
              </w:rPr>
              <w:t>Net sales and revenue</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40" w:type="dxa"/>
            <w:vAlign w:val="bottom"/>
          </w:tcPr>
          <w:p>
            <w:pPr>
              <w:ind w:left="140"/>
              <w:spacing w:after="0"/>
              <w:rPr>
                <w:sz w:val="20"/>
                <w:szCs w:val="20"/>
                <w:color w:val="auto"/>
              </w:rPr>
            </w:pPr>
            <w:r>
              <w:rPr>
                <w:rFonts w:ascii="Arial" w:cs="Arial" w:eastAsia="Arial" w:hAnsi="Arial"/>
                <w:sz w:val="16"/>
                <w:szCs w:val="16"/>
                <w:color w:val="auto"/>
              </w:rPr>
              <w:t>Automotive sales and revenue</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37,062</w:t>
            </w:r>
          </w:p>
        </w:tc>
        <w:tc>
          <w:tcPr>
            <w:tcW w:w="120" w:type="dxa"/>
            <w:vAlign w:val="bottom"/>
          </w:tcPr>
          <w:p>
            <w:pPr>
              <w:spacing w:after="0"/>
              <w:rPr>
                <w:sz w:val="20"/>
                <w:szCs w:val="20"/>
                <w:color w:val="auto"/>
              </w:rPr>
            </w:pPr>
          </w:p>
        </w:tc>
        <w:tc>
          <w:tcPr>
            <w:tcW w:w="620" w:type="dxa"/>
            <w:vAlign w:val="bottom"/>
          </w:tcPr>
          <w:p>
            <w:pPr>
              <w:jc w:val="right"/>
              <w:ind w:right="4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36,328</w:t>
            </w:r>
          </w:p>
        </w:tc>
        <w:tc>
          <w:tcPr>
            <w:tcW w:w="120" w:type="dxa"/>
            <w:vAlign w:val="bottom"/>
          </w:tcPr>
          <w:p>
            <w:pPr>
              <w:spacing w:after="0"/>
              <w:rPr>
                <w:sz w:val="20"/>
                <w:szCs w:val="20"/>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111,517</w:t>
            </w:r>
          </w:p>
        </w:tc>
        <w:tc>
          <w:tcPr>
            <w:tcW w:w="100" w:type="dxa"/>
            <w:vAlign w:val="bottom"/>
          </w:tcPr>
          <w:p>
            <w:pPr>
              <w:spacing w:after="0"/>
              <w:rPr>
                <w:sz w:val="20"/>
                <w:szCs w:val="20"/>
                <w:color w:val="auto"/>
              </w:rPr>
            </w:pPr>
          </w:p>
        </w:tc>
        <w:tc>
          <w:tcPr>
            <w:tcW w:w="5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w w:val="96"/>
              </w:rPr>
              <w:t>111,270</w:t>
            </w:r>
          </w:p>
        </w:tc>
        <w:tc>
          <w:tcPr>
            <w:tcW w:w="0" w:type="dxa"/>
            <w:vAlign w:val="bottom"/>
          </w:tcPr>
          <w:p>
            <w:pPr>
              <w:spacing w:after="0"/>
              <w:rPr>
                <w:sz w:val="1"/>
                <w:szCs w:val="1"/>
                <w:color w:val="auto"/>
              </w:rPr>
            </w:pPr>
          </w:p>
        </w:tc>
      </w:tr>
      <w:tr>
        <w:trPr>
          <w:trHeight w:val="241"/>
        </w:trPr>
        <w:tc>
          <w:tcPr>
            <w:tcW w:w="6040" w:type="dxa"/>
            <w:vAlign w:val="bottom"/>
          </w:tcPr>
          <w:p>
            <w:pPr>
              <w:ind w:left="140"/>
              <w:spacing w:after="0"/>
              <w:rPr>
                <w:sz w:val="20"/>
                <w:szCs w:val="20"/>
                <w:color w:val="auto"/>
              </w:rPr>
            </w:pPr>
            <w:r>
              <w:rPr>
                <w:rFonts w:ascii="Arial" w:cs="Arial" w:eastAsia="Arial" w:hAnsi="Arial"/>
                <w:sz w:val="16"/>
                <w:szCs w:val="16"/>
                <w:color w:val="auto"/>
              </w:rPr>
              <w:t>GM Financial revenue</w:t>
            </w:r>
          </w:p>
        </w:tc>
        <w:tc>
          <w:tcPr>
            <w:tcW w:w="42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391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1,432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40" w:type="dxa"/>
            <w:vAlign w:val="bottom"/>
          </w:tcPr>
          <w:p>
            <w:pPr>
              <w:ind w:left="140"/>
              <w:spacing w:after="0"/>
              <w:rPr>
                <w:sz w:val="20"/>
                <w:szCs w:val="20"/>
                <w:color w:val="auto"/>
              </w:rPr>
            </w:pPr>
            <w:r>
              <w:rPr>
                <w:rFonts w:ascii="Arial" w:cs="Arial" w:eastAsia="Arial" w:hAnsi="Arial"/>
                <w:sz w:val="16"/>
                <w:szCs w:val="16"/>
                <w:color w:val="auto"/>
              </w:rPr>
              <w:t>Total net sales and revenue</w:t>
            </w:r>
          </w:p>
        </w:tc>
        <w:tc>
          <w:tcPr>
            <w:tcW w:w="42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37,576</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36,719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112,949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w w:val="96"/>
              </w:rPr>
              <w:t>112,286</w:t>
            </w:r>
          </w:p>
        </w:tc>
        <w:tc>
          <w:tcPr>
            <w:tcW w:w="0" w:type="dxa"/>
            <w:vAlign w:val="bottom"/>
          </w:tcPr>
          <w:p>
            <w:pPr>
              <w:spacing w:after="0"/>
              <w:rPr>
                <w:sz w:val="1"/>
                <w:szCs w:val="1"/>
                <w:color w:val="auto"/>
              </w:rPr>
            </w:pPr>
          </w:p>
        </w:tc>
      </w:tr>
      <w:tr>
        <w:trPr>
          <w:trHeight w:val="24"/>
        </w:trPr>
        <w:tc>
          <w:tcPr>
            <w:tcW w:w="6040" w:type="dxa"/>
            <w:vAlign w:val="bottom"/>
            <w:vMerge w:val="restart"/>
          </w:tcPr>
          <w:p>
            <w:pPr>
              <w:spacing w:after="0"/>
              <w:rPr>
                <w:sz w:val="20"/>
                <w:szCs w:val="20"/>
                <w:color w:val="auto"/>
              </w:rPr>
            </w:pPr>
            <w:r>
              <w:rPr>
                <w:rFonts w:ascii="Arial" w:cs="Arial" w:eastAsia="Arial" w:hAnsi="Arial"/>
                <w:sz w:val="16"/>
                <w:szCs w:val="16"/>
                <w:b w:val="1"/>
                <w:bCs w:val="1"/>
                <w:color w:val="auto"/>
              </w:rPr>
              <w:t>Costs and expenses</w:t>
            </w: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40" w:type="dxa"/>
            <w:vAlign w:val="bottom"/>
          </w:tcPr>
          <w:p>
            <w:pPr>
              <w:ind w:left="140"/>
              <w:spacing w:after="0"/>
              <w:rPr>
                <w:sz w:val="20"/>
                <w:szCs w:val="20"/>
                <w:color w:val="auto"/>
              </w:rPr>
            </w:pPr>
            <w:r>
              <w:rPr>
                <w:rFonts w:ascii="Arial" w:cs="Arial" w:eastAsia="Arial" w:hAnsi="Arial"/>
                <w:sz w:val="16"/>
                <w:szCs w:val="16"/>
                <w:color w:val="auto"/>
              </w:rPr>
              <w:t>Automotive cost of sales</w:t>
            </w:r>
          </w:p>
        </w:tc>
        <w:tc>
          <w:tcPr>
            <w:tcW w:w="42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32,735</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31,734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98,323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97,212</w:t>
            </w:r>
          </w:p>
        </w:tc>
        <w:tc>
          <w:tcPr>
            <w:tcW w:w="0" w:type="dxa"/>
            <w:vAlign w:val="bottom"/>
          </w:tcPr>
          <w:p>
            <w:pPr>
              <w:spacing w:after="0"/>
              <w:rPr>
                <w:sz w:val="1"/>
                <w:szCs w:val="1"/>
                <w:color w:val="auto"/>
              </w:rPr>
            </w:pPr>
          </w:p>
        </w:tc>
      </w:tr>
      <w:tr>
        <w:trPr>
          <w:trHeight w:val="241"/>
        </w:trPr>
        <w:tc>
          <w:tcPr>
            <w:tcW w:w="6040" w:type="dxa"/>
            <w:vAlign w:val="bottom"/>
          </w:tcPr>
          <w:p>
            <w:pPr>
              <w:ind w:left="140"/>
              <w:spacing w:after="0"/>
              <w:rPr>
                <w:sz w:val="20"/>
                <w:szCs w:val="20"/>
                <w:color w:val="auto"/>
              </w:rPr>
            </w:pPr>
            <w:r>
              <w:rPr>
                <w:rFonts w:ascii="Arial" w:cs="Arial" w:eastAsia="Arial" w:hAnsi="Arial"/>
                <w:sz w:val="16"/>
                <w:szCs w:val="16"/>
                <w:color w:val="auto"/>
              </w:rPr>
              <w:t>GM Financial operating and other expenses</w:t>
            </w:r>
          </w:p>
        </w:tc>
        <w:tc>
          <w:tcPr>
            <w:tcW w:w="42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827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241"/>
        </w:trPr>
        <w:tc>
          <w:tcPr>
            <w:tcW w:w="6040" w:type="dxa"/>
            <w:vAlign w:val="bottom"/>
          </w:tcPr>
          <w:p>
            <w:pPr>
              <w:ind w:left="140"/>
              <w:spacing w:after="0"/>
              <w:rPr>
                <w:sz w:val="20"/>
                <w:szCs w:val="20"/>
                <w:color w:val="auto"/>
              </w:rPr>
            </w:pPr>
            <w:r>
              <w:rPr>
                <w:rFonts w:ascii="Arial" w:cs="Arial" w:eastAsia="Arial" w:hAnsi="Arial"/>
                <w:sz w:val="16"/>
                <w:szCs w:val="16"/>
                <w:color w:val="auto"/>
              </w:rPr>
              <w:t>Automotive selling, general and administrative expense</w:t>
            </w:r>
          </w:p>
        </w:tc>
        <w:tc>
          <w:tcPr>
            <w:tcW w:w="42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2,832</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2,942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8,647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8,860</w:t>
            </w:r>
          </w:p>
        </w:tc>
        <w:tc>
          <w:tcPr>
            <w:tcW w:w="0" w:type="dxa"/>
            <w:vAlign w:val="bottom"/>
          </w:tcPr>
          <w:p>
            <w:pPr>
              <w:spacing w:after="0"/>
              <w:rPr>
                <w:sz w:val="1"/>
                <w:szCs w:val="1"/>
                <w:color w:val="auto"/>
              </w:rPr>
            </w:pPr>
          </w:p>
        </w:tc>
      </w:tr>
      <w:tr>
        <w:trPr>
          <w:trHeight w:val="241"/>
        </w:trPr>
        <w:tc>
          <w:tcPr>
            <w:tcW w:w="6040" w:type="dxa"/>
            <w:vAlign w:val="bottom"/>
          </w:tcPr>
          <w:p>
            <w:pPr>
              <w:ind w:left="140"/>
              <w:spacing w:after="0"/>
              <w:rPr>
                <w:sz w:val="20"/>
                <w:szCs w:val="20"/>
                <w:color w:val="auto"/>
              </w:rPr>
            </w:pPr>
            <w:r>
              <w:rPr>
                <w:rFonts w:ascii="Arial" w:cs="Arial" w:eastAsia="Arial" w:hAnsi="Arial"/>
                <w:sz w:val="16"/>
                <w:szCs w:val="16"/>
                <w:color w:val="auto"/>
              </w:rPr>
              <w:t>Other automotive expenses, net</w:t>
            </w:r>
          </w:p>
        </w:tc>
        <w:tc>
          <w:tcPr>
            <w:tcW w:w="42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41"/>
        </w:trPr>
        <w:tc>
          <w:tcPr>
            <w:tcW w:w="6040" w:type="dxa"/>
            <w:vAlign w:val="bottom"/>
          </w:tcPr>
          <w:p>
            <w:pPr>
              <w:ind w:left="140"/>
              <w:spacing w:after="0"/>
              <w:rPr>
                <w:sz w:val="20"/>
                <w:szCs w:val="20"/>
                <w:color w:val="auto"/>
              </w:rPr>
            </w:pPr>
            <w:r>
              <w:rPr>
                <w:rFonts w:ascii="Arial" w:cs="Arial" w:eastAsia="Arial" w:hAnsi="Arial"/>
                <w:sz w:val="16"/>
                <w:szCs w:val="16"/>
                <w:color w:val="auto"/>
              </w:rPr>
              <w:t>Goodwill impairment charges</w:t>
            </w:r>
          </w:p>
        </w:tc>
        <w:tc>
          <w:tcPr>
            <w:tcW w:w="42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40" w:type="dxa"/>
            <w:vAlign w:val="bottom"/>
          </w:tcPr>
          <w:p>
            <w:pPr>
              <w:ind w:left="140"/>
              <w:spacing w:after="0"/>
              <w:rPr>
                <w:sz w:val="20"/>
                <w:szCs w:val="20"/>
                <w:color w:val="auto"/>
              </w:rPr>
            </w:pPr>
            <w:r>
              <w:rPr>
                <w:rFonts w:ascii="Arial" w:cs="Arial" w:eastAsia="Arial" w:hAnsi="Arial"/>
                <w:sz w:val="16"/>
                <w:szCs w:val="16"/>
                <w:color w:val="auto"/>
              </w:rPr>
              <w:t>Total costs and expenses</w:t>
            </w:r>
          </w:p>
        </w:tc>
        <w:tc>
          <w:tcPr>
            <w:tcW w:w="42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35,973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34,913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108,529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w w:val="96"/>
              </w:rPr>
              <w:t>107,080</w:t>
            </w: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40" w:type="dxa"/>
            <w:vAlign w:val="bottom"/>
          </w:tcPr>
          <w:p>
            <w:pPr>
              <w:ind w:left="300"/>
              <w:spacing w:after="0"/>
              <w:rPr>
                <w:sz w:val="20"/>
                <w:szCs w:val="20"/>
                <w:color w:val="auto"/>
              </w:rPr>
            </w:pPr>
            <w:r>
              <w:rPr>
                <w:rFonts w:ascii="Arial" w:cs="Arial" w:eastAsia="Arial" w:hAnsi="Arial"/>
                <w:sz w:val="16"/>
                <w:szCs w:val="16"/>
                <w:color w:val="auto"/>
              </w:rPr>
              <w:t>Operating income</w:t>
            </w:r>
          </w:p>
        </w:tc>
        <w:tc>
          <w:tcPr>
            <w:tcW w:w="42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1,603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1,806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4,420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5,206</w:t>
            </w: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Automotive interest expense</w:t>
            </w:r>
          </w:p>
        </w:tc>
        <w:tc>
          <w:tcPr>
            <w:tcW w:w="42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Interest income and other non-operating income, net</w:t>
            </w:r>
          </w:p>
        </w:tc>
        <w:tc>
          <w:tcPr>
            <w:tcW w:w="42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732</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4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40" w:type="dxa"/>
            <w:vAlign w:val="bottom"/>
          </w:tcPr>
          <w:p>
            <w:pPr>
              <w:spacing w:after="0"/>
              <w:rPr>
                <w:sz w:val="20"/>
                <w:szCs w:val="20"/>
                <w:color w:val="auto"/>
              </w:rPr>
            </w:pPr>
            <w:r>
              <w:rPr>
                <w:rFonts w:ascii="Arial" w:cs="Arial" w:eastAsia="Arial" w:hAnsi="Arial"/>
                <w:sz w:val="16"/>
                <w:szCs w:val="16"/>
                <w:color w:val="auto"/>
              </w:rPr>
              <w:t>Income before income taxes and equity income</w:t>
            </w:r>
          </w:p>
        </w:tc>
        <w:tc>
          <w:tcPr>
            <w:tcW w:w="42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1,793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1,822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4,778</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5,820</w:t>
            </w: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Income tax expense</w:t>
            </w:r>
          </w:p>
        </w:tc>
        <w:tc>
          <w:tcPr>
            <w:tcW w:w="42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Equity income, net of tax and gain on investments</w:t>
            </w:r>
          </w:p>
        </w:tc>
        <w:tc>
          <w:tcPr>
            <w:tcW w:w="42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377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1,141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2,903</w:t>
            </w:r>
          </w:p>
        </w:tc>
        <w:tc>
          <w:tcPr>
            <w:tcW w:w="0" w:type="dxa"/>
            <w:vAlign w:val="bottom"/>
          </w:tcPr>
          <w:p>
            <w:pPr>
              <w:spacing w:after="0"/>
              <w:rPr>
                <w:sz w:val="1"/>
                <w:szCs w:val="1"/>
                <w:color w:val="auto"/>
              </w:rPr>
            </w:pPr>
          </w:p>
        </w:tc>
      </w:tr>
      <w:tr>
        <w:trPr>
          <w:trHeight w:val="24"/>
        </w:trPr>
        <w:tc>
          <w:tcPr>
            <w:tcW w:w="6040" w:type="dxa"/>
            <w:vAlign w:val="bottom"/>
            <w:vMerge w:val="restart"/>
          </w:tcPr>
          <w:p>
            <w:pPr>
              <w:spacing w:after="0"/>
              <w:rPr>
                <w:sz w:val="20"/>
                <w:szCs w:val="20"/>
                <w:color w:val="auto"/>
              </w:rPr>
            </w:pPr>
            <w:r>
              <w:rPr>
                <w:rFonts w:ascii="Arial" w:cs="Arial" w:eastAsia="Arial" w:hAnsi="Arial"/>
                <w:sz w:val="16"/>
                <w:szCs w:val="16"/>
                <w:b w:val="1"/>
                <w:bCs w:val="1"/>
                <w:color w:val="auto"/>
              </w:rPr>
              <w:t>Net income</w:t>
            </w: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4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1,854</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2,092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5,105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8,540</w:t>
            </w: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4"/>
        </w:trPr>
        <w:tc>
          <w:tcPr>
            <w:tcW w:w="60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6"/>
                <w:szCs w:val="16"/>
                <w:b w:val="1"/>
                <w:bCs w:val="1"/>
                <w:color w:val="auto"/>
              </w:rPr>
              <w:t>Net income attributable to stockholders</w:t>
            </w: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1,833</w:t>
            </w:r>
          </w:p>
        </w:tc>
        <w:tc>
          <w:tcPr>
            <w:tcW w:w="120" w:type="dxa"/>
            <w:vAlign w:val="bottom"/>
          </w:tcPr>
          <w:p>
            <w:pPr>
              <w:spacing w:after="0"/>
              <w:rPr>
                <w:sz w:val="19"/>
                <w:szCs w:val="19"/>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2,107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4,994</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8,465</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1,476</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1,726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3,967</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20"/>
        </w:trPr>
        <w:tc>
          <w:tcPr>
            <w:tcW w:w="6040" w:type="dxa"/>
            <w:vAlign w:val="bottom"/>
            <w:vMerge w:val="restart"/>
          </w:tcPr>
          <w:p>
            <w:pPr>
              <w:spacing w:after="0"/>
              <w:rPr>
                <w:sz w:val="20"/>
                <w:szCs w:val="20"/>
                <w:color w:val="auto"/>
              </w:rPr>
            </w:pPr>
            <w:r>
              <w:rPr>
                <w:rFonts w:ascii="Arial" w:cs="Arial" w:eastAsia="Arial" w:hAnsi="Arial"/>
                <w:sz w:val="16"/>
                <w:szCs w:val="16"/>
                <w:b w:val="1"/>
                <w:bCs w:val="1"/>
                <w:color w:val="auto"/>
              </w:rPr>
              <w:t>Earnings per share</w:t>
            </w: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0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r>
              <w:rPr>
                <w:rFonts w:ascii="Arial" w:cs="Arial" w:eastAsia="Arial" w:hAnsi="Arial"/>
                <w:sz w:val="16"/>
                <w:szCs w:val="16"/>
                <w:b w:val="1"/>
                <w:bCs w:val="1"/>
                <w:color w:val="auto"/>
              </w:rPr>
              <w:t>Basic</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40" w:type="dxa"/>
            <w:vAlign w:val="bottom"/>
          </w:tcPr>
          <w:p>
            <w:pPr>
              <w:ind w:left="140"/>
              <w:spacing w:after="0"/>
              <w:rPr>
                <w:sz w:val="20"/>
                <w:szCs w:val="20"/>
                <w:color w:val="auto"/>
              </w:rPr>
            </w:pPr>
            <w:r>
              <w:rPr>
                <w:rFonts w:ascii="Arial" w:cs="Arial" w:eastAsia="Arial" w:hAnsi="Arial"/>
                <w:sz w:val="16"/>
                <w:szCs w:val="16"/>
                <w:color w:val="auto"/>
              </w:rPr>
              <w:t>Basic earnings per common share</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20"/>
                <w:szCs w:val="20"/>
                <w:color w:val="auto"/>
              </w:rPr>
            </w:pPr>
          </w:p>
        </w:tc>
        <w:tc>
          <w:tcPr>
            <w:tcW w:w="620" w:type="dxa"/>
            <w:vAlign w:val="bottom"/>
          </w:tcPr>
          <w:p>
            <w:pPr>
              <w:jc w:val="right"/>
              <w:ind w:right="4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5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41"/>
        </w:trPr>
        <w:tc>
          <w:tcPr>
            <w:tcW w:w="604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w:t>
            </w:r>
          </w:p>
        </w:tc>
        <w:tc>
          <w:tcPr>
            <w:tcW w:w="42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1,570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r>
              <w:rPr>
                <w:rFonts w:ascii="Arial" w:cs="Arial" w:eastAsia="Arial" w:hAnsi="Arial"/>
                <w:sz w:val="16"/>
                <w:szCs w:val="16"/>
                <w:b w:val="1"/>
                <w:bCs w:val="1"/>
                <w:color w:val="auto"/>
              </w:rPr>
              <w:t>Diluted</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4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420" w:type="dxa"/>
            <w:vAlign w:val="bottom"/>
          </w:tcPr>
          <w:p>
            <w:pPr>
              <w:jc w:val="right"/>
              <w:ind w:right="24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0.89</w:t>
            </w:r>
          </w:p>
        </w:tc>
        <w:tc>
          <w:tcPr>
            <w:tcW w:w="120" w:type="dxa"/>
            <w:vAlign w:val="bottom"/>
          </w:tcPr>
          <w:p>
            <w:pPr>
              <w:spacing w:after="0"/>
              <w:rPr>
                <w:sz w:val="20"/>
                <w:szCs w:val="20"/>
                <w:color w:val="auto"/>
              </w:rPr>
            </w:pPr>
          </w:p>
        </w:tc>
        <w:tc>
          <w:tcPr>
            <w:tcW w:w="620" w:type="dxa"/>
            <w:vAlign w:val="bottom"/>
          </w:tcPr>
          <w:p>
            <w:pPr>
              <w:jc w:val="right"/>
              <w:ind w:right="44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20"/>
                <w:szCs w:val="20"/>
                <w:color w:val="auto"/>
              </w:rPr>
            </w:pPr>
          </w:p>
        </w:tc>
        <w:tc>
          <w:tcPr>
            <w:tcW w:w="560" w:type="dxa"/>
            <w:vAlign w:val="bottom"/>
          </w:tcPr>
          <w:p>
            <w:pPr>
              <w:jc w:val="right"/>
              <w:ind w:right="362"/>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41"/>
        </w:trPr>
        <w:tc>
          <w:tcPr>
            <w:tcW w:w="604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w:t>
            </w:r>
          </w:p>
        </w:tc>
        <w:tc>
          <w:tcPr>
            <w:tcW w:w="420" w:type="dxa"/>
            <w:vAlign w:val="bottom"/>
          </w:tcPr>
          <w:p>
            <w:pPr>
              <w:spacing w:after="0"/>
              <w:rPr>
                <w:sz w:val="20"/>
                <w:szCs w:val="20"/>
                <w:color w:val="auto"/>
              </w:rPr>
            </w:pPr>
          </w:p>
        </w:tc>
        <w:tc>
          <w:tcPr>
            <w:tcW w:w="860" w:type="dxa"/>
            <w:vAlign w:val="bottom"/>
          </w:tcPr>
          <w:p>
            <w:pPr>
              <w:jc w:val="right"/>
              <w:ind w:right="40"/>
              <w:spacing w:after="0"/>
              <w:rPr>
                <w:sz w:val="20"/>
                <w:szCs w:val="20"/>
                <w:color w:val="auto"/>
              </w:rPr>
            </w:pPr>
            <w:r>
              <w:rPr>
                <w:rFonts w:ascii="Arial" w:cs="Arial" w:eastAsia="Arial" w:hAnsi="Arial"/>
                <w:sz w:val="16"/>
                <w:szCs w:val="16"/>
                <w:color w:val="auto"/>
              </w:rPr>
              <w:t>1,663</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20"/>
              <w:spacing w:after="0"/>
              <w:rPr>
                <w:sz w:val="20"/>
                <w:szCs w:val="20"/>
                <w:color w:val="auto"/>
              </w:rPr>
            </w:pPr>
            <w:r>
              <w:rPr>
                <w:rFonts w:ascii="Arial" w:cs="Arial" w:eastAsia="Arial" w:hAnsi="Arial"/>
                <w:sz w:val="16"/>
                <w:szCs w:val="16"/>
                <w:color w:val="auto"/>
              </w:rPr>
              <w:t>1,682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1,675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1,668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60" w:top="726" w:right="219" w:bottom="1440" w:gutter="0" w:footer="0" w:header="0"/>
        </w:sectPr>
      </w:pPr>
    </w:p>
    <w:bookmarkStart w:id="15" w:name="page16"/>
    <w:bookmarkEnd w:id="15"/>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4" w:right="280" w:firstLine="145"/>
        <w:spacing w:after="0" w:line="284" w:lineRule="auto"/>
        <w:rPr>
          <w:sz w:val="20"/>
          <w:szCs w:val="20"/>
          <w:color w:val="auto"/>
        </w:rPr>
      </w:pPr>
      <w:r>
        <w:rPr>
          <w:rFonts w:ascii="Arial" w:cs="Arial" w:eastAsia="Arial" w:hAnsi="Arial"/>
          <w:sz w:val="14"/>
          <w:szCs w:val="14"/>
          <w:color w:val="auto"/>
        </w:rPr>
        <w:t>In the three months and nine months ended September 30, 2012 GM was required to use the two-class method for calculating earnings per share as the applicable market value of its common stock was below $33.00 per common share in the period ended September 30, 2012.</w:t>
      </w:r>
    </w:p>
    <w:p>
      <w:pPr>
        <w:spacing w:after="0" w:line="150"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basic and diluted earnings per share (in millions, except per share amounts):</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60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3"/>
                <w:szCs w:val="13"/>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3"/>
                <w:szCs w:val="13"/>
                <w:b w:val="1"/>
                <w:bCs w:val="1"/>
                <w:color w:val="auto"/>
              </w:rPr>
              <w:t>Nine Months Ended</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p>
        </w:tc>
        <w:tc>
          <w:tcPr>
            <w:tcW w:w="140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2012</w:t>
            </w:r>
          </w:p>
        </w:tc>
        <w:tc>
          <w:tcPr>
            <w:tcW w:w="138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2011</w:t>
            </w:r>
          </w:p>
        </w:tc>
        <w:tc>
          <w:tcPr>
            <w:tcW w:w="1340" w:type="dxa"/>
            <w:vAlign w:val="bottom"/>
            <w:gridSpan w:val="3"/>
          </w:tcPr>
          <w:p>
            <w:pPr>
              <w:ind w:left="80"/>
              <w:spacing w:after="0"/>
              <w:rPr>
                <w:sz w:val="20"/>
                <w:szCs w:val="20"/>
                <w:color w:val="auto"/>
              </w:rPr>
            </w:pPr>
            <w:r>
              <w:rPr>
                <w:rFonts w:ascii="Arial" w:cs="Arial" w:eastAsia="Arial" w:hAnsi="Arial"/>
                <w:sz w:val="13"/>
                <w:szCs w:val="13"/>
                <w:b w:val="1"/>
                <w:bCs w:val="1"/>
                <w:color w:val="auto"/>
              </w:rPr>
              <w:t>September 30, 2012</w:t>
            </w:r>
          </w:p>
        </w:tc>
        <w:tc>
          <w:tcPr>
            <w:tcW w:w="12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93"/>
              </w:rPr>
              <w:t>September 30, 2011</w:t>
            </w:r>
          </w:p>
        </w:tc>
        <w:tc>
          <w:tcPr>
            <w:tcW w:w="0" w:type="dxa"/>
            <w:vAlign w:val="bottom"/>
          </w:tcPr>
          <w:p>
            <w:pPr>
              <w:spacing w:after="0"/>
              <w:rPr>
                <w:sz w:val="1"/>
                <w:szCs w:val="1"/>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1,833</w:t>
            </w:r>
          </w:p>
        </w:tc>
        <w:tc>
          <w:tcPr>
            <w:tcW w:w="120" w:type="dxa"/>
            <w:vAlign w:val="bottom"/>
          </w:tcPr>
          <w:p>
            <w:pPr>
              <w:spacing w:after="0"/>
              <w:rPr>
                <w:sz w:val="20"/>
                <w:szCs w:val="20"/>
                <w:color w:val="auto"/>
              </w:rPr>
            </w:pPr>
          </w:p>
        </w:tc>
        <w:tc>
          <w:tcPr>
            <w:tcW w:w="660" w:type="dxa"/>
            <w:vAlign w:val="bottom"/>
          </w:tcPr>
          <w:p>
            <w:pPr>
              <w:jc w:val="right"/>
              <w:ind w:right="48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2,107</w:t>
            </w:r>
          </w:p>
        </w:tc>
        <w:tc>
          <w:tcPr>
            <w:tcW w:w="120" w:type="dxa"/>
            <w:vAlign w:val="bottom"/>
          </w:tcPr>
          <w:p>
            <w:pPr>
              <w:spacing w:after="0"/>
              <w:rPr>
                <w:sz w:val="20"/>
                <w:szCs w:val="20"/>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4,994</w:t>
            </w:r>
          </w:p>
        </w:tc>
        <w:tc>
          <w:tcPr>
            <w:tcW w:w="100" w:type="dxa"/>
            <w:vAlign w:val="bottom"/>
          </w:tcPr>
          <w:p>
            <w:pPr>
              <w:spacing w:after="0"/>
              <w:rPr>
                <w:sz w:val="20"/>
                <w:szCs w:val="20"/>
                <w:color w:val="auto"/>
              </w:rPr>
            </w:pPr>
          </w:p>
        </w:tc>
        <w:tc>
          <w:tcPr>
            <w:tcW w:w="6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8,465</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color w:val="auto"/>
                <w:w w:val="92"/>
              </w:rPr>
              <w:t>Less: cumulative dividends on preferred stock and undistributed earnings allocated to Series</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6"/>
                <w:szCs w:val="16"/>
                <w:color w:val="auto"/>
              </w:rPr>
              <w:t>B Preferred Stock participating security(b)</w:t>
            </w: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(1,027)</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1,476</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1,726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3,967</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7,113</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Weighted-average common shares outstanding - basic</w:t>
            </w: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1,570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Basic earnings per common share</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0.94</w:t>
            </w:r>
          </w:p>
        </w:tc>
        <w:tc>
          <w:tcPr>
            <w:tcW w:w="120" w:type="dxa"/>
            <w:vAlign w:val="bottom"/>
          </w:tcPr>
          <w:p>
            <w:pPr>
              <w:spacing w:after="0"/>
              <w:rPr>
                <w:sz w:val="20"/>
                <w:szCs w:val="20"/>
                <w:color w:val="auto"/>
              </w:rPr>
            </w:pPr>
          </w:p>
        </w:tc>
        <w:tc>
          <w:tcPr>
            <w:tcW w:w="660" w:type="dxa"/>
            <w:vAlign w:val="bottom"/>
          </w:tcPr>
          <w:p>
            <w:pPr>
              <w:jc w:val="right"/>
              <w:ind w:right="48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6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4.67</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1,833</w:t>
            </w:r>
          </w:p>
        </w:tc>
        <w:tc>
          <w:tcPr>
            <w:tcW w:w="120" w:type="dxa"/>
            <w:vAlign w:val="bottom"/>
          </w:tcPr>
          <w:p>
            <w:pPr>
              <w:spacing w:after="0"/>
              <w:rPr>
                <w:sz w:val="20"/>
                <w:szCs w:val="20"/>
                <w:color w:val="auto"/>
              </w:rPr>
            </w:pPr>
          </w:p>
        </w:tc>
        <w:tc>
          <w:tcPr>
            <w:tcW w:w="660" w:type="dxa"/>
            <w:vAlign w:val="bottom"/>
          </w:tcPr>
          <w:p>
            <w:pPr>
              <w:jc w:val="right"/>
              <w:ind w:right="48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2,107</w:t>
            </w:r>
          </w:p>
        </w:tc>
        <w:tc>
          <w:tcPr>
            <w:tcW w:w="120" w:type="dxa"/>
            <w:vAlign w:val="bottom"/>
          </w:tcPr>
          <w:p>
            <w:pPr>
              <w:spacing w:after="0"/>
              <w:rPr>
                <w:sz w:val="20"/>
                <w:szCs w:val="20"/>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4,994</w:t>
            </w:r>
          </w:p>
        </w:tc>
        <w:tc>
          <w:tcPr>
            <w:tcW w:w="100" w:type="dxa"/>
            <w:vAlign w:val="bottom"/>
          </w:tcPr>
          <w:p>
            <w:pPr>
              <w:spacing w:after="0"/>
              <w:rPr>
                <w:sz w:val="20"/>
                <w:szCs w:val="20"/>
                <w:color w:val="auto"/>
              </w:rPr>
            </w:pPr>
          </w:p>
        </w:tc>
        <w:tc>
          <w:tcPr>
            <w:tcW w:w="6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8,465</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Arial" w:cs="Arial" w:eastAsia="Arial" w:hAnsi="Arial"/>
                <w:sz w:val="16"/>
                <w:szCs w:val="16"/>
                <w:color w:val="auto"/>
                <w:w w:val="92"/>
              </w:rPr>
              <w:t>Less: cumulative dividends on preferred stock and undistributed earnings allocated to Series</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6"/>
                <w:szCs w:val="16"/>
                <w:color w:val="auto"/>
              </w:rPr>
              <w:t>B Preferred Stock participating security(c)</w:t>
            </w: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(1,295)</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606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44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1,483</w:t>
            </w: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1,736</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3,989</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7,170</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Weighted-average shares outstanding - diluted</w:t>
            </w: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06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basic</w:t>
            </w:r>
          </w:p>
        </w:tc>
        <w:tc>
          <w:tcPr>
            <w:tcW w:w="44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1,570</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1,570</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1,524</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Dilutive effect of warrants</w:t>
            </w:r>
          </w:p>
        </w:tc>
        <w:tc>
          <w:tcPr>
            <w:tcW w:w="44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41"/>
        </w:trPr>
        <w:tc>
          <w:tcPr>
            <w:tcW w:w="6060" w:type="dxa"/>
            <w:vAlign w:val="bottom"/>
          </w:tcPr>
          <w:p>
            <w:pPr>
              <w:ind w:left="20"/>
              <w:spacing w:after="0"/>
              <w:rPr>
                <w:sz w:val="20"/>
                <w:szCs w:val="20"/>
                <w:color w:val="auto"/>
              </w:rPr>
            </w:pPr>
            <w:r>
              <w:rPr>
                <w:rFonts w:ascii="Arial" w:cs="Arial" w:eastAsia="Arial" w:hAnsi="Arial"/>
                <w:sz w:val="16"/>
                <w:szCs w:val="16"/>
                <w:color w:val="auto"/>
              </w:rPr>
              <w:t>Dilutive effect of restricted stock units</w:t>
            </w:r>
          </w:p>
        </w:tc>
        <w:tc>
          <w:tcPr>
            <w:tcW w:w="440" w:type="dxa"/>
            <w:vAlign w:val="bottom"/>
          </w:tcPr>
          <w:p>
            <w:pPr>
              <w:spacing w:after="0"/>
              <w:rPr>
                <w:sz w:val="20"/>
                <w:szCs w:val="20"/>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4"/>
        </w:trPr>
        <w:tc>
          <w:tcPr>
            <w:tcW w:w="60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06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1,663</w:t>
            </w:r>
          </w:p>
        </w:tc>
        <w:tc>
          <w:tcPr>
            <w:tcW w:w="12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1,682</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1,675</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1,668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tcPr>
          <w:p>
            <w:pPr>
              <w:ind w:left="20"/>
              <w:spacing w:after="0"/>
              <w:rPr>
                <w:sz w:val="20"/>
                <w:szCs w:val="20"/>
                <w:color w:val="auto"/>
              </w:rPr>
            </w:pPr>
            <w:r>
              <w:rPr>
                <w:rFonts w:ascii="Arial" w:cs="Arial" w:eastAsia="Arial" w:hAnsi="Arial"/>
                <w:sz w:val="16"/>
                <w:szCs w:val="16"/>
                <w:color w:val="auto"/>
              </w:rPr>
              <w:t>Diluted earnings per common share</w:t>
            </w:r>
          </w:p>
        </w:tc>
        <w:tc>
          <w:tcPr>
            <w:tcW w:w="440" w:type="dxa"/>
            <w:vAlign w:val="bottom"/>
          </w:tcPr>
          <w:p>
            <w:pPr>
              <w:jc w:val="right"/>
              <w:ind w:right="26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0.89</w:t>
            </w:r>
          </w:p>
        </w:tc>
        <w:tc>
          <w:tcPr>
            <w:tcW w:w="120" w:type="dxa"/>
            <w:vAlign w:val="bottom"/>
          </w:tcPr>
          <w:p>
            <w:pPr>
              <w:spacing w:after="0"/>
              <w:rPr>
                <w:sz w:val="17"/>
                <w:szCs w:val="17"/>
                <w:color w:val="auto"/>
              </w:rPr>
            </w:pPr>
          </w:p>
        </w:tc>
        <w:tc>
          <w:tcPr>
            <w:tcW w:w="660" w:type="dxa"/>
            <w:vAlign w:val="bottom"/>
          </w:tcPr>
          <w:p>
            <w:pPr>
              <w:jc w:val="right"/>
              <w:ind w:right="482"/>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1"/>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7"/>
                <w:szCs w:val="17"/>
                <w:color w:val="auto"/>
              </w:rPr>
            </w:pPr>
          </w:p>
        </w:tc>
        <w:tc>
          <w:tcPr>
            <w:tcW w:w="620" w:type="dxa"/>
            <w:vAlign w:val="bottom"/>
          </w:tcPr>
          <w:p>
            <w:pPr>
              <w:jc w:val="right"/>
              <w:ind w:right="422"/>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11"/>
        </w:trPr>
        <w:tc>
          <w:tcPr>
            <w:tcW w:w="6060" w:type="dxa"/>
            <w:vAlign w:val="bottom"/>
          </w:tcPr>
          <w:p>
            <w:pPr>
              <w:spacing w:after="0"/>
              <w:rPr>
                <w:sz w:val="20"/>
                <w:szCs w:val="20"/>
                <w:color w:val="auto"/>
              </w:rPr>
            </w:pPr>
            <w:r>
              <w:rPr>
                <w:rFonts w:ascii="Arial" w:cs="Arial" w:eastAsia="Arial" w:hAnsi="Arial"/>
                <w:sz w:val="16"/>
                <w:szCs w:val="16"/>
                <w:color w:val="auto"/>
              </w:rPr>
              <w:t>__________</w:t>
            </w: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84" w:hanging="284"/>
        <w:spacing w:after="0"/>
        <w:tabs>
          <w:tab w:leader="none" w:pos="284" w:val="left"/>
        </w:tabs>
        <w:numPr>
          <w:ilvl w:val="0"/>
          <w:numId w:val="9"/>
        </w:numPr>
        <w:rPr>
          <w:rFonts w:ascii="Arial" w:cs="Arial" w:eastAsia="Arial" w:hAnsi="Arial"/>
          <w:sz w:val="11"/>
          <w:szCs w:val="11"/>
          <w:color w:val="auto"/>
        </w:rPr>
      </w:pPr>
      <w:r>
        <w:rPr>
          <w:rFonts w:ascii="Arial" w:cs="Arial" w:eastAsia="Arial" w:hAnsi="Arial"/>
          <w:sz w:val="11"/>
          <w:szCs w:val="11"/>
          <w:color w:val="auto"/>
        </w:rPr>
        <w:t>Includes earned but undistributed dividends of $26 million on GM's Series A Preferred Stock and $20 million on GM's Series B Preferred Stock in the three and nine months ended September 30, 2012 and 2011.</w:t>
      </w:r>
    </w:p>
    <w:p>
      <w:pPr>
        <w:spacing w:after="0" w:line="18" w:lineRule="exact"/>
        <w:rPr>
          <w:rFonts w:ascii="Arial" w:cs="Arial" w:eastAsia="Arial" w:hAnsi="Arial"/>
          <w:sz w:val="11"/>
          <w:szCs w:val="11"/>
          <w:color w:val="auto"/>
        </w:rPr>
      </w:pPr>
    </w:p>
    <w:p>
      <w:pPr>
        <w:jc w:val="both"/>
        <w:ind w:left="284" w:right="20" w:hanging="284"/>
        <w:spacing w:after="0" w:line="251" w:lineRule="auto"/>
        <w:tabs>
          <w:tab w:leader="none" w:pos="284"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cumulative dividends on preferred stock of $215 million and earnings of $142 million that have been allocated to the Series B Preferred Stock holders in the three months ended September 30, 2012 and cumulative dividends on preferred stock of $215 million and earnings of $166 million that have been allocated to the Series B Preferred Stock holders in the three months ended September 30, 2011. Includes cumulative dividends on preferred stock of $644 million and earnings of $383 million that have been allocated to the Series B Preferred Stock holders in the nine months ended September 30, 2012 and cumulative dividends on preferred stock of $644 million and earnings of $708 million allocated to the Series B Preferred Stock holders in the nine months ended September 30, 2011.</w:t>
      </w:r>
    </w:p>
    <w:p>
      <w:pPr>
        <w:spacing w:after="0" w:line="1" w:lineRule="exact"/>
        <w:rPr>
          <w:rFonts w:ascii="Arial" w:cs="Arial" w:eastAsia="Arial" w:hAnsi="Arial"/>
          <w:sz w:val="12"/>
          <w:szCs w:val="12"/>
          <w:color w:val="auto"/>
        </w:rPr>
      </w:pPr>
    </w:p>
    <w:p>
      <w:pPr>
        <w:jc w:val="both"/>
        <w:ind w:left="284" w:right="20" w:hanging="284"/>
        <w:spacing w:after="0" w:line="260" w:lineRule="auto"/>
        <w:tabs>
          <w:tab w:leader="none" w:pos="284" w:val="left"/>
        </w:tabs>
        <w:numPr>
          <w:ilvl w:val="0"/>
          <w:numId w:val="9"/>
        </w:numPr>
        <w:rPr>
          <w:rFonts w:ascii="Arial" w:cs="Arial" w:eastAsia="Arial" w:hAnsi="Arial"/>
          <w:sz w:val="12"/>
          <w:szCs w:val="12"/>
          <w:color w:val="auto"/>
        </w:rPr>
      </w:pPr>
      <w:r>
        <w:rPr>
          <w:rFonts w:ascii="Arial" w:cs="Arial" w:eastAsia="Arial" w:hAnsi="Arial"/>
          <w:sz w:val="12"/>
          <w:szCs w:val="12"/>
          <w:color w:val="auto"/>
        </w:rPr>
        <w:t>Includes cumulative dividends on preferred stock of $215 million and earnings of $135 million that have been allocated to the Series B Preferred Stock holders in the three months ended September 30, 2012 and cumulative dividends on preferred stock of $215 million and earnings of $156 million that have been allocated to the Series B Preferred Stock holders in the three months ended September 30, 2011. Includes cumulative dividends on preferred stock of $644 million and earnings of $361 million that have been allocated to the Series B Preferred Stock holders in the nine months ended September 30, 2012 and cumulative dividends on preferred stock of $644 million and earnings of $651 million that have been allocated to the Series B Preferred Stock holders in the nine months ended September 30, 2011.</w:t>
      </w:r>
    </w:p>
    <w:p>
      <w:pPr>
        <w:spacing w:after="0" w:line="38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4"/>
          </w:cols>
          <w:pgMar w:left="236" w:top="726" w:right="219" w:bottom="1440" w:gutter="0" w:footer="0" w:header="0"/>
        </w:sectPr>
      </w:pPr>
    </w:p>
    <w:bookmarkStart w:id="16" w:name="page17"/>
    <w:bookmarkEnd w:id="16"/>
    <w:p>
      <w:pPr>
        <w:jc w:val="center"/>
        <w:ind w:left="326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326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9" w:lineRule="exact"/>
        <w:rPr>
          <w:sz w:val="20"/>
          <w:szCs w:val="20"/>
          <w:color w:val="auto"/>
        </w:rPr>
      </w:pPr>
    </w:p>
    <w:p>
      <w:pPr>
        <w:jc w:val="center"/>
        <w:ind w:left="3260"/>
        <w:spacing w:after="0"/>
        <w:rPr>
          <w:sz w:val="20"/>
          <w:szCs w:val="20"/>
          <w:color w:val="auto"/>
        </w:rPr>
      </w:pPr>
      <w:r>
        <w:rPr>
          <w:rFonts w:ascii="Arial" w:cs="Arial" w:eastAsia="Arial" w:hAnsi="Arial"/>
          <w:sz w:val="16"/>
          <w:szCs w:val="16"/>
          <w:i w:val="1"/>
          <w:iCs w:val="1"/>
          <w:color w:val="auto"/>
        </w:rPr>
        <w:t>(In millions, except share amounts)</w:t>
      </w:r>
    </w:p>
    <w:p>
      <w:pPr>
        <w:spacing w:after="0" w:line="9" w:lineRule="exact"/>
        <w:rPr>
          <w:sz w:val="20"/>
          <w:szCs w:val="20"/>
          <w:color w:val="auto"/>
        </w:rPr>
      </w:pPr>
    </w:p>
    <w:p>
      <w:pPr>
        <w:jc w:val="center"/>
        <w:ind w:left="3260"/>
        <w:spacing w:after="0"/>
        <w:rPr>
          <w:sz w:val="20"/>
          <w:szCs w:val="20"/>
          <w:color w:val="auto"/>
        </w:rPr>
      </w:pPr>
      <w:r>
        <w:rPr>
          <w:rFonts w:ascii="Arial" w:cs="Arial" w:eastAsia="Arial" w:hAnsi="Arial"/>
          <w:sz w:val="16"/>
          <w:szCs w:val="16"/>
          <w:i w:val="1"/>
          <w:iCs w:val="1"/>
          <w:color w:val="auto"/>
        </w:rPr>
        <w:t>(Unaudited)</w:t>
      </w:r>
    </w:p>
    <w:p>
      <w:pPr>
        <w:spacing w:after="0" w:line="379" w:lineRule="exact"/>
        <w:rPr>
          <w:sz w:val="20"/>
          <w:szCs w:val="20"/>
          <w:color w:val="auto"/>
        </w:rPr>
      </w:pPr>
    </w:p>
    <w:p>
      <w:pPr>
        <w:jc w:val="center"/>
        <w:ind w:left="180"/>
        <w:spacing w:after="0"/>
        <w:rPr>
          <w:sz w:val="20"/>
          <w:szCs w:val="20"/>
          <w:color w:val="auto"/>
        </w:rPr>
      </w:pPr>
      <w:r>
        <w:rPr>
          <w:rFonts w:ascii="Arial" w:cs="Arial" w:eastAsia="Arial" w:hAnsi="Arial"/>
          <w:sz w:val="11"/>
          <w:szCs w:val="11"/>
          <w:b w:val="1"/>
          <w:bCs w:val="1"/>
          <w:color w:val="auto"/>
        </w:rPr>
        <w:t>ASSETS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Current Assets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Cash and cash equivalents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Marketable securities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Restricted cash and marketable securities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Accounts and notes receivable (net of allowance of $304 and $331)</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GM Financial finance receivables, net (including gross finance receivables transferred to SPEs of $3,481 and $3,295)</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1"/>
          <w:szCs w:val="11"/>
          <w:color w:val="auto"/>
        </w:rPr>
        <w:t>Inventories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Equipment on operating leases, net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current assets and deferred income taxes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current assets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Non-current Assets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Restricted cash and marketable securities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GM Financial finance receivables, net (including gross finance receivables transferred to SPEs of $6,657 and $5,773)</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Equity in net assets of nonconsolidated affiliates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Property, net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Goodwill</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Intangible assets, net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GM Financial equipment on operating leases, net (including assets transferred to SPEs of $584 and $274)</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assets and deferred income taxes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non-current assets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Assets</w:t>
      </w:r>
    </w:p>
    <w:p>
      <w:pPr>
        <w:spacing w:after="0" w:line="115" w:lineRule="exact"/>
        <w:rPr>
          <w:sz w:val="20"/>
          <w:szCs w:val="20"/>
          <w:color w:val="auto"/>
        </w:rPr>
      </w:pPr>
    </w:p>
    <w:p>
      <w:pPr>
        <w:jc w:val="center"/>
        <w:ind w:left="180"/>
        <w:spacing w:after="0"/>
        <w:rPr>
          <w:sz w:val="20"/>
          <w:szCs w:val="20"/>
          <w:color w:val="auto"/>
        </w:rPr>
      </w:pPr>
      <w:r>
        <w:rPr>
          <w:rFonts w:ascii="Arial" w:cs="Arial" w:eastAsia="Arial" w:hAnsi="Arial"/>
          <w:sz w:val="11"/>
          <w:szCs w:val="11"/>
          <w:b w:val="1"/>
          <w:bCs w:val="1"/>
          <w:color w:val="auto"/>
        </w:rPr>
        <w:t>LIABILITIES AND EQUITY</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Current Liabilities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Accounts payable (principally trade)</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Short-term debt and current portion of long-term debt</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Automotive (including certain debt at VIEs of $227 and $171)</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GM Financial</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Accrued liabilities (including derivative liabilities at VIEs of $13 and $44)</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current liabilities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Non-current Liabilities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Long-term debt</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Automotive (including certain debt at VIEs of $123 and $7)</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GM Financial</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Postretirement benefits other than pensions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Pensions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liabilities and deferred income taxes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non-current liabilities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Commitments and contingencies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Equity</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1"/>
          <w:szCs w:val="11"/>
          <w:color w:val="auto"/>
        </w:rPr>
        <w:t>Preferred stock, $0.01 par value, 2,000,000,000 shares authorized:</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Series A (276,101,695 shares issued and outstanding (each with a $25.00 liquidation preference) at September 30, 2012 and December 31, 2011)</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Series B (100,000,000 shares issued and outstanding (each with a $50.00 liquidation preference) at September 30, 2012 and December 31, 2011)</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0"/>
          <w:szCs w:val="10"/>
          <w:color w:val="auto"/>
        </w:rPr>
        <w:t>Common stock, $0.01 par value (5,000,000,000 shares authorized and 1,565,979,895 shares and 1,564,727,289 shares issued and outstanding at September 30, 2012 and December 31, 2011)</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1"/>
          <w:szCs w:val="11"/>
          <w:color w:val="auto"/>
        </w:rPr>
        <w:t>Capital surplus (principally additional paid-in capital)</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Retained earnings</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Accumulated other comprehensive loss</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Total stockholders’ equity</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Noncontrolling interests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Equity</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1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0"/>
                <w:szCs w:val="10"/>
                <w:b w:val="1"/>
                <w:bCs w:val="1"/>
                <w:color w:val="auto"/>
              </w:rPr>
              <w:t>September 30, 2012</w:t>
            </w:r>
          </w:p>
        </w:tc>
        <w:tc>
          <w:tcPr>
            <w:tcW w:w="160" w:type="dxa"/>
            <w:vAlign w:val="bottom"/>
          </w:tcPr>
          <w:p>
            <w:pPr>
              <w:spacing w:after="0"/>
              <w:rPr>
                <w:sz w:val="10"/>
                <w:szCs w:val="10"/>
                <w:color w:val="auto"/>
              </w:rPr>
            </w:pPr>
          </w:p>
        </w:tc>
        <w:tc>
          <w:tcPr>
            <w:tcW w:w="1100" w:type="dxa"/>
            <w:vAlign w:val="bottom"/>
          </w:tcPr>
          <w:p>
            <w:pPr>
              <w:jc w:val="right"/>
              <w:ind w:right="184"/>
              <w:spacing w:after="0"/>
              <w:rPr>
                <w:sz w:val="20"/>
                <w:szCs w:val="20"/>
                <w:color w:val="auto"/>
              </w:rPr>
            </w:pPr>
            <w:r>
              <w:rPr>
                <w:rFonts w:ascii="Arial" w:cs="Arial" w:eastAsia="Arial" w:hAnsi="Arial"/>
                <w:sz w:val="10"/>
                <w:szCs w:val="10"/>
                <w:b w:val="1"/>
                <w:bCs w:val="1"/>
                <w:color w:val="auto"/>
                <w:w w:val="93"/>
              </w:rPr>
              <w:t>December 31, 2011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0"/>
        </w:trPr>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23,320</w:t>
            </w:r>
          </w:p>
        </w:tc>
        <w:tc>
          <w:tcPr>
            <w:tcW w:w="10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16,071</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10,411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16,148</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863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1,005</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13,015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9,964</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3,744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3,251</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15,672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14,324</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2,972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2,464</w:t>
            </w:r>
          </w:p>
        </w:tc>
      </w:tr>
      <w:tr>
        <w:trPr>
          <w:trHeight w:val="250"/>
        </w:trPr>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2,110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1,696</w:t>
            </w:r>
          </w:p>
        </w:tc>
      </w:tr>
      <w:tr>
        <w:trPr>
          <w:trHeight w:val="213"/>
        </w:trPr>
        <w:tc>
          <w:tcPr>
            <w:tcW w:w="160" w:type="dxa"/>
            <w:vAlign w:val="bottom"/>
          </w:tcPr>
          <w:p>
            <w:pPr>
              <w:spacing w:after="0"/>
              <w:rPr>
                <w:sz w:val="18"/>
                <w:szCs w:val="18"/>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72,107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64,923</w:t>
            </w:r>
          </w:p>
        </w:tc>
      </w:tr>
      <w:tr>
        <w:trPr>
          <w:trHeight w:val="482"/>
        </w:trPr>
        <w:tc>
          <w:tcPr>
            <w:tcW w:w="160" w:type="dxa"/>
            <w:vAlign w:val="bottom"/>
          </w:tcPr>
          <w:p>
            <w:pPr>
              <w:spacing w:after="0"/>
              <w:rPr>
                <w:sz w:val="24"/>
                <w:szCs w:val="24"/>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786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1,228</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6,855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5,911</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7,519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6,790</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26,578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23,005</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28,408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29,019</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8,904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10,014</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1,521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785</w:t>
            </w:r>
          </w:p>
        </w:tc>
      </w:tr>
      <w:tr>
        <w:trPr>
          <w:trHeight w:val="250"/>
        </w:trPr>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2,778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2,928</w:t>
            </w:r>
          </w:p>
        </w:tc>
      </w:tr>
      <w:tr>
        <w:trPr>
          <w:trHeight w:val="221"/>
        </w:trPr>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83,349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79,680</w:t>
            </w:r>
          </w:p>
        </w:tc>
      </w:tr>
      <w:tr>
        <w:trPr>
          <w:trHeight w:val="209"/>
        </w:trPr>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155,456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144,603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2"/>
        </w:trPr>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26,313</w:t>
            </w:r>
          </w:p>
        </w:tc>
        <w:tc>
          <w:tcPr>
            <w:tcW w:w="10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24,551</w:t>
            </w:r>
          </w:p>
        </w:tc>
      </w:tr>
      <w:tr>
        <w:trPr>
          <w:trHeight w:val="482"/>
        </w:trPr>
        <w:tc>
          <w:tcPr>
            <w:tcW w:w="160" w:type="dxa"/>
            <w:vAlign w:val="bottom"/>
          </w:tcPr>
          <w:p>
            <w:pPr>
              <w:spacing w:after="0"/>
              <w:rPr>
                <w:sz w:val="24"/>
                <w:szCs w:val="24"/>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2,277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1,682</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4,001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4,118</w:t>
            </w:r>
          </w:p>
        </w:tc>
      </w:tr>
      <w:tr>
        <w:trPr>
          <w:trHeight w:val="250"/>
        </w:trPr>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25,032</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22,875</w:t>
            </w:r>
          </w:p>
        </w:tc>
      </w:tr>
      <w:tr>
        <w:trPr>
          <w:trHeight w:val="213"/>
        </w:trPr>
        <w:tc>
          <w:tcPr>
            <w:tcW w:w="160" w:type="dxa"/>
            <w:vAlign w:val="bottom"/>
          </w:tcPr>
          <w:p>
            <w:pPr>
              <w:spacing w:after="0"/>
              <w:rPr>
                <w:sz w:val="18"/>
                <w:szCs w:val="18"/>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57,623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53,226</w:t>
            </w:r>
          </w:p>
        </w:tc>
      </w:tr>
      <w:tr>
        <w:trPr>
          <w:trHeight w:val="724"/>
        </w:trPr>
        <w:tc>
          <w:tcPr>
            <w:tcW w:w="160" w:type="dxa"/>
            <w:vAlign w:val="bottom"/>
          </w:tcPr>
          <w:p>
            <w:pPr>
              <w:spacing w:after="0"/>
              <w:rPr>
                <w:sz w:val="24"/>
                <w:szCs w:val="24"/>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3,314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3,613</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7,061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4,420</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6,755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6,836</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25,317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25,075</w:t>
            </w:r>
          </w:p>
        </w:tc>
      </w:tr>
      <w:tr>
        <w:trPr>
          <w:trHeight w:val="250"/>
        </w:trPr>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12,757</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12,442</w:t>
            </w:r>
          </w:p>
        </w:tc>
      </w:tr>
      <w:tr>
        <w:trPr>
          <w:trHeight w:val="221"/>
        </w:trPr>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55,204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52,386</w:t>
            </w:r>
          </w:p>
        </w:tc>
      </w:tr>
      <w:tr>
        <w:trPr>
          <w:trHeight w:val="213"/>
        </w:trPr>
        <w:tc>
          <w:tcPr>
            <w:tcW w:w="160" w:type="dxa"/>
            <w:vAlign w:val="bottom"/>
          </w:tcPr>
          <w:p>
            <w:pPr>
              <w:spacing w:after="0"/>
              <w:rPr>
                <w:sz w:val="18"/>
                <w:szCs w:val="18"/>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112,827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105,612</w:t>
            </w:r>
          </w:p>
        </w:tc>
      </w:tr>
      <w:tr>
        <w:trPr>
          <w:trHeight w:val="965"/>
        </w:trPr>
        <w:tc>
          <w:tcPr>
            <w:tcW w:w="160" w:type="dxa"/>
            <w:vAlign w:val="bottom"/>
          </w:tcPr>
          <w:p>
            <w:pPr>
              <w:spacing w:after="0"/>
              <w:rPr>
                <w:sz w:val="24"/>
                <w:szCs w:val="24"/>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5,536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5,536</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4,855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4,855</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26,443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26,391</w:t>
            </w:r>
          </w:p>
        </w:tc>
      </w:tr>
      <w:tr>
        <w:trPr>
          <w:trHeight w:val="241"/>
        </w:trPr>
        <w:tc>
          <w:tcPr>
            <w:tcW w:w="160" w:type="dxa"/>
            <w:vAlign w:val="bottom"/>
          </w:tcPr>
          <w:p>
            <w:pPr>
              <w:spacing w:after="0"/>
              <w:rPr>
                <w:sz w:val="20"/>
                <w:szCs w:val="20"/>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11,533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7,183</w:t>
            </w:r>
          </w:p>
        </w:tc>
      </w:tr>
      <w:tr>
        <w:trPr>
          <w:trHeight w:val="250"/>
        </w:trPr>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(6,724)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(5,861)</w:t>
            </w:r>
          </w:p>
        </w:tc>
      </w:tr>
      <w:tr>
        <w:trPr>
          <w:trHeight w:val="213"/>
        </w:trPr>
        <w:tc>
          <w:tcPr>
            <w:tcW w:w="160" w:type="dxa"/>
            <w:vAlign w:val="bottom"/>
          </w:tcPr>
          <w:p>
            <w:pPr>
              <w:spacing w:after="0"/>
              <w:rPr>
                <w:sz w:val="18"/>
                <w:szCs w:val="18"/>
                <w:color w:val="auto"/>
              </w:rPr>
            </w:pPr>
          </w:p>
        </w:tc>
        <w:tc>
          <w:tcPr>
            <w:tcW w:w="1120" w:type="dxa"/>
            <w:vAlign w:val="bottom"/>
          </w:tcPr>
          <w:p>
            <w:pPr>
              <w:jc w:val="right"/>
              <w:ind w:right="64"/>
              <w:spacing w:after="0"/>
              <w:rPr>
                <w:sz w:val="20"/>
                <w:szCs w:val="20"/>
                <w:color w:val="auto"/>
              </w:rPr>
            </w:pPr>
            <w:r>
              <w:rPr>
                <w:rFonts w:ascii="Arial" w:cs="Arial" w:eastAsia="Arial" w:hAnsi="Arial"/>
                <w:sz w:val="11"/>
                <w:szCs w:val="11"/>
                <w:color w:val="auto"/>
              </w:rPr>
              <w:t>41,659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38,120</w:t>
            </w:r>
          </w:p>
        </w:tc>
      </w:tr>
      <w:tr>
        <w:trPr>
          <w:trHeight w:val="250"/>
        </w:trPr>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970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871</w:t>
            </w:r>
          </w:p>
        </w:tc>
      </w:tr>
      <w:tr>
        <w:trPr>
          <w:trHeight w:val="221"/>
        </w:trPr>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42,629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38,991</w:t>
            </w:r>
          </w:p>
        </w:tc>
      </w:tr>
      <w:tr>
        <w:trPr>
          <w:trHeight w:val="209"/>
        </w:trPr>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155,456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144,603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620" w:space="180"/>
            <w:col w:w="2640"/>
          </w:cols>
          <w:pgMar w:left="240" w:top="726" w:right="21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40"/>
          </w:cols>
          <w:pgMar w:left="240" w:top="726" w:right="219" w:bottom="1440" w:gutter="0" w:footer="0" w:header="0"/>
          <w:type w:val="continuous"/>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2019-12-09T19:49:46Z</dcterms:created>
  <dcterms:modified xsi:type="dcterms:W3CDTF">2019-12-09T19:49:46Z</dcterms:modified>
</cp:coreProperties>
</file>