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96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9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ind w:left="540"/>
              <w:spacing w:after="0" w:line="117" w:lineRule="exact"/>
              <w:rPr>
                <w:sz w:val="20"/>
                <w:szCs w:val="20"/>
                <w:color w:val="auto"/>
              </w:rPr>
            </w:pPr>
            <w:r>
              <w:rPr>
                <w:rFonts w:ascii="Arial" w:cs="Arial" w:eastAsia="Arial" w:hAnsi="Arial"/>
                <w:sz w:val="12"/>
                <w:szCs w:val="12"/>
                <w:b w:val="1"/>
                <w:bCs w:val="1"/>
                <w:color w:val="auto"/>
              </w:rPr>
              <w:t>Average of the</w:t>
            </w:r>
          </w:p>
        </w:tc>
        <w:tc>
          <w:tcPr>
            <w:tcW w:w="1780" w:type="dxa"/>
            <w:vAlign w:val="bottom"/>
          </w:tcPr>
          <w:p>
            <w:pPr>
              <w:jc w:val="center"/>
              <w:ind w:left="9"/>
              <w:spacing w:after="0" w:line="117" w:lineRule="exact"/>
              <w:rPr>
                <w:sz w:val="20"/>
                <w:szCs w:val="20"/>
                <w:color w:val="auto"/>
              </w:rPr>
            </w:pPr>
            <w:r>
              <w:rPr>
                <w:rFonts w:ascii="Arial" w:cs="Arial" w:eastAsia="Arial" w:hAnsi="Arial"/>
                <w:sz w:val="12"/>
                <w:szCs w:val="12"/>
                <w:b w:val="1"/>
                <w:bCs w:val="1"/>
                <w:color w:val="auto"/>
              </w:rPr>
              <w:t>Amount of</w:t>
            </w:r>
          </w:p>
        </w:tc>
      </w:tr>
      <w:tr>
        <w:trPr>
          <w:trHeight w:val="149"/>
        </w:trPr>
        <w:tc>
          <w:tcPr>
            <w:tcW w:w="20" w:type="dxa"/>
            <w:vAlign w:val="bottom"/>
          </w:tcPr>
          <w:p>
            <w:pPr>
              <w:spacing w:after="0"/>
              <w:rPr>
                <w:sz w:val="12"/>
                <w:szCs w:val="12"/>
                <w:color w:val="auto"/>
              </w:rPr>
            </w:pPr>
          </w:p>
        </w:tc>
        <w:tc>
          <w:tcPr>
            <w:tcW w:w="596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840" w:type="dxa"/>
            <w:vAlign w:val="bottom"/>
            <w:tcBorders>
              <w:right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rPr>
              <w:t>High and Low</w:t>
            </w:r>
          </w:p>
        </w:tc>
        <w:tc>
          <w:tcPr>
            <w:tcW w:w="178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5"/>
              </w:rPr>
              <w:t>Registration</w:t>
            </w:r>
          </w:p>
        </w:tc>
      </w:tr>
      <w:tr>
        <w:trPr>
          <w:trHeight w:val="175"/>
        </w:trPr>
        <w:tc>
          <w:tcPr>
            <w:tcW w:w="20" w:type="dxa"/>
            <w:vAlign w:val="bottom"/>
          </w:tcPr>
          <w:p>
            <w:pPr>
              <w:spacing w:after="0"/>
              <w:rPr>
                <w:sz w:val="15"/>
                <w:szCs w:val="15"/>
                <w:color w:val="auto"/>
              </w:rPr>
            </w:pPr>
          </w:p>
        </w:tc>
        <w:tc>
          <w:tcPr>
            <w:tcW w:w="5960" w:type="dxa"/>
            <w:vAlign w:val="bottom"/>
            <w:tcBorders>
              <w:bottom w:val="single" w:sz="8" w:color="auto"/>
              <w:right w:val="single" w:sz="8" w:color="auto"/>
            </w:tcBorders>
          </w:tcPr>
          <w:p>
            <w:pPr>
              <w:ind w:left="1880"/>
              <w:spacing w:after="0"/>
              <w:rPr>
                <w:sz w:val="20"/>
                <w:szCs w:val="20"/>
                <w:color w:val="auto"/>
              </w:rPr>
            </w:pPr>
            <w:r>
              <w:rPr>
                <w:rFonts w:ascii="Arial" w:cs="Arial" w:eastAsia="Arial" w:hAnsi="Arial"/>
                <w:sz w:val="14"/>
                <w:szCs w:val="14"/>
                <w:b w:val="1"/>
                <w:bCs w:val="1"/>
                <w:color w:val="auto"/>
              </w:rPr>
              <w:t>Title of each class of securities offered</w:t>
            </w:r>
          </w:p>
        </w:tc>
        <w:tc>
          <w:tcPr>
            <w:tcW w:w="182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5"/>
              </w:rPr>
              <w:t>Registered</w:t>
            </w:r>
          </w:p>
        </w:tc>
        <w:tc>
          <w:tcPr>
            <w:tcW w:w="184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5"/>
              </w:rPr>
              <w:t>Price(1)</w:t>
            </w:r>
          </w:p>
        </w:tc>
        <w:tc>
          <w:tcPr>
            <w:tcW w:w="178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5"/>
              </w:rPr>
              <w:t>Fee(2)(3)</w:t>
            </w:r>
          </w:p>
        </w:tc>
      </w:tr>
      <w:tr>
        <w:trPr>
          <w:trHeight w:val="210"/>
        </w:trPr>
        <w:tc>
          <w:tcPr>
            <w:tcW w:w="20" w:type="dxa"/>
            <w:vAlign w:val="bottom"/>
            <w:tcBorders>
              <w:bottom w:val="single" w:sz="8" w:color="auto"/>
            </w:tcBorders>
          </w:tcPr>
          <w:p>
            <w:pPr>
              <w:spacing w:after="0"/>
              <w:rPr>
                <w:sz w:val="18"/>
                <w:szCs w:val="18"/>
                <w:color w:val="auto"/>
              </w:rPr>
            </w:pPr>
          </w:p>
        </w:tc>
        <w:tc>
          <w:tcPr>
            <w:tcW w:w="5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82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6"/>
              </w:rPr>
              <w:t>50,000,000</w:t>
            </w:r>
          </w:p>
        </w:tc>
        <w:tc>
          <w:tcPr>
            <w:tcW w:w="1840" w:type="dxa"/>
            <w:vAlign w:val="bottom"/>
            <w:tcBorders>
              <w:bottom w:val="single" w:sz="8" w:color="auto"/>
              <w:right w:val="single" w:sz="8" w:color="auto"/>
            </w:tcBorders>
          </w:tcPr>
          <w:p>
            <w:pPr>
              <w:jc w:val="right"/>
              <w:ind w:right="529"/>
              <w:spacing w:after="0"/>
              <w:rPr>
                <w:sz w:val="20"/>
                <w:szCs w:val="20"/>
                <w:color w:val="auto"/>
              </w:rPr>
            </w:pPr>
            <w:r>
              <w:rPr>
                <w:rFonts w:ascii="Arial" w:cs="Arial" w:eastAsia="Arial" w:hAnsi="Arial"/>
                <w:sz w:val="18"/>
                <w:szCs w:val="18"/>
                <w:color w:val="auto"/>
              </w:rPr>
              <w:t>$34.035</w:t>
            </w:r>
          </w:p>
        </w:tc>
        <w:tc>
          <w:tcPr>
            <w:tcW w:w="1780" w:type="dxa"/>
            <w:vAlign w:val="bottom"/>
            <w:tcBorders>
              <w:bottom w:val="single" w:sz="8" w:color="auto"/>
            </w:tcBorders>
          </w:tcPr>
          <w:p>
            <w:pPr>
              <w:jc w:val="right"/>
              <w:ind w:right="349"/>
              <w:spacing w:after="0"/>
              <w:rPr>
                <w:sz w:val="20"/>
                <w:szCs w:val="20"/>
                <w:color w:val="auto"/>
              </w:rPr>
            </w:pPr>
            <w:r>
              <w:rPr>
                <w:rFonts w:ascii="Arial" w:cs="Arial" w:eastAsia="Arial" w:hAnsi="Arial"/>
                <w:sz w:val="18"/>
                <w:szCs w:val="18"/>
                <w:color w:val="auto"/>
              </w:rPr>
              <w:t>$232,118.70</w:t>
            </w:r>
          </w:p>
        </w:tc>
      </w:tr>
      <w:tr>
        <w:trPr>
          <w:trHeight w:val="20"/>
        </w:trPr>
        <w:tc>
          <w:tcPr>
            <w:tcW w:w="20" w:type="dxa"/>
            <w:vAlign w:val="bottom"/>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of a specified date within 5 business days prior to the date of filling the registration statement.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457(c) under the Securities Act of 1933, as amended.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registration fee of $232,118.70 has been paid with respect to this offering.</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333-188153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April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135890</wp:posOffset>
            </wp:positionV>
            <wp:extent cx="45281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50,000,000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selling stockholders named herein, including the United States Department of the Treasury, are offering pursuant to this prospectus supplement 50,000,000 shares of our common stock, par value $0.01 per share. We are not selling any shares of our common stock in this offering. We will not receive any proceeds from the sale of the shares by the selling stockholders.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“GM” and on the Toronto Stock Exchange under the symbol “GMM”. On June 5, 2013, the last reported sale price of our common stock on the NYSE was $34.02 per share.</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carefully read this prospectus supplement, the accompanying prospectus and any related free writing prospectus, together with the documents we incorporate by reference, before you invest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32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Investment in our common stock involves risks. See “</w:t>
      </w:r>
      <w:hyperlink w:anchor="page8">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S-4 of this prospectus supplement, in the accompanying prospectus and in our periodic reports filed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2"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the accuracy of this prospectus supplement, the accompanying prospectus or any related free writing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179070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Per Share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34.41</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1,720,500,000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34.39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1,719,500,000</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60" w:type="dxa"/>
            <w:vAlign w:val="bottom"/>
            <w:gridSpan w:val="3"/>
          </w:tcPr>
          <w:p>
            <w:pPr>
              <w:ind w:left="460"/>
              <w:spacing w:after="0"/>
              <w:rPr>
                <w:sz w:val="20"/>
                <w:szCs w:val="20"/>
                <w:color w:val="auto"/>
              </w:rPr>
            </w:pPr>
            <w:r>
              <w:rPr>
                <w:rFonts w:ascii="Arial" w:cs="Arial" w:eastAsia="Arial" w:hAnsi="Arial"/>
                <w:sz w:val="18"/>
                <w:szCs w:val="18"/>
                <w:color w:val="auto"/>
              </w:rPr>
              <w:t>The underwriters expect to deliver the shares of our common stock on or about June 12, 2013.</w:t>
            </w:r>
          </w:p>
        </w:tc>
        <w:tc>
          <w:tcPr>
            <w:tcW w:w="3360" w:type="dxa"/>
            <w:vAlign w:val="bottom"/>
          </w:tcPr>
          <w:p>
            <w:pPr>
              <w:spacing w:after="0"/>
              <w:rPr>
                <w:sz w:val="19"/>
                <w:szCs w:val="19"/>
                <w:color w:val="auto"/>
              </w:rPr>
            </w:pPr>
          </w:p>
        </w:tc>
      </w:tr>
      <w:tr>
        <w:trPr>
          <w:trHeight w:val="28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603"/>
        </w:trPr>
        <w:tc>
          <w:tcPr>
            <w:tcW w:w="452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3540" w:type="dxa"/>
            <w:vAlign w:val="bottom"/>
            <w:gridSpan w:val="2"/>
          </w:tcPr>
          <w:p>
            <w:pPr>
              <w:jc w:val="center"/>
              <w:ind w:right="1580"/>
              <w:spacing w:after="0"/>
              <w:rPr>
                <w:sz w:val="20"/>
                <w:szCs w:val="20"/>
                <w:color w:val="auto"/>
              </w:rPr>
            </w:pPr>
            <w:r>
              <w:rPr>
                <w:rFonts w:ascii="Arial" w:cs="Arial" w:eastAsia="Arial" w:hAnsi="Arial"/>
                <w:sz w:val="32"/>
                <w:szCs w:val="32"/>
                <w:b w:val="1"/>
                <w:bCs w:val="1"/>
                <w:color w:val="auto"/>
                <w:w w:val="92"/>
              </w:rPr>
              <w:t>J.P. Morgan</w:t>
            </w:r>
          </w:p>
        </w:tc>
        <w:tc>
          <w:tcPr>
            <w:tcW w:w="336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r>
      <w:tr>
        <w:trPr>
          <w:trHeight w:val="269"/>
        </w:trPr>
        <w:tc>
          <w:tcPr>
            <w:tcW w:w="45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160" w:type="dxa"/>
            <w:vAlign w:val="bottom"/>
          </w:tcPr>
          <w:p>
            <w:pPr>
              <w:spacing w:after="0"/>
              <w:rPr>
                <w:sz w:val="23"/>
                <w:szCs w:val="23"/>
                <w:color w:val="auto"/>
              </w:rPr>
            </w:pPr>
          </w:p>
        </w:tc>
        <w:tc>
          <w:tcPr>
            <w:tcW w:w="3360" w:type="dxa"/>
            <w:vAlign w:val="bottom"/>
          </w:tcPr>
          <w:p>
            <w:pPr>
              <w:spacing w:after="0"/>
              <w:rPr>
                <w:sz w:val="23"/>
                <w:szCs w:val="23"/>
                <w:color w:val="auto"/>
              </w:rPr>
            </w:pPr>
          </w:p>
        </w:tc>
      </w:tr>
      <w:tr>
        <w:trPr>
          <w:trHeight w:val="511"/>
        </w:trPr>
        <w:tc>
          <w:tcPr>
            <w:tcW w:w="4520" w:type="dxa"/>
            <w:vAlign w:val="bottom"/>
          </w:tcPr>
          <w:p>
            <w:pPr>
              <w:spacing w:after="0"/>
              <w:rPr>
                <w:sz w:val="20"/>
                <w:szCs w:val="20"/>
                <w:color w:val="auto"/>
              </w:rPr>
            </w:pPr>
            <w:r>
              <w:rPr>
                <w:rFonts w:ascii="Arial" w:cs="Arial" w:eastAsia="Arial" w:hAnsi="Arial"/>
                <w:sz w:val="24"/>
                <w:szCs w:val="24"/>
                <w:b w:val="1"/>
                <w:bCs w:val="1"/>
                <w:color w:val="auto"/>
              </w:rPr>
              <w:t>BofA Merrill Lynch</w:t>
            </w:r>
          </w:p>
        </w:tc>
        <w:tc>
          <w:tcPr>
            <w:tcW w:w="3540" w:type="dxa"/>
            <w:vAlign w:val="bottom"/>
            <w:gridSpan w:val="2"/>
          </w:tcPr>
          <w:p>
            <w:pPr>
              <w:jc w:val="center"/>
              <w:ind w:right="1580"/>
              <w:spacing w:after="0"/>
              <w:rPr>
                <w:sz w:val="20"/>
                <w:szCs w:val="20"/>
                <w:color w:val="auto"/>
              </w:rPr>
            </w:pPr>
            <w:r>
              <w:rPr>
                <w:rFonts w:ascii="Arial" w:cs="Arial" w:eastAsia="Arial" w:hAnsi="Arial"/>
                <w:sz w:val="24"/>
                <w:szCs w:val="24"/>
                <w:b w:val="1"/>
                <w:bCs w:val="1"/>
                <w:color w:val="auto"/>
                <w:w w:val="88"/>
              </w:rPr>
              <w:t>Credit Suisse</w:t>
            </w:r>
          </w:p>
        </w:tc>
        <w:tc>
          <w:tcPr>
            <w:tcW w:w="3360" w:type="dxa"/>
            <w:vAlign w:val="bottom"/>
          </w:tcPr>
          <w:p>
            <w:pPr>
              <w:jc w:val="right"/>
              <w:spacing w:after="0"/>
              <w:rPr>
                <w:sz w:val="20"/>
                <w:szCs w:val="20"/>
                <w:color w:val="auto"/>
              </w:rPr>
            </w:pPr>
            <w:r>
              <w:rPr>
                <w:rFonts w:ascii="Arial" w:cs="Arial" w:eastAsia="Arial" w:hAnsi="Arial"/>
                <w:sz w:val="24"/>
                <w:szCs w:val="24"/>
                <w:b w:val="1"/>
                <w:bCs w:val="1"/>
                <w:color w:val="auto"/>
              </w:rPr>
              <w:t>Goldman, Sachs &amp; Co.</w:t>
            </w:r>
          </w:p>
        </w:tc>
      </w:tr>
      <w:tr>
        <w:trPr>
          <w:trHeight w:val="414"/>
        </w:trPr>
        <w:tc>
          <w:tcPr>
            <w:tcW w:w="4520" w:type="dxa"/>
            <w:vAlign w:val="bottom"/>
          </w:tcPr>
          <w:p>
            <w:pPr>
              <w:spacing w:after="0"/>
              <w:rPr>
                <w:sz w:val="20"/>
                <w:szCs w:val="20"/>
                <w:color w:val="auto"/>
              </w:rPr>
            </w:pPr>
            <w:r>
              <w:rPr>
                <w:rFonts w:ascii="Arial" w:cs="Arial" w:eastAsia="Arial" w:hAnsi="Arial"/>
                <w:sz w:val="22"/>
                <w:szCs w:val="22"/>
                <w:b w:val="1"/>
                <w:bCs w:val="1"/>
                <w:color w:val="auto"/>
              </w:rPr>
              <w:t>Academy Securities, Inc.</w:t>
            </w:r>
          </w:p>
        </w:tc>
        <w:tc>
          <w:tcPr>
            <w:tcW w:w="3540" w:type="dxa"/>
            <w:vAlign w:val="bottom"/>
            <w:gridSpan w:val="2"/>
          </w:tcPr>
          <w:p>
            <w:pPr>
              <w:jc w:val="center"/>
              <w:ind w:right="600"/>
              <w:spacing w:after="0"/>
              <w:rPr>
                <w:sz w:val="20"/>
                <w:szCs w:val="20"/>
                <w:color w:val="auto"/>
              </w:rPr>
            </w:pPr>
            <w:r>
              <w:rPr>
                <w:rFonts w:ascii="Arial" w:cs="Arial" w:eastAsia="Arial" w:hAnsi="Arial"/>
                <w:sz w:val="22"/>
                <w:szCs w:val="22"/>
                <w:b w:val="1"/>
                <w:bCs w:val="1"/>
                <w:color w:val="auto"/>
                <w:w w:val="88"/>
              </w:rPr>
              <w:t>C.L. King &amp; Associates</w:t>
            </w:r>
          </w:p>
        </w:tc>
        <w:tc>
          <w:tcPr>
            <w:tcW w:w="3360" w:type="dxa"/>
            <w:vAlign w:val="bottom"/>
          </w:tcPr>
          <w:p>
            <w:pPr>
              <w:jc w:val="right"/>
              <w:spacing w:after="0"/>
              <w:rPr>
                <w:sz w:val="20"/>
                <w:szCs w:val="20"/>
                <w:color w:val="auto"/>
              </w:rPr>
            </w:pPr>
            <w:r>
              <w:rPr>
                <w:rFonts w:ascii="Arial" w:cs="Arial" w:eastAsia="Arial" w:hAnsi="Arial"/>
                <w:sz w:val="22"/>
                <w:szCs w:val="22"/>
                <w:b w:val="1"/>
                <w:bCs w:val="1"/>
                <w:color w:val="auto"/>
              </w:rPr>
              <w:t>Drexel Hamilton</w:t>
            </w:r>
          </w:p>
        </w:tc>
      </w:tr>
      <w:tr>
        <w:trPr>
          <w:trHeight w:val="243"/>
        </w:trPr>
        <w:tc>
          <w:tcPr>
            <w:tcW w:w="4520" w:type="dxa"/>
            <w:vAlign w:val="bottom"/>
          </w:tcPr>
          <w:p>
            <w:pPr>
              <w:spacing w:after="0" w:line="243" w:lineRule="exact"/>
              <w:rPr>
                <w:sz w:val="20"/>
                <w:szCs w:val="20"/>
                <w:color w:val="auto"/>
              </w:rPr>
            </w:pPr>
            <w:r>
              <w:rPr>
                <w:rFonts w:ascii="Arial" w:cs="Arial" w:eastAsia="Arial" w:hAnsi="Arial"/>
                <w:sz w:val="22"/>
                <w:szCs w:val="22"/>
                <w:b w:val="1"/>
                <w:bCs w:val="1"/>
                <w:color w:val="auto"/>
              </w:rPr>
              <w:t>Lebenthal &amp; Co., LLC</w:t>
            </w:r>
          </w:p>
        </w:tc>
        <w:tc>
          <w:tcPr>
            <w:tcW w:w="3540" w:type="dxa"/>
            <w:vAlign w:val="bottom"/>
            <w:gridSpan w:val="2"/>
          </w:tcPr>
          <w:p>
            <w:pPr>
              <w:jc w:val="center"/>
              <w:ind w:right="580"/>
              <w:spacing w:after="0" w:line="243" w:lineRule="exact"/>
              <w:rPr>
                <w:sz w:val="20"/>
                <w:szCs w:val="20"/>
                <w:color w:val="auto"/>
              </w:rPr>
            </w:pPr>
            <w:r>
              <w:rPr>
                <w:rFonts w:ascii="Arial" w:cs="Arial" w:eastAsia="Arial" w:hAnsi="Arial"/>
                <w:sz w:val="22"/>
                <w:szCs w:val="22"/>
                <w:b w:val="1"/>
                <w:bCs w:val="1"/>
                <w:color w:val="auto"/>
                <w:w w:val="91"/>
              </w:rPr>
              <w:t>Loop Capital Markets</w:t>
            </w:r>
          </w:p>
        </w:tc>
        <w:tc>
          <w:tcPr>
            <w:tcW w:w="33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Ramirez &amp; Co., Inc.</w:t>
            </w:r>
          </w:p>
        </w:tc>
      </w:tr>
      <w:tr>
        <w:trPr>
          <w:trHeight w:val="281"/>
        </w:trPr>
        <w:tc>
          <w:tcPr>
            <w:tcW w:w="4520" w:type="dxa"/>
            <w:vAlign w:val="bottom"/>
          </w:tcPr>
          <w:p>
            <w:pPr>
              <w:spacing w:after="0"/>
              <w:rPr>
                <w:sz w:val="20"/>
                <w:szCs w:val="20"/>
                <w:color w:val="auto"/>
              </w:rPr>
            </w:pPr>
            <w:r>
              <w:rPr>
                <w:rFonts w:ascii="Arial" w:cs="Arial" w:eastAsia="Arial" w:hAnsi="Arial"/>
                <w:sz w:val="22"/>
                <w:szCs w:val="22"/>
                <w:b w:val="1"/>
                <w:bCs w:val="1"/>
                <w:color w:val="auto"/>
              </w:rPr>
              <w:t>The Williams Capital Group, L.P.</w:t>
            </w:r>
          </w:p>
        </w:tc>
        <w:tc>
          <w:tcPr>
            <w:tcW w:w="2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Arial" w:cs="Arial" w:eastAsia="Arial" w:hAnsi="Arial"/>
                <w:sz w:val="22"/>
                <w:szCs w:val="22"/>
                <w:b w:val="1"/>
                <w:bCs w:val="1"/>
                <w:color w:val="auto"/>
              </w:rPr>
              <w:t>Valdés &amp; Moreno,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June 6, 2013.</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66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397"/>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gridSpan w:val="4"/>
          </w:tcPr>
          <w:p>
            <w:pPr>
              <w:jc w:val="center"/>
              <w:ind w:left="312"/>
              <w:spacing w:after="0"/>
              <w:rPr>
                <w:sz w:val="20"/>
                <w:szCs w:val="20"/>
                <w:color w:val="auto"/>
              </w:rPr>
            </w:pPr>
            <w:r>
              <w:rPr>
                <w:rFonts w:ascii="Arial" w:cs="Arial" w:eastAsia="Arial" w:hAnsi="Arial"/>
                <w:sz w:val="18"/>
                <w:szCs w:val="18"/>
                <w:b w:val="1"/>
                <w:bCs w:val="1"/>
                <w:color w:val="auto"/>
                <w:w w:val="95"/>
              </w:rPr>
              <w:t>PROSPECTUS SUPPLEMENT</w:t>
            </w:r>
          </w:p>
        </w:tc>
        <w:tc>
          <w:tcPr>
            <w:tcW w:w="4000" w:type="dxa"/>
            <w:vAlign w:val="bottom"/>
          </w:tcPr>
          <w:p>
            <w:pPr>
              <w:spacing w:after="0"/>
              <w:rPr>
                <w:sz w:val="24"/>
                <w:szCs w:val="24"/>
                <w:color w:val="auto"/>
              </w:rPr>
            </w:pPr>
          </w:p>
        </w:tc>
      </w:tr>
      <w:tr>
        <w:trPr>
          <w:trHeight w:val="380"/>
        </w:trPr>
        <w:tc>
          <w:tcPr>
            <w:tcW w:w="33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ABOUT THIS PROSPECTUS SUPPLEMENT</w:t>
              </w:r>
            </w:hyperlink>
          </w:p>
        </w:tc>
        <w:tc>
          <w:tcPr>
            <w:tcW w:w="3960" w:type="dxa"/>
            <w:vAlign w:val="bottom"/>
            <w:gridSpan w:val="6"/>
          </w:tcPr>
          <w:p>
            <w:pPr>
              <w:spacing w:after="0"/>
              <w:rPr>
                <w:sz w:val="24"/>
                <w:szCs w:val="24"/>
                <w:color w:val="auto"/>
              </w:rPr>
            </w:pPr>
          </w:p>
        </w:tc>
        <w:tc>
          <w:tcPr>
            <w:tcW w:w="40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32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PROSPECTUS SUPPLEMENT SUMMARY</w:t>
              </w:r>
            </w:hyperlink>
          </w:p>
        </w:tc>
        <w:tc>
          <w:tcPr>
            <w:tcW w:w="4100" w:type="dxa"/>
            <w:vAlign w:val="bottom"/>
            <w:gridSpan w:val="8"/>
          </w:tcPr>
          <w:p>
            <w:pPr>
              <w:spacing w:after="0"/>
              <w:rPr>
                <w:sz w:val="17"/>
                <w:szCs w:val="17"/>
                <w:color w:val="auto"/>
              </w:rPr>
            </w:pPr>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THE OFFERING</w:t>
              </w:r>
            </w:hyperlink>
          </w:p>
        </w:tc>
        <w:tc>
          <w:tcPr>
            <w:tcW w:w="6060" w:type="dxa"/>
            <w:vAlign w:val="bottom"/>
            <w:gridSpan w:val="18"/>
          </w:tcPr>
          <w:p>
            <w:pPr>
              <w:spacing w:after="0"/>
              <w:rPr>
                <w:sz w:val="17"/>
                <w:szCs w:val="17"/>
                <w:color w:val="auto"/>
              </w:rPr>
            </w:pPr>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DIVIDEND POLICY</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FORWARD-LOOKING STATEMENTS</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2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SELLING STOCKHOLDERS</w:t>
              </w:r>
            </w:hyperlink>
          </w:p>
        </w:tc>
        <w:tc>
          <w:tcPr>
            <w:tcW w:w="4460" w:type="dxa"/>
            <w:vAlign w:val="bottom"/>
            <w:gridSpan w:val="10"/>
          </w:tcPr>
          <w:p>
            <w:pPr>
              <w:spacing w:after="0"/>
              <w:rPr>
                <w:sz w:val="17"/>
                <w:szCs w:val="17"/>
                <w:color w:val="auto"/>
              </w:rPr>
            </w:pPr>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6"/>
        </w:trPr>
        <w:tc>
          <w:tcPr>
            <w:tcW w:w="73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STOCKHOLDERS AGREEMENT WITH THE UST, CANADA HOLDINGS AND THE NEW VEBA</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34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SECURITIES ELIGIBLE FOR FUTURE SALE</w:t>
              </w:r>
            </w:hyperlink>
          </w:p>
        </w:tc>
        <w:tc>
          <w:tcPr>
            <w:tcW w:w="3880" w:type="dxa"/>
            <w:vAlign w:val="bottom"/>
            <w:gridSpan w:val="5"/>
          </w:tcPr>
          <w:p>
            <w:pPr>
              <w:spacing w:after="0"/>
              <w:rPr>
                <w:sz w:val="17"/>
                <w:szCs w:val="17"/>
                <w:color w:val="auto"/>
              </w:rPr>
            </w:pPr>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UNDERWRITING</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LEGAL MATTERS</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5900" w:type="dxa"/>
            <w:vAlign w:val="bottom"/>
            <w:gridSpan w:val="16"/>
          </w:tcPr>
          <w:p>
            <w:pPr>
              <w:spacing w:after="0"/>
              <w:rPr>
                <w:sz w:val="17"/>
                <w:szCs w:val="17"/>
                <w:color w:val="auto"/>
              </w:rPr>
            </w:pPr>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INCORPORATION OF CERTAIN DOCUMENTS BY REFERENCE</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196"/>
        </w:trPr>
        <w:tc>
          <w:tcPr>
            <w:tcW w:w="49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2380" w:type="dxa"/>
            <w:vAlign w:val="bottom"/>
            <w:gridSpan w:val="2"/>
          </w:tcPr>
          <w:p>
            <w:pPr>
              <w:spacing w:after="0"/>
              <w:rPr>
                <w:sz w:val="17"/>
                <w:szCs w:val="17"/>
                <w:color w:val="auto"/>
              </w:rPr>
            </w:pPr>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559"/>
        </w:trPr>
        <w:tc>
          <w:tcPr>
            <w:tcW w:w="7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3"/>
              </w:rPr>
              <w:t>PROSPECTUS</w:t>
            </w:r>
          </w:p>
        </w:tc>
        <w:tc>
          <w:tcPr>
            <w:tcW w:w="4000" w:type="dxa"/>
            <w:vAlign w:val="bottom"/>
          </w:tcPr>
          <w:p>
            <w:pPr>
              <w:spacing w:after="0"/>
              <w:rPr>
                <w:sz w:val="24"/>
                <w:szCs w:val="24"/>
                <w:color w:val="auto"/>
              </w:rPr>
            </w:pPr>
          </w:p>
        </w:tc>
      </w:tr>
      <w:tr>
        <w:trPr>
          <w:trHeight w:val="380"/>
        </w:trPr>
        <w:tc>
          <w:tcPr>
            <w:tcW w:w="732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4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540" w:type="dxa"/>
            <w:vAlign w:val="bottom"/>
            <w:gridSpan w:val="6"/>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INCORPORATION OF CERTAIN DOCUMENTS BY REFERENCE</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9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2380" w:type="dxa"/>
            <w:vAlign w:val="bottom"/>
            <w:gridSpan w:val="2"/>
          </w:tcPr>
          <w:p>
            <w:pPr>
              <w:spacing w:after="0"/>
              <w:rPr>
                <w:sz w:val="17"/>
                <w:szCs w:val="17"/>
                <w:color w:val="auto"/>
              </w:rPr>
            </w:pPr>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GENERAL MOTORS COMPANY</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5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4820" w:type="dxa"/>
            <w:vAlign w:val="bottom"/>
            <w:gridSpan w:val="11"/>
          </w:tcPr>
          <w:p>
            <w:pPr>
              <w:spacing w:after="0"/>
              <w:rPr>
                <w:sz w:val="17"/>
                <w:szCs w:val="17"/>
                <w:color w:val="auto"/>
              </w:rPr>
            </w:pPr>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540" w:type="dxa"/>
            <w:vAlign w:val="bottom"/>
            <w:gridSpan w:val="6"/>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FORWARD-LOOKING STATEMENTS</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00" w:type="dxa"/>
            <w:vAlign w:val="bottom"/>
            <w:gridSpan w:val="7"/>
            <w:shd w:val="clear" w:color="auto" w:fill="0000EE"/>
          </w:tcPr>
          <w:p>
            <w:pPr>
              <w:spacing w:after="0" w:line="20" w:lineRule="exact"/>
              <w:rPr>
                <w:sz w:val="1"/>
                <w:szCs w:val="1"/>
                <w:color w:val="auto"/>
              </w:rPr>
            </w:pPr>
          </w:p>
        </w:tc>
        <w:tc>
          <w:tcPr>
            <w:tcW w:w="86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OVERVIEW OF OUR CAPITAL STOCK</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00" w:type="dxa"/>
            <w:vAlign w:val="bottom"/>
            <w:gridSpan w:val="7"/>
            <w:shd w:val="clear" w:color="auto" w:fill="0000EE"/>
          </w:tcPr>
          <w:p>
            <w:pPr>
              <w:spacing w:after="0" w:line="20" w:lineRule="exact"/>
              <w:rPr>
                <w:sz w:val="1"/>
                <w:szCs w:val="1"/>
                <w:color w:val="auto"/>
              </w:rPr>
            </w:pPr>
          </w:p>
        </w:tc>
        <w:tc>
          <w:tcPr>
            <w:tcW w:w="86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OUR COMMON STOCK</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8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DESCRIPTION OF THE WARRANTS</w:t>
              </w:r>
            </w:hyperlink>
          </w:p>
        </w:tc>
        <w:tc>
          <w:tcPr>
            <w:tcW w:w="440" w:type="dxa"/>
            <w:vAlign w:val="bottom"/>
            <w:tcBorders>
              <w:top w:val="single" w:sz="8" w:color="0000EE"/>
            </w:tcBorders>
            <w:gridSpan w:val="3"/>
          </w:tcPr>
          <w:p>
            <w:pPr>
              <w:spacing w:after="0"/>
              <w:rPr>
                <w:sz w:val="17"/>
                <w:szCs w:val="17"/>
                <w:color w:val="auto"/>
              </w:rPr>
            </w:pPr>
          </w:p>
        </w:tc>
        <w:tc>
          <w:tcPr>
            <w:tcW w:w="4020" w:type="dxa"/>
            <w:vAlign w:val="bottom"/>
            <w:gridSpan w:val="7"/>
          </w:tcPr>
          <w:p>
            <w:pPr>
              <w:spacing w:after="0"/>
              <w:rPr>
                <w:sz w:val="17"/>
                <w:szCs w:val="17"/>
                <w:color w:val="auto"/>
              </w:rPr>
            </w:pPr>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PLAN OF DISTRIBUTION</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5320" w:type="dxa"/>
            <w:vAlign w:val="bottom"/>
            <w:gridSpan w:val="14"/>
          </w:tcPr>
          <w:p>
            <w:pPr>
              <w:spacing w:after="0"/>
              <w:rPr>
                <w:sz w:val="17"/>
                <w:szCs w:val="17"/>
                <w:color w:val="auto"/>
              </w:rPr>
            </w:pPr>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5900" w:type="dxa"/>
            <w:vAlign w:val="bottom"/>
            <w:gridSpan w:val="16"/>
          </w:tcPr>
          <w:p>
            <w:pPr>
              <w:spacing w:after="0"/>
              <w:rPr>
                <w:sz w:val="17"/>
                <w:szCs w:val="17"/>
                <w:color w:val="auto"/>
              </w:rPr>
            </w:pPr>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732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4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our common stock, risks relating to the offering and other information you should know before investing. You should carefully read this prospectus supplement, the accompanying prospectus, any related free writing prospectus, and our current and periodic reports filed from time to time with the SEC, as well as the additional information described under “Incorporation of Certain Documents by Reference” and “Where You Can Find More Information” in this prospectus supplement and the accompanying prospectus, before making an investment decision.</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this prospectus supplement, unless the context indicates otherwise, for the periods on or subsequent to July 10, 2009, references to “we,” “our,” “us,” “ourselves,” the “Company,” “General Motors,” or “GM” refer to General Motors Company and, where appropriate, its subsidiaries. General Motors Company is the successor entity solely for accounting and financial reporting purposes to General Motors Corporation, which is sometimes referred to in this prospectus supplement, for the periods on or before July 9, 2009, as “Old GM.” On July 10, 2009, Old GM changed its name to Motors Liquidation Company, which is sometimes referred to in this prospectus supplement for periods on or after July 10, 2009 as “MLC”. On December 15, 2011, MLC was dissolved and transferred its remaining assets and liabilities to the Motors Liquidation Company GUC Trust. The term “selling stockholders” refers, collectively, to the selling stockholders named in this prospectus supplement under the caption “Selling Stockholders”.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Neither we, any selling stockholder, nor any underwriter has authorized anyone to provide any information other than that contained in this prospectus supplement, the accompanying prospectus or in any free writing prospectus prepared by or on behalf of us to which we have referred you. Neither we, any selling stockholder, nor any underwriter take responsibility for, and neither we, any selling stockholder, nor any underwriter provide any assurance as to the reliability of, any other information that others may give you. We have not, and no selling stockholder or underwriter has, authorized any other person to provide you with different information. We are not, and no selling stockholder or underwriter is, making an offer to sell these securities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to which we have referred you is accurate only as of their respective dates. Our business, financial condition, results of operations and prospects may have changed since those dates.</w:t>
      </w:r>
    </w:p>
    <w:p>
      <w:pPr>
        <w:spacing w:after="0" w:line="11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that information in the accompanying prospectus.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i w:val="1"/>
          <w:iCs w:val="1"/>
          <w:color w:val="auto"/>
        </w:rPr>
        <w:t>This summary highlights selected information contained elsewhere or incorporated by reference in this prospectus supplement and the accompanying prospectus. This summary describes aspects of our business and our common stock,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S-4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19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General Motors Company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right="160" w:firstLine="443"/>
        <w:spacing w:after="0" w:line="298" w:lineRule="auto"/>
        <w:rPr>
          <w:sz w:val="20"/>
          <w:szCs w:val="20"/>
          <w:color w:val="auto"/>
        </w:rPr>
      </w:pPr>
      <w:r>
        <w:rPr>
          <w:rFonts w:ascii="Arial" w:cs="Arial" w:eastAsia="Arial" w:hAnsi="Arial"/>
          <w:sz w:val="16"/>
          <w:szCs w:val="16"/>
          <w:color w:val="auto"/>
        </w:rPr>
        <w:t>General Motors Company commenced operations on July 10, 2009 when we, through certain of our subsidiaries, completed the acquisition of substantially all of the assets and the assumption of certain liabilities of Old GM through a sale by Old GM under Chapter 11 of the U.S. Bankruptcy Code (the 363 Sale). By commencing operations following the 363 Sale, we were able to take advantage of a competitive labor agreement with our unions, a restructured dealer network and a reduced and refocused brand strategy in the U.S. focused on four brands.</w:t>
      </w:r>
    </w:p>
    <w:p>
      <w:pPr>
        <w:spacing w:after="0" w:line="113" w:lineRule="exact"/>
        <w:rPr>
          <w:sz w:val="20"/>
          <w:szCs w:val="20"/>
          <w:color w:val="auto"/>
        </w:rPr>
      </w:pPr>
    </w:p>
    <w:p>
      <w:pPr>
        <w:ind w:left="200" w:right="540" w:firstLine="443"/>
        <w:spacing w:after="0" w:line="268"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32" w:lineRule="exact"/>
        <w:rPr>
          <w:sz w:val="20"/>
          <w:szCs w:val="20"/>
          <w:color w:val="auto"/>
        </w:rPr>
      </w:pPr>
    </w:p>
    <w:p>
      <w:pPr>
        <w:ind w:left="200" w:right="340" w:firstLine="443"/>
        <w:spacing w:after="0" w:line="268"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(GMNA), GM Europe (GME), GM International Operations (GMIO) and GM South America (GMSA).</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Automotive</w:t>
      </w:r>
    </w:p>
    <w:p>
      <w:pPr>
        <w:spacing w:after="0" w:line="9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energy diversity and advanced propulsion technologies, including electric vehicles. Our business is diversified across products and geographic markets. We meet the local sales and service needs of our retail and fleet customers with a global network of independent dealers. Of our total 2012 vehicle sales volume, 72.1% was generated outside the U.S.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90"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GM Financial specializes in purchasing retail automobile installment sales contracts originated by GM and non-GM franchised and select independent dealers in connection with the sale of used and new automobiles. GM Financial also offers lease products through GM dealerships in connection with the marketing of used and new automobiles that target lessees with sub-prime and prime credit bureau scores. GM Financial primarily generates revenue and cash flows through the purchase, retention, subsequent securitization and servicing of finance receivables. To fund the acquisition of receivables prior to securitization, GM Financial uses available cash and borrowings under its credit facilities. GM Financial earns finance charge income on finance receivables and pays interest expense on borrowings under its credit facilities. GM Financial periodically transfers receivables to securitization trusts that issue asset-backed securities to investors. The securitization trusts are special purpose entities that are also variable interest entities that meet the requirements to be consolidated in the financial statements.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22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27228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supplement. We have included our website address in this prospectus supplement solely as a textual reference.</w:t>
      </w:r>
    </w:p>
    <w:p>
      <w:pPr>
        <w:spacing w:after="0" w:line="21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UST Share Dispositions</w:t>
      </w:r>
    </w:p>
    <w:p>
      <w:pPr>
        <w:spacing w:after="0" w:line="177" w:lineRule="exact"/>
        <w:rPr>
          <w:sz w:val="20"/>
          <w:szCs w:val="20"/>
          <w:color w:val="auto"/>
        </w:rPr>
      </w:pPr>
    </w:p>
    <w:p>
      <w:pPr>
        <w:ind w:left="200" w:right="100" w:firstLine="443"/>
        <w:spacing w:after="0" w:line="298" w:lineRule="auto"/>
        <w:rPr>
          <w:sz w:val="20"/>
          <w:szCs w:val="20"/>
          <w:color w:val="auto"/>
        </w:rPr>
      </w:pPr>
      <w:r>
        <w:rPr>
          <w:rFonts w:ascii="Arial" w:cs="Arial" w:eastAsia="Arial" w:hAnsi="Arial"/>
          <w:sz w:val="16"/>
          <w:szCs w:val="16"/>
          <w:color w:val="auto"/>
        </w:rPr>
        <w:t>In December 2012, we repurchased 200 million shares of our common stock from the United States Department of the Treasury (UST). At that time, the UST also announced that it intended to sell its remaining shares of our common stock into the market in an orderly fashion and fully exit its GM investment within the next 12-15 months, subject to market conditions. Since then, the UST has been selling shares of our common stock through its pre-defined written trading plans. As of June 5, 2013, the UST owned 219,194,989 shares of our common stock.</w:t>
      </w:r>
    </w:p>
    <w:p>
      <w:pPr>
        <w:spacing w:after="0" w:line="18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On June 3, 2013, Standard &amp; Poor’s (S&amp;P) announced that our common stock would be included in the S&amp;P 500</w:t>
      </w:r>
      <w:r>
        <w:rPr>
          <w:rFonts w:ascii="Arial" w:cs="Arial" w:eastAsia="Arial" w:hAnsi="Arial"/>
          <w:sz w:val="11"/>
          <w:szCs w:val="11"/>
          <w:color w:val="auto"/>
        </w:rPr>
        <w:t>®</w:t>
      </w:r>
      <w:r>
        <w:rPr>
          <w:rFonts w:ascii="Arial" w:cs="Arial" w:eastAsia="Arial" w:hAnsi="Arial"/>
          <w:sz w:val="18"/>
          <w:szCs w:val="18"/>
          <w:color w:val="auto"/>
        </w:rPr>
        <w:t xml:space="preserve"> index after the close of trading on June 6, 2013. Index funds whose portfolios are primarily based on shares of the companies included in the S&amp;P 500</w:t>
      </w:r>
      <w:r>
        <w:rPr>
          <w:rFonts w:ascii="Arial" w:cs="Arial" w:eastAsia="Arial" w:hAnsi="Arial"/>
          <w:sz w:val="11"/>
          <w:szCs w:val="11"/>
          <w:color w:val="auto"/>
        </w:rPr>
        <w:t>®</w:t>
      </w:r>
      <w:r>
        <w:rPr>
          <w:rFonts w:ascii="Arial" w:cs="Arial" w:eastAsia="Arial" w:hAnsi="Arial"/>
          <w:sz w:val="18"/>
          <w:szCs w:val="18"/>
          <w:color w:val="auto"/>
        </w:rPr>
        <w:t xml:space="preserve"> index may be required to purchase our common stock as a result of the inclusion of our common stock in the index. The shares of our common stock being sold in this offering are expected to satisfy a portion of this index-based demand for our common stock.</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23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1238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20"/>
          </w:cols>
          <w:pgMar w:left="240" w:top="459" w:right="43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50,000,000 shares</w:t>
      </w:r>
    </w:p>
    <w:p>
      <w:pPr>
        <w:spacing w:after="0" w:line="211" w:lineRule="exact"/>
        <w:rPr>
          <w:sz w:val="20"/>
          <w:szCs w:val="20"/>
          <w:color w:val="auto"/>
        </w:rPr>
      </w:pPr>
    </w:p>
    <w:p>
      <w:pPr>
        <w:sectPr>
          <w:pgSz w:w="11900" w:h="16838" w:orient="portrait"/>
          <w:cols w:equalWidth="0" w:num="2">
            <w:col w:w="3740" w:space="660"/>
            <w:col w:w="6820"/>
          </w:cols>
          <w:pgMar w:left="240" w:top="459" w:right="439" w:bottom="1440" w:gutter="0" w:footer="0" w:header="0"/>
          <w:type w:val="continuous"/>
        </w:sectPr>
      </w:pPr>
    </w:p>
    <w:p>
      <w:pPr>
        <w:spacing w:after="0" w:line="48" w:lineRule="exact"/>
        <w:rPr>
          <w:sz w:val="20"/>
          <w:szCs w:val="20"/>
          <w:color w:val="auto"/>
        </w:rPr>
      </w:pPr>
    </w:p>
    <w:p>
      <w:pPr>
        <w:ind w:left="280" w:hanging="81"/>
        <w:spacing w:after="0" w:line="268"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1,374,686,158 shares</w:t>
      </w:r>
    </w:p>
    <w:p>
      <w:pPr>
        <w:spacing w:after="0" w:line="475" w:lineRule="exact"/>
        <w:rPr>
          <w:sz w:val="20"/>
          <w:szCs w:val="20"/>
          <w:color w:val="auto"/>
        </w:rPr>
      </w:pPr>
    </w:p>
    <w:p>
      <w:pPr>
        <w:sectPr>
          <w:pgSz w:w="11900" w:h="16838" w:orient="portrait"/>
          <w:cols w:equalWidth="0" w:num="2">
            <w:col w:w="4100" w:space="30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listing</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“GM” and on the Toronto Stock Exchange under the symbol “GMM”.</w:t>
      </w:r>
    </w:p>
    <w:p>
      <w:pPr>
        <w:spacing w:after="0" w:line="17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We will not receive any proceeds from the sale of the shares of our common stock by the selling stockholders in this offering.</w:t>
      </w:r>
    </w:p>
    <w:p>
      <w:pPr>
        <w:spacing w:after="0" w:line="17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Transfer Restrictions</w:t>
      </w:r>
    </w:p>
    <w:p>
      <w:pPr>
        <w:spacing w:after="0" w:line="20" w:lineRule="exact"/>
        <w:rPr>
          <w:sz w:val="20"/>
          <w:szCs w:val="20"/>
          <w:color w:val="auto"/>
        </w:rPr>
      </w:pPr>
      <w:r>
        <w:rPr>
          <w:sz w:val="20"/>
          <w:szCs w:val="20"/>
          <w:color w:val="auto"/>
        </w:rPr>
        <w:br w:type="column"/>
      </w:r>
    </w:p>
    <w:p>
      <w:pPr>
        <w:ind w:right="60"/>
        <w:spacing w:after="0" w:line="286" w:lineRule="auto"/>
        <w:rPr>
          <w:sz w:val="20"/>
          <w:szCs w:val="20"/>
          <w:color w:val="auto"/>
        </w:rPr>
      </w:pPr>
      <w:r>
        <w:rPr>
          <w:rFonts w:ascii="Arial" w:cs="Arial" w:eastAsia="Arial" w:hAnsi="Arial"/>
          <w:sz w:val="16"/>
          <w:szCs w:val="16"/>
          <w:color w:val="auto"/>
        </w:rPr>
        <w:t>Our certificate of incorporation, as amended (Certificate of Incorporation), contains provisions restricting certain transfers of various securities of the Company (including shares of our common stock) if the effect would be to (1) generally increase the direct or indirect stock ownership by any person or group from less than 4.9% of the value of all such securities of the Company to 4.9% or more or (2) generally increase the direct or indirect stock ownership of a person or group having or deemed to have a stock ownership of 4.9% or more of the value of all such securities of the Company. These restrictions are intended to protect against a limitation on our ability to use net operating loss carryovers and other tax benefits. See the section of the accompanying prospectus entitled “Overview of Our Capital Stock—Certain Provisions of Our Certificate of Incorporation and Bylaws—Transfer Restrictions” for a more detailed description of these restrictions.</w:t>
      </w:r>
    </w:p>
    <w:p>
      <w:pPr>
        <w:spacing w:after="0" w:line="168"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160"/>
        <w:spacing w:after="0" w:line="335" w:lineRule="auto"/>
        <w:rPr>
          <w:sz w:val="20"/>
          <w:szCs w:val="20"/>
          <w:color w:val="auto"/>
        </w:rPr>
      </w:pPr>
      <w:r>
        <w:rPr>
          <w:rFonts w:ascii="Arial" w:cs="Arial" w:eastAsia="Arial" w:hAnsi="Arial"/>
          <w:sz w:val="15"/>
          <w:szCs w:val="15"/>
          <w:color w:val="auto"/>
        </w:rPr>
        <w:t>See “Risk Factors” beginning on page S-4 of this prospectus supplement, in the accompanying prospectus, and in our periodic reports filed from time to time with the SEC for a discussion of risks you should carefully consider before deciding to invest in our common stock.</w:t>
      </w:r>
    </w:p>
    <w:p>
      <w:pPr>
        <w:spacing w:after="0" w:line="88"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right="140" w:firstLine="443"/>
        <w:spacing w:after="0" w:line="268" w:lineRule="auto"/>
        <w:rPr>
          <w:sz w:val="20"/>
          <w:szCs w:val="20"/>
          <w:color w:val="auto"/>
        </w:rPr>
      </w:pPr>
      <w:r>
        <w:rPr>
          <w:rFonts w:ascii="Arial" w:cs="Arial" w:eastAsia="Arial" w:hAnsi="Arial"/>
          <w:sz w:val="18"/>
          <w:szCs w:val="18"/>
          <w:color w:val="auto"/>
        </w:rPr>
        <w:t>The number of shares of our common stock that will be outstanding immediately after this offering is based on 1,374,686,158 shares of our common stock outstanding as of May 31, 2013 and excludes:</w:t>
      </w:r>
    </w:p>
    <w:p>
      <w:pPr>
        <w:spacing w:after="0" w:line="51"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approximately 312 million shares of common stock issuable upon the exercise of outstanding warrants;</w:t>
      </w:r>
    </w:p>
    <w:p>
      <w:pPr>
        <w:spacing w:after="0" w:line="9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approximately 152 million shares of common stock issuable upon conversion of outstanding shares of our Series B Mandatory Convertible Junior Preferred Stock (Series B Preferred Stock); and</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approximately 3 million shares of common stock issuable upon settlement of outstanding equity compensation awards.</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Investment in our common stock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2012, as updated by our subsequent filings under the Exchange Act, including Forms 10-Q and 8-K and any amendments thereof, before investing in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the Warrants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The sale or availability for sale of substantial amounts of our common stock could cause the price of our common stock to decline or impair our ability to raise capital.</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large sales could occur, or the conversion of shares of our Series B Preferred Stock or the perception that conversion could occur, could depress the market price of our common stock. Of the approximately 1,374,686,158 shares of our common stock issued and outstanding at May 31, 2013, we estimate that approximately 42.6% were held by the United States Department of the Treasury (UST), Canada GEN Investment Corporation, a corporation organized under the laws of Canada (Canada Holdings), the UAW Retiree Medical Benefits Trust (New VEBA), the Motors Liquidation Company GUC Trust, and our U.S. hourly and salaried pension plans. In December 2012, the UST announced its intention to dispose of its remaining shares of our common stock over the next 12 to 15 months, subject to market conditions. Sales or distributions of our common stock by these holders could cause the market price of our common stock to decline.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at May 31, 2013, there were warrants outstanding to acquire approximately 312 million shares of our common stock at exercise prices ranging from $10.00 per share to $42.31 per share and up to approximately 152 million shares of common stock, subject to anti-dilution, make-whole and other adjustments, will be issuable upon conversion of the shares of Series B Preferred Stock outstanding. Exercises or distributions of warrants or the conversion of the shares of Series B Preferred Stock could cause the market price of our common stock to decline.</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Anti-takeover provisions contained in our organizational documents and Delaware law could delay or prevent a takeover attempt or change in control of our Company, which could adversely affect the price of our common stock.</w:t>
      </w:r>
    </w:p>
    <w:p>
      <w:pPr>
        <w:spacing w:after="0" w:line="5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Certificate of Incorporation, our bylaws, as amended (Bylaws), and Delaware law contain provisions that could have the effect of rendering more difficult or discouraging an acquisition deemed undesirable by our Board of Directors. Our organizational documents include provisions:</w:t>
      </w:r>
    </w:p>
    <w:p>
      <w:pPr>
        <w:spacing w:after="0" w:line="4" w:lineRule="exact"/>
        <w:rPr>
          <w:sz w:val="20"/>
          <w:szCs w:val="20"/>
          <w:color w:val="auto"/>
        </w:rPr>
      </w:pPr>
    </w:p>
    <w:p>
      <w:pPr>
        <w:ind w:left="900" w:right="60" w:hanging="325"/>
        <w:spacing w:after="0" w:line="29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restricting transfers of various securities of the Company (including shares of our common stock, warrants to purchase our common stock and shares of our Series B Preferred Stock) if the effect would be to (1) generally increase the direct or indirect stock ownership by any person or group from less than 4.9% of the value of all such securities of the Company to 4.9% or more or (2) generally increase the direct or indirect stock ownership of a person or group having or deemed to have a stock ownership of 4.9% or more of the value of all such securities of the Company (these restrictions are intended to protect against a limitation on our ability to use net operating loss carryovers and other tax benefits);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authorizing blank check preferred stock, which could be issued with voting, liquidation, dividend and other rights superior to our common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prohibiting our stockholders from taking action by written consent in lieu of a meeting except where such consent is signed by the holders of all shares of stock of the Company then outstanding and entitled to vote;</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 of candidates for election to our Board of Directors; and</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the determination of the number of directors on our Board of Directors and the filling of vacancies or newly created seats on the board to our Board of Directors then in office.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alone or together, could delay hostile takeovers and changes in control of the Company or changes in management.</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addition, we are subject to Section 203 of the General Corporation Law of the State of Delaware (the DGCL), which generally prohibits a corporation from engaging in various business combination transactions with any “interested stockholder” (generally defined as a stockholder who owns 15% or more of a corporation’s voting stock) for a period of three years following the time that such stockholder became an interested stockholder, except under certain circumstances including receipt of prior board approval.</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Any provision of our Certificate of Incorporation or our Bylaws or Delaware law that has the effect of delaying or deterring a hostile takeover or change in control could limit the opportunity for investors to receive a premium for their shares of our common stock and could also affect the price that some investors are willing to pay for our common stock.</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See the sections of the accompanying prospectus entitled “Overview of Our Capital Stock—Certain Provisions of Our Certificate of Incorporation and Bylaws” and “Overview of Our Capital Stock—Certain Anti-Takeover Effects of Delaware Law” for a further discussion of these provisions.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Series B Preferred Stock may adversely affect the market price of our common stock.</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market price of our common stock is likely to be influenced by the Series B Preferred Stock. For example, the market price of our common stock could become more volatile and could be depressed by:</w:t>
      </w:r>
    </w:p>
    <w:p>
      <w:pPr>
        <w:spacing w:after="0" w:line="51" w:lineRule="exact"/>
        <w:rPr>
          <w:sz w:val="20"/>
          <w:szCs w:val="20"/>
          <w:color w:val="auto"/>
        </w:rPr>
      </w:pPr>
    </w:p>
    <w:p>
      <w:pPr>
        <w:ind w:left="900" w:right="7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investors’ anticipation of the potential resale in the market of a substantial number of additional shares of our common stock received upon conversion of the Series B Preferred Stock;</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sales of our common stock by investors who view the Series B Preferred Stock as a more attractive means of equity participation in us than owning shares of our common stock;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hedging or arbitrage trading activity that may develop involving the Series B Preferred Stock and our common stock.</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any time prior to December 1, 2013, holders of Series B Preferred Stock may elect to convert all or part of their shares of Series B Preferred Stock into common stock at the minimum conversion rate of 1.2626 shares of common stock per share of Series B Preferred Stock, subject to anti-dilution adjustments. On December 1, 2013, each share of Series B Preferred Stock will automatically convert, unless previously converted, into a number of shares of common stock. The conversion rate on December 1, 2013 for each share of Series B Preferred Stock will be between 1.2626 and 1.5152 shares of common stock, depending on the applicable market value of our common stock, subject to anti-dilution adjustments. The conversion rate will be adjusted so that holders receive an additional number of shares of common stock in respect of accumulated and unpaid dividends that have not been declared.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UST, a selling stockholder named in this prospectus supplement, is a federal agency, and your ability to bring a claim against it under the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laws or otherwise may be limited.</w:t>
      </w:r>
    </w:p>
    <w:p>
      <w:pPr>
        <w:spacing w:after="0" w:line="8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doctrine of sovereign immunity, as limited by the Federal Tort Claims Act (the FTCA), provides that claims may not be brought against the United States or any agency or instrumentality thereof unless specifically permitted by act of Congress. The FTCA bars claims for fraud or misrepresentation. At least one federal court, in a case involving a federal agency, has held that the United States may assert its sovereign immunity to claims brought under the federal securities laws. In addition, the UST and its officers, agents, and employees are exempt from liability for any violation or alleged violation of the anti-fraud provisions of Section 10(b) of the Exchange Act by virtue of Section 3(c) thereof. The underwriters are not claiming to be agents of the UST in this offering. Accordingly, any attempt to assert such a claim against the officers, agents or employees of the UST for a violation of the Securities Act of 1933, as amended (Securities Act) or the Exchange Act resulting from an alleged material misstatement in or material omission from this prospectus supplement, the accompanying prospectus or the registration statement of which this prospectus supplement and the accompanying prospectus are a part or resulting from any other act or omission in connection with this offering by the UST would likely be barred.</w:t>
      </w:r>
    </w:p>
    <w:p>
      <w:pPr>
        <w:spacing w:after="0" w:line="27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sale of the shares of our common stock by the selling stockholders in this offering.</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declaration of any dividend on our common stock is a matter to be acted upon by our Board of Directors in its sole discretion. Our payment of dividends on our common stock in the future, if any, will be determined by our Board of Directors in its sole discretion out of funds legally available for that purpose and will depend on business conditions, our financial condition, earnings, liquidity and capital requirements, the covenants in our debt instruments and other factors. As of the date of this prospectus supplement, we have no current plans to pay dividends on our common stock.</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 long as any share of our Series A Fixed Rate Cumulative Perpetual Preferred Stock (Series A Preferred Stock) or our Series B Preferred Stock remains outstanding, no dividend or distribution may be declared or paid on our common stock unless all accrued and unpaid dividends have been paid on our Series A Preferred Stock and our Series B Preferred Stock, subject to exceptions, such as dividends on our common stock payable solely in shares of our common stock. In addition, our secured revolving credit facilities contain certain restrictions on our ability to pay dividends, subject to exceptions, such as dividends payable solely in shares of our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This prospectus supplement and the accompanying prospectus may include or incorporate by reference “forward-looking statements” within the meaning of Section 27A of the Securities Act and Section 21E of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supplement and the accompanying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supplement, the accompanying prospectus and the documents incorporated by reference under the captions “Risk Factors” and “Forward-Looking Statements” and elsewhere in those documents.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This prospectus supplement relates to the resale of shares of our common stock by the selling stockholders. Except as set forth below, the following table sets forth as of May 31, 2013 information regarding the beneficial ownership of shares of our common stock by each selling stockholder.</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number of shares beneficially owned by each selling stockholder is determined under rules issued by the SEC. Under these rules, beneficial ownership includes any shares as to which the individual or entity has sole or shared voting power or investment power. In addition, under these rules, an individual or entity beneficially owns any shares issuable upon the exercise of any options or warrants held by such person or entity that were exercisable on May 31, 2013 or within 60 days after May 31, 2013. In computing the percentage ownership of each individual and entity, the number of outstanding shares of our common stock includes any shares subject to options or warrants held by that individual or entity that were exercisable on or within 60 days after May 31, 2013. These shares are not considered outstanding, however, for the purpose of computing the percentage ownership of any other selling stockholder.</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Percentage</w:t>
            </w: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Shares</w:t>
            </w: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1"/>
              </w:rPr>
              <w:t>Shares</w:t>
            </w: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Owned</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Shares</w:t>
            </w: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Selling Stockholder</w:t>
            </w:r>
          </w:p>
        </w:tc>
        <w:tc>
          <w:tcPr>
            <w:tcW w:w="2900" w:type="dxa"/>
            <w:vAlign w:val="bottom"/>
            <w:vMerge w:val="restart"/>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Prior to</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Being</w:t>
            </w: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53"/>
        </w:trPr>
        <w:tc>
          <w:tcPr>
            <w:tcW w:w="1760" w:type="dxa"/>
            <w:vAlign w:val="bottom"/>
            <w:tcBorders>
              <w:bottom w:val="single" w:sz="8" w:color="auto"/>
            </w:tcBorders>
            <w:vMerge w:val="continue"/>
          </w:tcPr>
          <w:p>
            <w:pPr>
              <w:spacing w:after="0"/>
              <w:rPr>
                <w:sz w:val="12"/>
                <w:szCs w:val="12"/>
                <w:color w:val="auto"/>
              </w:rPr>
            </w:pPr>
          </w:p>
        </w:tc>
        <w:tc>
          <w:tcPr>
            <w:tcW w:w="2900" w:type="dxa"/>
            <w:vAlign w:val="bottom"/>
            <w:vMerge w:val="continue"/>
          </w:tcPr>
          <w:p>
            <w:pPr>
              <w:spacing w:after="0"/>
              <w:rPr>
                <w:sz w:val="12"/>
                <w:szCs w:val="12"/>
                <w:color w:val="auto"/>
              </w:rPr>
            </w:pPr>
          </w:p>
        </w:tc>
        <w:tc>
          <w:tcPr>
            <w:tcW w:w="152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9"/>
              </w:rPr>
              <w:t>to Offering</w:t>
            </w:r>
          </w:p>
        </w:tc>
        <w:tc>
          <w:tcPr>
            <w:tcW w:w="122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9"/>
              </w:rPr>
              <w:t>Offering(1)</w:t>
            </w:r>
          </w:p>
        </w:tc>
        <w:tc>
          <w:tcPr>
            <w:tcW w:w="13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8"/>
              </w:rPr>
              <w:t>Offered</w:t>
            </w:r>
          </w:p>
        </w:tc>
        <w:tc>
          <w:tcPr>
            <w:tcW w:w="154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91"/>
              </w:rPr>
              <w:t>Offering</w:t>
            </w:r>
          </w:p>
        </w:tc>
        <w:tc>
          <w:tcPr>
            <w:tcW w:w="11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9"/>
              </w:rPr>
              <w:t>Offering(1)</w:t>
            </w: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The United States Department of the Treasury(2)</w:t>
            </w:r>
          </w:p>
        </w:tc>
        <w:tc>
          <w:tcPr>
            <w:tcW w:w="9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2"/>
            <w:vMerge w:val="continue"/>
            <w:shd w:val="clear" w:color="auto" w:fill="CCEEFF"/>
          </w:tcPr>
          <w:p>
            <w:pPr>
              <w:spacing w:after="0"/>
              <w:rPr>
                <w:sz w:val="17"/>
                <w:szCs w:val="17"/>
                <w:color w:val="auto"/>
              </w:rPr>
            </w:pPr>
          </w:p>
        </w:tc>
        <w:tc>
          <w:tcPr>
            <w:tcW w:w="92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70"/>
              </w:rPr>
              <w:t>219,194,989(3)</w:t>
            </w:r>
          </w:p>
        </w:tc>
        <w:tc>
          <w:tcPr>
            <w:tcW w:w="60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15.9%</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30,000,000</w:t>
            </w:r>
          </w:p>
        </w:tc>
        <w:tc>
          <w:tcPr>
            <w:tcW w:w="46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70"/>
              </w:rPr>
              <w:t>189,194,989(3)</w:t>
            </w:r>
          </w:p>
        </w:tc>
        <w:tc>
          <w:tcPr>
            <w:tcW w:w="60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ind w:left="440"/>
              <w:spacing w:after="0" w:line="203"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8"/>
        </w:trPr>
        <w:tc>
          <w:tcPr>
            <w:tcW w:w="4660" w:type="dxa"/>
            <w:vAlign w:val="bottom"/>
            <w:gridSpan w:val="2"/>
          </w:tcPr>
          <w:p>
            <w:pPr>
              <w:spacing w:after="0"/>
              <w:rPr>
                <w:sz w:val="20"/>
                <w:szCs w:val="20"/>
                <w:color w:val="auto"/>
              </w:rPr>
            </w:pPr>
            <w:r>
              <w:rPr>
                <w:rFonts w:ascii="Arial" w:cs="Arial" w:eastAsia="Arial" w:hAnsi="Arial"/>
                <w:sz w:val="18"/>
                <w:szCs w:val="18"/>
                <w:color w:val="auto"/>
              </w:rPr>
              <w:t>UAW Retiree Medical Benefits Trust, as advised by its</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220"/>
              <w:spacing w:after="0"/>
              <w:rPr>
                <w:sz w:val="20"/>
                <w:szCs w:val="20"/>
                <w:color w:val="auto"/>
              </w:rPr>
            </w:pPr>
            <w:r>
              <w:rPr>
                <w:rFonts w:ascii="Arial" w:cs="Arial" w:eastAsia="Arial" w:hAnsi="Arial"/>
                <w:sz w:val="18"/>
                <w:szCs w:val="18"/>
                <w:color w:val="auto"/>
              </w:rPr>
              <w:t>fiduciary and investment advisor Brock Fiduciary</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ind w:left="220"/>
              <w:spacing w:after="0"/>
              <w:rPr>
                <w:sz w:val="20"/>
                <w:szCs w:val="20"/>
                <w:color w:val="auto"/>
              </w:rPr>
            </w:pPr>
            <w:r>
              <w:rPr>
                <w:rFonts w:ascii="Arial" w:cs="Arial" w:eastAsia="Arial" w:hAnsi="Arial"/>
                <w:sz w:val="18"/>
                <w:szCs w:val="18"/>
                <w:color w:val="auto"/>
              </w:rPr>
              <w:t>Services LLC(4)</w:t>
            </w: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205,604,545(5)</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14.5%</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20,000,000</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185,604,545(5)</w:t>
            </w: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w w:val="95"/>
              </w:rPr>
              <w:t>13.1%(5)</w:t>
            </w:r>
          </w:p>
        </w:tc>
        <w:tc>
          <w:tcPr>
            <w:tcW w:w="0" w:type="dxa"/>
            <w:vAlign w:val="bottom"/>
          </w:tcPr>
          <w:p>
            <w:pPr>
              <w:spacing w:after="0"/>
              <w:rPr>
                <w:sz w:val="1"/>
                <w:szCs w:val="1"/>
                <w:color w:val="auto"/>
              </w:rPr>
            </w:pPr>
          </w:p>
        </w:tc>
      </w:tr>
      <w:tr>
        <w:trPr>
          <w:trHeight w:val="28"/>
        </w:trPr>
        <w:tc>
          <w:tcPr>
            <w:tcW w:w="17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424,799,534(5)</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29.9%</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50,000,000</w:t>
            </w:r>
          </w:p>
        </w:tc>
        <w:tc>
          <w:tcPr>
            <w:tcW w:w="1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374,799,534(5)</w:t>
            </w: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26.4%(5)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40" w:hanging="452"/>
        <w:spacing w:after="0" w:line="283"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percentages reflect the maximum potential percentage ownership of our common stock for each beneficial owner. As such, the percentage ownership of the UST is calculated based on a total of 1,374,686,158 shares outstanding as of May 31, 2013. The percentage ownership of Brock Fiduciary Services LLC (in its capacity as independent fiduciary and investment advisor to the New VEBA, as discussed in footnote (4) below) and the total of all selling stockholders are calculated based on a potential total of 1,420,140,703 shares outstanding, which includes the 45,454,545 shares of common stock that would be issued to the New VEBA if it exercised its warrants to acquire our common stock, as described in footnote (5) below.</w:t>
      </w:r>
    </w:p>
    <w:p>
      <w:pPr>
        <w:spacing w:after="0" w:line="2" w:lineRule="exact"/>
        <w:rPr>
          <w:rFonts w:ascii="Arial" w:cs="Arial" w:eastAsia="Arial" w:hAnsi="Arial"/>
          <w:sz w:val="16"/>
          <w:szCs w:val="16"/>
          <w:color w:val="auto"/>
        </w:rPr>
      </w:pPr>
    </w:p>
    <w:p>
      <w:pPr>
        <w:ind w:left="460" w:hanging="452"/>
        <w:spacing w:after="0" w:line="28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description of the UST was provided by the UST. The UST is the executive agency of the U.S. government responsible for promoting economic prosperity and ensuring the financial security of the United States. The UST is responsible for a wide range of activities, such as advising the President of the United States on economic and financial issues, encouraging sustainable economic growth and fostering improved governance in financial institutions. The UST operates and maintains systems that are critical to the nation’s financial infrastructure, such as the production of coin and currency, the disbursement of payments to the American public, revenue collection and the borrowing of funds necessary to run the federal government. The UST works with other federal agencies, foreign governments and international financial institutions to encourage global economic growth, raise standards of living and, to the extent possible, predict and prevent economic and financial crises. The UST also performs a critical and far-reaching role in enhancing national security by implementing economic sanctions against foreign threats to the United States, identifying and targeting the financial support networks of national security threats and improving the safeguards of our financial systems. In addition, under the Emergency Economic Stabilization Act of 2008, as amended, the UST was given certain authority and facilities to restore the liquidity and stability of the financial system. See also the section of this prospectus supplement entitled “Risk Factors—The UST, a selling stockholder named in this prospectus supplement, is a federal agency, and your ability to bring 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claim against it under the U.S. securities laws or otherwise may be limited”. The address of the UST is 1500 Pennsylvania Avenue, NW, Washington, D.C.</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20220.</w:t>
      </w:r>
    </w:p>
    <w:p>
      <w:pPr>
        <w:spacing w:after="0" w:line="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the number of shares of our common stock beneficially owned by the UST as of June 5, 2013.</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Brock Fiduciary is an independent fiduciary and investment adviser to the New VEBA and, pursuant to an Independent Fiduciary Agreement, dated August 8, 2011, between Brock Fiduciary and the New VEBA, Brock Fiduciary has been given the power to vote and dispose of any of our securities held by the New VEBA, including any shares of our common stock. The address of Brock Fiduciary is 622 Third Avenue, Floor 12, New York, New York 10017.</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45,454,545 shares of our common stock issuable upon the exercise of the New VEBA’s warrants to acquire our common stock. The number of shares of our common stock underlying such warrants and the per share exercise price are subject to adjustment as a result of certain events, including stock splits, reverse stock splits and stock dividends.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AGREEMENT WITH THE UST, CANADA HOLDINGS AND THE NEW VEBA</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Three of our stockholders—the UST, Canada Holdings, and the New VEBA—have entered into a Stockholders Agreement with us (the Initial Shareholder Stockholders Agreement) under which at least two-thirds of the directors are required to be determined by our Board of Directors to be independent within the meaning of New York Stock Exchange rules.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long as the New VEBA holds at least 50 percent of the shares of our common stock it held on July 10, 2009, it has the right under the Initial Shareholder Stockholders Agreement to designate one nominee to our Board of Directors. The New VEBA’s designee is subject to the consent of the International Union, United Automobile, Aerospace and Agricultural Implement Workers of America (the UAW) and, if its designee is not independent of General Motors, to the consent of the UST.</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Initial Shareholder Stockholders Agreement provides that until the respective termination of their obligations under the Initial Shareholder Stockholders Agreement, the UST and Canada Holdings (Government Holders) will not vote their shares of our common stock at any meeting (whether annual or special) or by written consent, except that each Government Holder may vote its shares:</w:t>
      </w:r>
    </w:p>
    <w:p>
      <w:pPr>
        <w:spacing w:after="0" w:line="5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it desires in a vote with respect to any removal of directors;</w:t>
      </w:r>
    </w:p>
    <w:p>
      <w:pPr>
        <w:spacing w:after="0" w:line="90" w:lineRule="exact"/>
        <w:rPr>
          <w:rFonts w:ascii="Arial" w:cs="Arial" w:eastAsia="Arial" w:hAnsi="Arial"/>
          <w:sz w:val="18"/>
          <w:szCs w:val="18"/>
          <w:color w:val="auto"/>
        </w:rPr>
      </w:pPr>
    </w:p>
    <w:p>
      <w:pPr>
        <w:ind w:left="900" w:right="80" w:hanging="325"/>
        <w:spacing w:after="0" w:line="28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 vote with respect to any election of directors as it desires only with respect to any candidates that are nominated by the Board of Directors, nominated by third parties, or nominated by either Government Holder pursuant to a Joint Slate Procedure, as defined in the Initial Shareholder Stockholders Agreement (provided that each Government Holder will vote “for” the nominees jointly named pursuant to a Joint Slate Procedure and each Government Holder will vote “for” any nominee designated by the New VEBA as described above that is standing for election); provided, further, that Canada Holdings has irrevocably waived all of its rights under the Joint Slate Procedure, including the right to nominate directors under the Joint Slate Procedure and to receive notices from the UST of its intent to nominate directors, and indicated that, by foregoing its right to participate in the Joint Slate Procedure, Canada Holdings is under no obligation to vote “for” any slate of nominees for directors nominated by the UST pursuant to the Joint Slate Procedure;</w:t>
      </w:r>
    </w:p>
    <w:p>
      <w:pPr>
        <w:spacing w:after="0" w:line="37" w:lineRule="exact"/>
        <w:rPr>
          <w:rFonts w:ascii="Arial" w:cs="Arial" w:eastAsia="Arial" w:hAnsi="Arial"/>
          <w:sz w:val="16"/>
          <w:szCs w:val="16"/>
          <w:color w:val="auto"/>
        </w:rPr>
      </w:pPr>
    </w:p>
    <w:p>
      <w:pPr>
        <w:ind w:left="900" w:right="2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it desires in a vote with respect to any acquisition or purchase of our capital stock or of all or substantially all of our assets or any merger, consolidation, business combination, recapitalization, reorganization or other extraordinary business transaction involving or otherwise relating to the Company, in each case, which would require a stockholder vote under Delaware law or our Certificate of Incorporation;</w:t>
      </w:r>
    </w:p>
    <w:p>
      <w:pPr>
        <w:spacing w:after="0" w:line="25"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it desires in a vote with respect to any amendment or modification to our Certificate of Incorporation or our Bylaws that would affect any matters relating to the three bullet points above; and</w:t>
      </w:r>
    </w:p>
    <w:p>
      <w:pPr>
        <w:spacing w:after="0" w:line="50" w:lineRule="exact"/>
        <w:rPr>
          <w:rFonts w:ascii="Arial" w:cs="Arial" w:eastAsia="Arial" w:hAnsi="Arial"/>
          <w:sz w:val="18"/>
          <w:szCs w:val="18"/>
          <w:color w:val="auto"/>
        </w:rPr>
      </w:pPr>
    </w:p>
    <w:p>
      <w:pPr>
        <w:ind w:left="900" w:right="20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each other matter presented to our stockholders, solely to the extent that the vote of the Government Holders is required for the stockholders to take action at a meeting at which a quorum is present and in that instance, in the same proportionate manner as the holders of common stock (other than the UST, Canada Holdings, the New VEBA, and its affiliates and the directors and executive officers of the Company) that were present and entitled to vote on such matter voted or consented in connection with each such matter.</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Each of the UST, Canada Holdings and the New VEBA will be subject to the terms of the Initial Shareholder Stockholders Agreement until it beneficially owns less than two percent of the shares of our common stock then issued and outstanding.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ELIGIBLE FOR FUTURE SALE</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securities being offered pursuant to this prospectus supplement, certain of our other stockholders may sell additional securities from time to time. See the section of this prospectus supplement entitled “Risk Factors—The sale or availability for sale of substantial amounts of our common stock could cause the price of our common stock to decline or impair our ability to raise 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general, under Rule 144 as in effect on the date of this prospectus supplement, a person who is not one of our “affiliates” (as that term is defined in Rule</w:t>
      </w:r>
    </w:p>
    <w:p>
      <w:pPr>
        <w:spacing w:after="0" w:line="50" w:lineRule="exact"/>
        <w:rPr>
          <w:sz w:val="20"/>
          <w:szCs w:val="20"/>
          <w:color w:val="auto"/>
        </w:rPr>
      </w:pPr>
    </w:p>
    <w:p>
      <w:pPr>
        <w:ind w:right="60" w:firstLine="8"/>
        <w:spacing w:after="0" w:line="331" w:lineRule="auto"/>
        <w:tabs>
          <w:tab w:leader="none" w:pos="366" w:val="left"/>
        </w:tabs>
        <w:numPr>
          <w:ilvl w:val="0"/>
          <w:numId w:val="9"/>
        </w:numPr>
        <w:rPr>
          <w:rFonts w:ascii="Arial" w:cs="Arial" w:eastAsia="Arial" w:hAnsi="Arial"/>
          <w:sz w:val="15"/>
          <w:szCs w:val="15"/>
          <w:color w:val="auto"/>
        </w:rPr>
      </w:pPr>
      <w:r>
        <w:rPr>
          <w:rFonts w:ascii="Arial" w:cs="Arial" w:eastAsia="Arial" w:hAnsi="Arial"/>
          <w:sz w:val="15"/>
          <w:szCs w:val="15"/>
          <w:color w:val="auto"/>
        </w:rPr>
        <w:t>at any time during the three months preceding a sale, and who has owned the securities proposed to be sold for at least six months, would be entitled to sell an unlimited number of such securities provided current public information about us is available. Such non-affiliate, after owning the securities proposed to be sold for at least one year, would be entitled to sell an unlimited number of such securities regardless of whether current public information about us is available.</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general, under Rule 144 as in effect on the date of this prospectus supplement, our affiliates who have owned the securities proposed to be sold for at least six months are entitled to sell within any three-month period a number of securities that does not exceed the greater of:</w:t>
      </w:r>
    </w:p>
    <w:p>
      <w:pPr>
        <w:spacing w:after="0" w:line="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 of the number of shares or other units of the class then outstanding; and</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weekly trading volume in such securities on the New York Stock Exchange during the four calendar weeks preceding the filing of a notice on Form 144 with respect to that sale.</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However, sales under Rule 144 by our affiliates are also subject to certain manner of sale provisions and notice requirements and to the availability of current public information about us.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supplement, the underwriters named below, for whom Citigroup Global Markets Inc., J.P. Morgan Securities LLC and Morgan Stanley &amp; Co. LLC are acting as representatives, have severally agreed to purchase, and the selling stockholders have agreed to sell to them, severally, the number of shares indicated below:</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98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92"/>
              </w:rPr>
              <w:t>Number of Shares</w:t>
            </w:r>
          </w:p>
        </w:tc>
      </w:tr>
      <w:tr>
        <w:trPr>
          <w:trHeight w:val="203"/>
        </w:trPr>
        <w:tc>
          <w:tcPr>
            <w:tcW w:w="9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040" w:type="dxa"/>
            <w:vAlign w:val="bottom"/>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1040" w:type="dxa"/>
            <w:vAlign w:val="bottom"/>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8"/>
                <w:szCs w:val="18"/>
                <w:color w:val="auto"/>
              </w:rPr>
            </w:pPr>
          </w:p>
        </w:tc>
      </w:tr>
      <w:tr>
        <w:trPr>
          <w:trHeight w:val="208"/>
        </w:trPr>
        <w:tc>
          <w:tcPr>
            <w:tcW w:w="936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80" w:type="dxa"/>
            <w:vAlign w:val="bottom"/>
          </w:tcPr>
          <w:p>
            <w:pPr>
              <w:spacing w:after="0"/>
              <w:rPr>
                <w:sz w:val="20"/>
                <w:szCs w:val="20"/>
                <w:color w:val="auto"/>
              </w:rPr>
            </w:pPr>
          </w:p>
        </w:tc>
        <w:tc>
          <w:tcPr>
            <w:tcW w:w="8980" w:type="dxa"/>
            <w:vAlign w:val="bottom"/>
          </w:tcPr>
          <w:p>
            <w:pPr>
              <w:ind w:left="600"/>
              <w:spacing w:after="0"/>
              <w:rPr>
                <w:sz w:val="20"/>
                <w:szCs w:val="20"/>
                <w:color w:val="auto"/>
              </w:rPr>
            </w:pPr>
            <w:r>
              <w:rPr>
                <w:rFonts w:ascii="Arial" w:cs="Arial" w:eastAsia="Arial" w:hAnsi="Arial"/>
                <w:sz w:val="18"/>
                <w:szCs w:val="18"/>
                <w:color w:val="auto"/>
              </w:rPr>
              <w:t>Incorporated</w:t>
            </w:r>
          </w:p>
        </w:tc>
        <w:tc>
          <w:tcPr>
            <w:tcW w:w="1040" w:type="dxa"/>
            <w:vAlign w:val="bottom"/>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20"/>
                <w:szCs w:val="20"/>
                <w:color w:val="auto"/>
              </w:rPr>
            </w:pPr>
          </w:p>
        </w:tc>
      </w:tr>
      <w:tr>
        <w:trPr>
          <w:trHeight w:val="218"/>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Academy Securities,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C.L. King &amp; Associates, Inc.</w:t>
            </w:r>
          </w:p>
        </w:tc>
        <w:tc>
          <w:tcPr>
            <w:tcW w:w="1040" w:type="dxa"/>
            <w:vAlign w:val="bottom"/>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Lebenthal &amp; Co., LLC</w:t>
            </w:r>
          </w:p>
        </w:tc>
        <w:tc>
          <w:tcPr>
            <w:tcW w:w="1040" w:type="dxa"/>
            <w:vAlign w:val="bottom"/>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Samuel A. Ramirez &amp; Company, Inc.</w:t>
            </w:r>
          </w:p>
        </w:tc>
        <w:tc>
          <w:tcPr>
            <w:tcW w:w="1040" w:type="dxa"/>
            <w:vAlign w:val="bottom"/>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shd w:val="clear" w:color="auto" w:fill="CCEEFF"/>
          </w:tcPr>
          <w:p>
            <w:pPr>
              <w:spacing w:after="0"/>
              <w:rPr>
                <w:sz w:val="18"/>
                <w:szCs w:val="18"/>
                <w:color w:val="auto"/>
              </w:rPr>
            </w:pP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Valdés &amp; Moreno, Inc.</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49,999</w:t>
            </w:r>
          </w:p>
        </w:tc>
        <w:tc>
          <w:tcPr>
            <w:tcW w:w="100" w:type="dxa"/>
            <w:vAlign w:val="bottom"/>
          </w:tcPr>
          <w:p>
            <w:pPr>
              <w:spacing w:after="0"/>
              <w:rPr>
                <w:sz w:val="19"/>
                <w:szCs w:val="19"/>
                <w:color w:val="auto"/>
              </w:rPr>
            </w:pPr>
          </w:p>
        </w:tc>
      </w:tr>
      <w:tr>
        <w:trPr>
          <w:trHeight w:val="216"/>
        </w:trPr>
        <w:tc>
          <w:tcPr>
            <w:tcW w:w="380" w:type="dxa"/>
            <w:vAlign w:val="bottom"/>
            <w:shd w:val="clear" w:color="auto" w:fill="CCEEFF"/>
          </w:tcPr>
          <w:p>
            <w:pPr>
              <w:spacing w:after="0"/>
              <w:rPr>
                <w:sz w:val="18"/>
                <w:szCs w:val="18"/>
                <w:color w:val="auto"/>
              </w:rPr>
            </w:pPr>
          </w:p>
        </w:tc>
        <w:tc>
          <w:tcPr>
            <w:tcW w:w="8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underwriters are offering the shares of common stock subject to their acceptance of the shares from the selling stockholders, subject to prior sale and subject to their right to reject any order in whole or in part. The underwriting agreement provides that the obligations of the several underwriters to pay for and accept delivery of the shares of common stock offered by this prospectus supplement and accompanying prospectus are subject to the approval of certain legal matters by their counsel and to certain other conditions. The underwriters are obligated to take and pay for all of the shares of common stock offered by this prospectus supplement and accompanying prospectus if any such shares are taken. The underwriting agreement also provides that if one or more underwriters default, the purchase commitments of the non-defaulting underwriters may be increased or the offering may be terminated.</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underwriters initially propose to offer part of the shares of common stock directly to the public at the offering price listed on the cover page of this prospectus supplement. After the initial offering of the shares of common stock, the offering price and other selling terms may from time to time be varied by the representatives.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to be paid by the selling stockholders, and proceeds before expenses to the selling stockholders.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4"/>
                <w:szCs w:val="14"/>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7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34.41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1,720,500,000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the selling stockholders</w:t>
            </w:r>
          </w:p>
        </w:tc>
        <w:tc>
          <w:tcPr>
            <w:tcW w:w="17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176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34.39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1,719,500,000</w:t>
            </w:r>
          </w:p>
        </w:tc>
        <w:tc>
          <w:tcPr>
            <w:tcW w:w="100" w:type="dxa"/>
            <w:vAlign w:val="bottom"/>
            <w:shd w:val="clear" w:color="auto" w:fill="CCEEFF"/>
          </w:tcPr>
          <w:p>
            <w:pPr>
              <w:spacing w:after="0"/>
              <w:rPr>
                <w:sz w:val="18"/>
                <w:szCs w:val="18"/>
                <w:color w:val="auto"/>
              </w:rPr>
            </w:pPr>
          </w:p>
        </w:tc>
      </w:tr>
      <w:tr>
        <w:trPr>
          <w:trHeight w:val="363"/>
        </w:trPr>
        <w:tc>
          <w:tcPr>
            <w:tcW w:w="7480" w:type="dxa"/>
            <w:vAlign w:val="bottom"/>
          </w:tcPr>
          <w:p>
            <w:pPr>
              <w:ind w:left="5540"/>
              <w:spacing w:after="0"/>
              <w:rPr>
                <w:sz w:val="20"/>
                <w:szCs w:val="20"/>
                <w:color w:val="auto"/>
              </w:rPr>
            </w:pPr>
            <w:r>
              <w:rPr>
                <w:rFonts w:ascii="Arial" w:cs="Arial" w:eastAsia="Arial" w:hAnsi="Arial"/>
                <w:sz w:val="18"/>
                <w:szCs w:val="18"/>
                <w:color w:val="auto"/>
              </w:rPr>
              <w:t>S-12</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estimate that the total offering expenses payable by us for this offering will be approximately $1.1 million. In addition, we have agreed to reimburse the underwriters for up to $100,000 of expenses incurred in connection with the clearance of this offering with the Financial Industry Regulatory Authority.</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trading symbol “GM” and on the Toronto Stock Exchange under the symbol “GMM.”</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agreed that, without the prior written consent of the representatives, on behalf of the underwriters, we will not, during the period ending 30 days after the date of this prospectus supplement (the restricted period):</w:t>
      </w:r>
    </w:p>
    <w:p>
      <w:pPr>
        <w:spacing w:after="0" w:line="51" w:lineRule="exact"/>
        <w:rPr>
          <w:sz w:val="20"/>
          <w:szCs w:val="20"/>
          <w:color w:val="auto"/>
        </w:rPr>
      </w:pPr>
    </w:p>
    <w:p>
      <w:pPr>
        <w:ind w:left="900" w:right="4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or</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shares of common stock or such other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whether any such transaction described above is to be settled by delivery of shares of common stock or such other securities, in cash or otherwise.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we have agreed that, without the prior written consent of the representatives, on behalf of the underwriters, we will not, during the restricted period, file with the SEC a registration statement under the Securities Act relating to any shares of common stock or any securities convertible into or exercisable or exchangeable for shares of common stock.</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Each of the selling stockholders has agreed that, without the prior written consent of the representatives, on behalf of the underwriters, it will not, during the restricted period:</w:t>
      </w:r>
    </w:p>
    <w:p>
      <w:pPr>
        <w:spacing w:after="0" w:line="51" w:lineRule="exact"/>
        <w:rPr>
          <w:sz w:val="20"/>
          <w:szCs w:val="20"/>
          <w:color w:val="auto"/>
        </w:rPr>
      </w:pPr>
    </w:p>
    <w:p>
      <w:pPr>
        <w:ind w:left="900" w:right="4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(including without limitation, shares of common stock or any securities convertible into or exercisable or exchangeable for common stock which may be deemed to be beneficially owned by the selling stockholder in accordance with the rules and regulations of the SEC and securities which may be issued upon exercise of a stock option or warrant); or</w:t>
      </w:r>
    </w:p>
    <w:p>
      <w:pPr>
        <w:spacing w:after="0" w:line="3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shares of common stock or such other securities convertible into or exercisable or exchangeable for shares of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whether any such transaction described above is to be settled by delivery of shares of common stock or such other securities, in cash or otherwise.</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the selling stockholders have agreed that, without the prior written consent of the representatives, on behalf of the underwriters, the selling stockholders will not, during the period ending 30 days after the date of this prospectus supplement, make any demand for or exercise any right with respect to the registration of any shares of common stock or any security convertible into or exercisable or exchangeable for shares of common stock.</w:t>
      </w:r>
    </w:p>
    <w:p>
      <w:pPr>
        <w:spacing w:after="0" w:line="10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restrictions on us and the selling stockholders described above are subject to certain limited exceptions and do not apply to the sale of shares of common stock to the underwriters.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us, the restrictions above also do not apply to:</w:t>
      </w:r>
    </w:p>
    <w:p>
      <w:pPr>
        <w:spacing w:after="0" w:line="90" w:lineRule="exact"/>
        <w:rPr>
          <w:sz w:val="20"/>
          <w:szCs w:val="20"/>
          <w:color w:val="auto"/>
        </w:rPr>
      </w:pPr>
    </w:p>
    <w:p>
      <w:pPr>
        <w:ind w:left="900" w:right="14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issuance and/or sale of shares of common stock or any securities convertible into or exercisable or exchangeable for shares of common stock or the grant of equity-based awards (including options, restricted stock awards, restricted stock units and/or salary stock units) pursuant to the terms of any agreement or pursuant to any employee stock option plan, employee stock incentive plan or employee stock ownership plan existing as of the date of this prospectus supplement or described in the documents incorporated by reference herein;</w:t>
      </w:r>
    </w:p>
    <w:p>
      <w:pPr>
        <w:spacing w:after="0" w:line="31"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shares of common stock upon the conversion, exercise, exchange or settlement of any securities that are convertible into, exercisable or exchangeable for, or which may be settled for shares of common stock (including Series B Preferred Stock, warrants, options, restricted stock awards, restricted stock units and salary stock units) and that are outstanding as of the date of this prospectus supplement or are described herein or in the documents incorporated by reference herein;</w:t>
      </w:r>
    </w:p>
    <w:p>
      <w:pPr>
        <w:spacing w:after="0" w:line="62" w:lineRule="exact"/>
        <w:rPr>
          <w:rFonts w:ascii="Arial" w:cs="Arial" w:eastAsia="Arial" w:hAnsi="Arial"/>
          <w:sz w:val="18"/>
          <w:szCs w:val="18"/>
          <w:color w:val="auto"/>
        </w:rPr>
      </w:pPr>
    </w:p>
    <w:p>
      <w:pPr>
        <w:ind w:left="900" w:right="50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issuance of shares of common stock or any securities convertible into or exercisable or exchangeable for common stock in connection with transfers to dividend reinvestment plans or to employee benefit plans in effect as of the date of this prospectus supplement;</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shares of common stock to existing holders of such stock for purposes of effecting a stock dividend or stock split;</w:t>
      </w:r>
    </w:p>
    <w:p>
      <w:pPr>
        <w:spacing w:after="0" w:line="90" w:lineRule="exact"/>
        <w:rPr>
          <w:rFonts w:ascii="Arial" w:cs="Arial" w:eastAsia="Arial" w:hAnsi="Arial"/>
          <w:sz w:val="18"/>
          <w:szCs w:val="18"/>
          <w:color w:val="auto"/>
        </w:rPr>
      </w:pPr>
    </w:p>
    <w:p>
      <w:pPr>
        <w:ind w:left="900" w:right="80" w:hanging="325"/>
        <w:spacing w:after="0" w:line="29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issuance of shares of common stock or any securities convertible into or exercisable or exchangeable for common stock as consideration or partial consideration for any bona fide merger, acquisition, business combination or other strategic or commercial transaction or relationship; provided that the shares of common stock, options, warrants or other convertible or exchangeable securities relating to common stock so issued shall not have a fair market value (as reasonably determined by us after consultation with the representatives) in an amount greater than $5.0 billion and provided that the recipient of any securities so issued shall execute a lock-up agreement containing substantially the same lock-up restrictions described above for the balance of the restricted period; or</w:t>
      </w:r>
    </w:p>
    <w:p>
      <w:pPr>
        <w:spacing w:after="0" w:line="39"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filing of a registration statement on Form S-4 and/or Form S-8 (or any successor form) in connection with any of the foregoing exceptions.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selling stockholders, the restrictions described above also do not apply to:</w:t>
      </w:r>
    </w:p>
    <w:p>
      <w:pPr>
        <w:spacing w:after="0" w:line="90" w:lineRule="exact"/>
        <w:rPr>
          <w:sz w:val="20"/>
          <w:szCs w:val="20"/>
          <w:color w:val="auto"/>
        </w:rPr>
      </w:pPr>
    </w:p>
    <w:p>
      <w:pPr>
        <w:ind w:left="900" w:right="6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transfers or other dispositions of shares of common stock or any securities convertible into or exercisable or exchangeable for shares of common stock pursuant to sales plans pursuant to Rule 10b5-1;</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transfers of common stock or any securities convertible into or exercisable or exchangeable for common stock as a bona fide gift or gifts;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distributions of common stock to members, limited partners, stockholders or creditors; or</w:t>
      </w:r>
    </w:p>
    <w:p>
      <w:pPr>
        <w:spacing w:after="0" w:line="9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transfers of common stock or any securities convertible into or exercisable or exchangeable for common stock to (i) us or (ii) a corporation, partnership, limited liability company (or, in the case of the UST, a government organization or entity) or other entity that is a controlled or managed affiliate of the applicable selling stockholder or controls or manages the applicable selling stockholder or is under common control with the applicable selling stockholder,</w:t>
      </w:r>
    </w:p>
    <w:p>
      <w:pPr>
        <w:spacing w:after="0" w:line="14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provided that, in the case of any transfer or distribution pursuant to the second, third and fourth bullets above, each transferee shall sign and deliver a lock-up letter containing substantially the same lock-up restrictions described above for the balance of the restricted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UST has established pre-defined written trading plans and may continue to sell, transfer or otherwise dispose of shares of our common stock pursuant to such plans during the restricted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representatives, in their sole discretion, may release the common stock and other securities in whole or in part at any time with or without notice.</w:t>
      </w:r>
    </w:p>
    <w:p>
      <w:pPr>
        <w:spacing w:after="0" w:line="19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if they are commenced.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4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underwriters and their respective affiliates have, from time to time, performed, and may in the future perform, various financial advisory, investment banking, commercial banking and other services for us for which they received or will receive compensatory fees and expense reimbursements. In addition, certain underwriters or their respective affiliates are lenders under our secured revolving credit facilities.</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Citigroup Global Markets Inc. and J.P. Morgan Securities LLC are currently acting as brokers under the UST’s current pre-defined written trading plans to sell, transfer or otherwise dispose of shares of our common stock.</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company.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 action has been or will be taken by GM, the selling stockholders or any underwriter that would permit a public offering of shares of common stock, or possession or distribution of this prospectus supplement or the accompanying prospectus or any other offering or publicity material relating to shares of common stock, in any country or jurisdiction outside the United States where, or in any circumstances in which, action for that purpose is required. Accordingly, shares of common stock offered hereby may not be offered or sold, directly or indirectly, and this prospectus supplement, the accompanying prospectus and any other offering or publicity material relating to the shares of common stock may not be distributed or published, in or from any country or jurisdiction outside the United States except under circumstances that will result in compliance with applicable laws and regulations.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Bahamas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offer is not open to the public. The offering of each share of common stock directly or indirectly in or from within The Bahamas may only be made by an entity or person who is licensed as a Broker Dealer or securities investment advisor by the Securities Commission of The Bahamas. Persons deemed “resident” of The Bahamas pursuant to the Exchange Control Regulations, 1956 of The Bahamas must receive the prior approval of The Central Bank of The Bahamas before accepting an offer to purchase or purchasing the common shares.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supplement, the accompanying prospectus and the shares of common stock offered herein have not been, and will not be, recognized or registered under the laws and regulations of the British Virgin Islands (“BVI”). The shares of common stock may not be offered or sold in the BVI except in circumstances in which GM, this prospectus supplement, the accompanying prospectus and the shares of common stock do not require recognition by or registration with the authorities of the BVI. This prospectus supplement and the accompanying prospectus are not a solicitation or offer of interests to members of the public in the BVI.</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is not an offer to the members of the public in the Cayman Islands to subscribe for shares, and applications originating from the Cayman Islands will only be accepted from sophisticated persons or high net worth persons, in each case within the meaning of the Cayman Islands Securities Investment Business Law (as amended).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relation to each Member State of the European Economic Area (“EEA”) which has implemented the Prospectus Directive (each, a “Relevant Member State”), with effect from and including the date on which the Prospectus Directive is implemented in that Relevant Member State (the “Relevant Implementation Date”), an offer to the public of any shares of common stock which are the subject of the offering contemplated by this prospectus supplement and the accompanying prospectus (the “Securities”) may not be made in that Relevant Member State, except that an offer to the public in that Relevant Member State of any Securities may be made at any time with effect from and including the Relevant Implementation Date under the following exemptions under the Prospectus Directive, if they have been implemented in that Relevant Member State:</w:t>
      </w:r>
    </w:p>
    <w:p>
      <w:pPr>
        <w:spacing w:after="0" w:line="39" w:lineRule="exact"/>
        <w:rPr>
          <w:sz w:val="20"/>
          <w:szCs w:val="20"/>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legal entities which are qualified investors as defined in the Prospectus Directive;</w:t>
      </w:r>
    </w:p>
    <w:p>
      <w:pPr>
        <w:spacing w:after="0" w:line="171" w:lineRule="exact"/>
        <w:rPr>
          <w:rFonts w:ascii="Arial" w:cs="Arial" w:eastAsia="Arial" w:hAnsi="Arial"/>
          <w:sz w:val="18"/>
          <w:szCs w:val="18"/>
          <w:color w:val="auto"/>
        </w:rPr>
      </w:pPr>
    </w:p>
    <w:p>
      <w:pPr>
        <w:jc w:val="both"/>
        <w:ind w:right="80" w:firstLine="464"/>
        <w:spacing w:after="0" w:line="259"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provided that no such offer of Securities shall require GM or any underwriter to publish a prospectus pursuant to Article 3 of the Prospectus Directive.</w:t>
      </w:r>
    </w:p>
    <w:p>
      <w:pPr>
        <w:spacing w:after="0" w:line="19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EEA selling restriction is in addition to any other selling restrictions set out in this prospectus supplement and the accompanying prospectus.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UAE. The offering contemplated hereunder has not been approved or licensed by the Central Bank of the United Arab Emirates (“UAE”), the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This offering does not constitute a public offer of shares in the UAE, DIFC and/or any other free zone in accordance with the Commercial Companies Law, Federal Law No. 8 of 1984 (as amended), DFSA Offered Securities Rules and NASDAQ Dubai Listing Rules, or otherwise. The shares of common stock may not be offered to the public in the UAE and/or any of the free zones. The shares of common stock may be offered and issued only to a limited number of investors in the UAE or any of its free zones who qualify as sophisticated investors under the relevant laws and regulations of the UAE or the free zone concerned.</w:t>
      </w:r>
    </w:p>
    <w:p>
      <w:pPr>
        <w:spacing w:after="0" w:line="11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Dubai International Financial Centre. 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shares of common stock to which this document relates may be illiquid and/or subject to restrictions on their resale. Prospective purchasers of the shares of common stock offered should conduct their own due diligence on the shares. If you do not understand the contents of this document you should consult an authorized financial adviser.</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This communication is only being distributed to and is only directed at (i) persons who are outside the United Kingdom or (ii) investment professionals falling within Article 19(5) of the Financial Services and Markets Act 2000 (Financial Promotion) Order 2005 (the “Order”) or (iii) high net worth companies, and other persons to whom it may lawfully be communicated, falling within Article 49(2)(a) to (d) of the Order (all such persons together being referred to as “relevant persons”). The shares of common stock are only available to, and any invitation, offer or agreement to subscribe, purchase or otherwise acquire such shares of common stock will be engaged in only with, relevant persons. Any person who is not a relevant person should not act or rely on this prospectus supplement and the accompanying prospectus or any of their contents.</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90" w:lineRule="exact"/>
        <w:rPr>
          <w:sz w:val="20"/>
          <w:szCs w:val="20"/>
          <w:color w:val="auto"/>
        </w:rPr>
      </w:pPr>
    </w:p>
    <w:p>
      <w:pPr>
        <w:ind w:right="60" w:firstLine="464"/>
        <w:spacing w:after="0" w:line="298"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 (the “FSMA”) received by it in connection with the issue or sale of shares of common stock which are the subject of the offering contemplated by this prospectus supplement and the accompanying prospectus (the “Securities”) in circumstances in which Section 21(1) of the FSMA does not apply to GM; and</w:t>
      </w:r>
    </w:p>
    <w:p>
      <w:pPr>
        <w:spacing w:after="0" w:line="112" w:lineRule="exact"/>
        <w:rPr>
          <w:rFonts w:ascii="Arial" w:cs="Arial" w:eastAsia="Arial" w:hAnsi="Arial"/>
          <w:sz w:val="16"/>
          <w:szCs w:val="16"/>
          <w:color w:val="auto"/>
        </w:rPr>
      </w:pPr>
    </w:p>
    <w:p>
      <w:pPr>
        <w:ind w:firstLine="464"/>
        <w:spacing w:after="0" w:line="268"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Securities in, from or otherwise involving the United Kingdom.</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80"/>
          </w:cols>
          <w:pgMar w:left="24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validity of the shares of our common stock offered hereby will be passed upon for us by Robert C. Shrosbree, Esq., Executive Director, Legal, Corporate &amp; Securities, GM Legal Staff, and certain other legal matters related to our common stock will be passed upon for us by Jenner &amp; Block LLP. Certain legal matters will be passed upon for the underwriters by Davis Polk &amp; Wardwell LLP.</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Davis Polk &amp; Wardwell LLP acts as counsel to the Executive Compensation Committee of our Board of Directors and has acted as our counsel, and as counsel for certain of our subsidiaries, in various matters.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financial statements incorporated in this prospectus supplement by reference from the Company’s Annual Report on Form 10-K,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 (2) express an unqualified opinion on the effectiveness of internal control over financial reporting). Such financial statements have been so incorporated in reliance upon the reports of such firm given upon their authority as experts in accounting and auditing.</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will automatically update and supersede this information. This prospectus supplement incorporates by reference the documents and reports listed below and any future filings that we make with the SEC under Sections 13(a), 13(c), 14 or 15(d) of the Securities Exchange Act of 1934, as amended (the Exchange Act) (other than filings or portions of filings that are furnished under applicable SEC rules rather than filed) until the date of completion of this offering:</w:t>
      </w:r>
    </w:p>
    <w:p>
      <w:pPr>
        <w:sectPr>
          <w:pgSz w:w="11900" w:h="16838" w:orient="portrait"/>
          <w:cols w:equalWidth="0" w:num="1">
            <w:col w:w="11420"/>
          </w:cols>
          <w:pgMar w:left="240" w:top="459" w:right="2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490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 on Form 10-Q</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Year ended December 31, 2012 (filed with the SEC on February 15, 2013) Quarter ended March 31, 2013 (filed with the SEC on May 2, 2013) (as amended by Amendment No. 1 to such Quarterly Report on Form 10-Q (filed with the SEC on May 9, 2013))</w:t>
      </w:r>
    </w:p>
    <w:p>
      <w:pPr>
        <w:spacing w:after="0" w:line="1" w:lineRule="exact"/>
        <w:rPr>
          <w:sz w:val="20"/>
          <w:szCs w:val="20"/>
          <w:color w:val="auto"/>
        </w:rPr>
      </w:pPr>
    </w:p>
    <w:p>
      <w:pPr>
        <w:ind w:right="80"/>
        <w:spacing w:after="0" w:line="361" w:lineRule="auto"/>
        <w:rPr>
          <w:sz w:val="20"/>
          <w:szCs w:val="20"/>
          <w:color w:val="auto"/>
        </w:rPr>
      </w:pPr>
      <w:r>
        <w:rPr>
          <w:rFonts w:ascii="Arial" w:cs="Arial" w:eastAsia="Arial" w:hAnsi="Arial"/>
          <w:sz w:val="15"/>
          <w:szCs w:val="15"/>
          <w:color w:val="auto"/>
        </w:rPr>
        <w:t>Dates filed: January 4, 2013, February 1, 2013, February 6, 2013, February 15, 2013, March 4, 2013, April 3, 2013, May 3, 2013 and June 5, 2013</w:t>
      </w:r>
    </w:p>
    <w:p>
      <w:pPr>
        <w:spacing w:after="0" w:line="501" w:lineRule="exact"/>
        <w:rPr>
          <w:sz w:val="20"/>
          <w:szCs w:val="20"/>
          <w:color w:val="auto"/>
        </w:rPr>
      </w:pPr>
    </w:p>
    <w:p>
      <w:pPr>
        <w:sectPr>
          <w:pgSz w:w="11900" w:h="16838" w:orient="portrait"/>
          <w:cols w:equalWidth="0" w:num="2">
            <w:col w:w="5480" w:space="580"/>
            <w:col w:w="5360"/>
          </w:cols>
          <w:pgMar w:left="240" w:top="459" w:right="239" w:bottom="1440" w:gutter="0" w:footer="0" w:header="0"/>
          <w:type w:val="continuous"/>
        </w:sectPr>
      </w:pPr>
    </w:p>
    <w:p>
      <w:pPr>
        <w:jc w:val="both"/>
        <w:ind w:right="500" w:firstLine="456"/>
        <w:spacing w:after="0" w:line="259" w:lineRule="auto"/>
        <w:rPr>
          <w:sz w:val="20"/>
          <w:szCs w:val="20"/>
          <w:color w:val="auto"/>
        </w:rPr>
      </w:pPr>
      <w:r>
        <w:rPr>
          <w:rFonts w:ascii="Arial" w:cs="Arial" w:eastAsia="Arial" w:hAnsi="Arial"/>
          <w:sz w:val="18"/>
          <w:szCs w:val="18"/>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2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(313) 556-5000</w:t>
      </w:r>
    </w:p>
    <w:p>
      <w:pPr>
        <w:spacing w:after="0" w:line="8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supplement. Reports and other information can also be inspected at the offices of the New York Stock Exchange, Inc., 20 Broad Street, New York, New York 10005, where our common stock is listed.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143510</wp:posOffset>
            </wp:positionV>
            <wp:extent cx="4528185" cy="6343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Selling securityholders to be named in a prospectus supplement may offer and sell shares of our common stock, par value $0.01 per share, and warrants to purchase shares of our common stock (together, the securities) from time to time in amounts, at prices and on terms that will be determined at the time of the offering.</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 “GMM”.</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0"/>
          <w:szCs w:val="20"/>
          <w:color w:val="auto"/>
        </w:rPr>
      </w:pPr>
    </w:p>
    <w:p>
      <w:pPr>
        <w:ind w:firstLine="45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Investment in any of the securities involves risk. See “</w:t>
      </w:r>
      <w:hyperlink w:anchor="page2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in our periodic reports filed from time to time with the Securities and Exchange Commission and in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April 26, 2013.</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TABLE OF CONTENTS</w:t>
            </w:r>
          </w:p>
        </w:tc>
        <w:tc>
          <w:tcPr>
            <w:tcW w:w="22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399"/>
        </w:trPr>
        <w:tc>
          <w:tcPr>
            <w:tcW w:w="890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INCORPORATION OF CERTAIN DOCUMENTS BY REFERENCE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9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39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GENERAL MOTORS COMPANY</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5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640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OVERVIEW OF OUR CAPITAL STOCK</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OUR COMMON STOCK</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DESCRIPTION OF THE WARRANTS</w:t>
              </w:r>
            </w:hyperlink>
          </w:p>
        </w:tc>
        <w:tc>
          <w:tcPr>
            <w:tcW w:w="440" w:type="dxa"/>
            <w:vAlign w:val="bottom"/>
            <w:tcBorders>
              <w:top w:val="single" w:sz="8" w:color="0000EE"/>
            </w:tcBorders>
            <w:gridSpan w:val="2"/>
          </w:tcPr>
          <w:p>
            <w:pPr>
              <w:spacing w:after="0"/>
              <w:rPr>
                <w:sz w:val="17"/>
                <w:szCs w:val="17"/>
                <w:color w:val="auto"/>
              </w:rPr>
            </w:pPr>
          </w:p>
        </w:tc>
        <w:tc>
          <w:tcPr>
            <w:tcW w:w="56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PLAN OF DISTRIBUTION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690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48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(SEC) utilizing a “shelf” registration process. Under this shelf process, selling securityholders may sell any combination of the securities described in this prospectus in one or more offerings. This prospectus provides you with a general description of the securities selling securityholders may offer. Each time selling securityholders sell securities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4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this prospectus, unless the context indicates otherwise, for the periods on or subsequent to July 10, 2009, references to “we,” “our,” “us,” “ourselves,” the “Company,” “General Motors,” or “GM” refer to General Motors Company and, where appropriate, its subsidiaries. General Motors Company is the successor entity solely for accounting and financial reporting purposes to General Motors Corporation, which is sometimes referred to in this prospectus, for the periods on or before July 9, 2009, as “Old GM.” On July 10, 2009, Old GM changed its name to Motors Liquidation Company, which is sometimes referred to in this prospectus for periods on or after July 10, 2009 as “MLC”. On December 15, 2011, MLC was dissolved and transferred its remaining assets and liabilities to the Motors Liquidation Company GUC Trust.</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Neither we nor any selling securityholder has authorized anyone to provide any information other than that contained in this prospectus, in any prospectus supplement or in any free writing prospectus prepared by or on behalf of us to which we have referred you. Neither we nor any selling securityholder take responsibility for, and neither we nor any selling securityholder provide any assurance as to the reliability of, any other information that others may give you. We have not, and no selling securityholder has, authorized any other person to provide you with different information. We are not, and no selling securityholder is,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(other than filings or portions of filings that are furnished under applicable SEC rules rather than filed) until the date of completion of this offering:</w:t>
      </w:r>
    </w:p>
    <w:p>
      <w:pPr>
        <w:sectPr>
          <w:pgSz w:w="11900" w:h="16838" w:orient="portrait"/>
          <w:cols w:equalWidth="0" w:num="1">
            <w:col w:w="11340"/>
          </w:cols>
          <w:pgMar w:left="240" w:top="459" w:right="31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490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219" w:lineRule="exact"/>
        <w:rPr>
          <w:sz w:val="20"/>
          <w:szCs w:val="20"/>
          <w:color w:val="auto"/>
        </w:rPr>
      </w:pPr>
    </w:p>
    <w:p>
      <w:pPr>
        <w:ind w:right="1440"/>
        <w:spacing w:after="0" w:line="259" w:lineRule="auto"/>
        <w:rPr>
          <w:sz w:val="20"/>
          <w:szCs w:val="20"/>
          <w:color w:val="auto"/>
        </w:rPr>
      </w:pPr>
      <w:r>
        <w:rPr>
          <w:rFonts w:ascii="Arial" w:cs="Arial" w:eastAsia="Arial" w:hAnsi="Arial"/>
          <w:sz w:val="18"/>
          <w:szCs w:val="18"/>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Year ended December 31, 2012 (filed with the SEC on February 15, 2013) Dates filed: January 4, 2013, February 1, 2013, February 6, 2013, February 15, 2013, March 4, 2013 and April 3, 2013</w:t>
      </w:r>
    </w:p>
    <w:p>
      <w:pPr>
        <w:spacing w:after="0" w:line="772" w:lineRule="exact"/>
        <w:rPr>
          <w:sz w:val="20"/>
          <w:szCs w:val="20"/>
          <w:color w:val="auto"/>
        </w:rPr>
      </w:pPr>
    </w:p>
    <w:p>
      <w:pPr>
        <w:sectPr>
          <w:pgSz w:w="11900" w:h="16838" w:orient="portrait"/>
          <w:cols w:equalWidth="0" w:num="2">
            <w:col w:w="5340" w:space="720"/>
            <w:col w:w="5280"/>
          </w:cols>
          <w:pgMar w:left="240" w:top="459" w:right="319" w:bottom="1440" w:gutter="0" w:footer="0" w:header="0"/>
          <w:type w:val="continuous"/>
        </w:sectPr>
      </w:pPr>
    </w:p>
    <w:p>
      <w:pPr>
        <w:ind w:right="280" w:firstLine="456"/>
        <w:spacing w:after="0" w:line="259" w:lineRule="auto"/>
        <w:rPr>
          <w:sz w:val="20"/>
          <w:szCs w:val="20"/>
          <w:color w:val="auto"/>
        </w:rPr>
      </w:pPr>
      <w:r>
        <w:rPr>
          <w:rFonts w:ascii="Arial" w:cs="Arial" w:eastAsia="Arial" w:hAnsi="Arial"/>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2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(313) 556-5000</w:t>
      </w:r>
    </w:p>
    <w:p>
      <w:pPr>
        <w:spacing w:after="0" w:line="8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2012, as updated by our subsequent filings under the Exchange Act, including Forms 10-Q and 8-K, and the risk factors contained or incorporated by reference in the accompanying prospectus supplement before acquiring any of the securities.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General Motors Company commenced operations on July 10, 2009 when we, through certain of our subsidiaries, completed the acquisition of substantially all of the assets and assumption of certain liabilities of Old GM through a sale by Old GM under Chapter 11 of the U.S. Bankruptcy Code (the 363 Sale). By commencing operations following the 363 Sale, we were able to take advantage of a competitive labor agreement with our unions, a restructured dealer network and a reduced and refocused brand strategy in the U.S. focused on four brands.</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(GMNA), GM Europe (GME), GM International Operations (GMIO) and GM South America (GMSA). We also conduct automotive financing through our automotive financing segment, GM Financial.</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will not receive any proceeds from sales of the securities by selling securityholders. However, we will receive proceeds if any holder of a warrant exercises its warrant and pays the exercise price in cash. We will use the proceeds received from the exercise of warrants, if any, for general corporate purposes, including working capital.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2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the material provisions of our capital stock is based upon our certificate of incorporation, as amended (Certificate of Incorporation), our bylaws, as amended (Bylaws), the respective warrant agreements for each of our outstanding warrants, the certificate of designations for each of our Series A Fixed Rate Cumulative Perpetual Preferred Stock (Series A Preferred Stock) and Series B Mandatory Convertible Junior Preferred Stock (Series B Preferred Stock), and applicable provisions of law, in each case as currently in effect as of the date of this prospectus, and is qualified in its entirety by reference to the provisions of those documents.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April 22, 2013, 1,374,635,994 shares of our common stock were issued and outstanding. The general terms of our common stock are described below within the section of this prospectus entitled “Description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certificate of designations for the Series A Preferred Stock authorizes 360,000,000 shares of Series A Preferred Stock, approximately 276 million of which were outstanding as of April 22, 2013. There are no mandatory redemption, mandatory repurchase or sinking fund provisions applicable to our Series A Preferred Stock.</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Holders of Series A Preferred Stock are entitled to receive, on each share, if, as and when declared by General Motor’s board of directors (Board of Directors), cumulative cash dividends with respect to each quarterly dividend payment at a rate of 9.0% per annum on the liquidation amount of $25.00 per share and the amount of accrued and unpaid dividends for any prior dividend period, if any. Unless all accrued and unpaid dividends on the Series A Preferred Stock are paid in full, no dividends or distributions may be paid on our common stock, the Series B Preferred Stock or any other class or series of our stock, and no shares of common stock, the Series B Preferred Stock or any other class or series of our stock may be repurchased or redeemed by us (subject to certain exceptions that are specified in the certificate of designations for the Series A Preferred Stock).</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the event of any voluntary or involuntary liquidation, dissolution or winding up of our affairs, a holder of the Series A Preferred Stock will be entitled to be paid, before any distribution or payment may be made to any holders of our common stock, Series B Preferred Stock or any other class or series of our stock:</w:t>
      </w:r>
    </w:p>
    <w:p>
      <w:pPr>
        <w:ind w:right="60" w:firstLine="8"/>
        <w:spacing w:after="0" w:line="261"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liquidation amount of $25.00 per share; and (2) the amount of any accrued and unpaid dividends, if any, whether or not declared, prior to such distribution or payment date.</w:t>
      </w:r>
    </w:p>
    <w:p>
      <w:pPr>
        <w:spacing w:after="0" w:line="13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not redeem the Series A Preferred Stock prior to December 31, 2014. On or after December 31, 2014, we (at our option) may redeem, in whole or in part, at any time and from time to time, the Series A Preferred Stock at a redemption price per share equal to the $25.00 per share liquidation amount plus any accrued and unpaid dividends.</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holders of the Series A Preferred Stock do not have voting rights, except with respect to certain fundamental changes in the terms of the Series A Preferred Stock, in the case of certain dividend arrearages and except as specifically required under Delaware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the Series A Preferred Stock are not convertible into or exchangeable for any other securities.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certificate of designations for the Series B Preferred Stock authorizes 100,000,000 shares of Series B Preferred Stock, approximately100 million of which were outstanding as of April 22, 2013. There are no mandatory redemption, mandatory repurchase or sinking fund provisions applicable to our Series B Preferred Stock.</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Holders of Series B Preferred Stock are entitled to receive if, as and when declared by the Board of Directors cumulative dividends at a rate of 4.75% per annum on the liquidation amount of $50.00 per share. Dividends will accumulate from November 23, 2010 and will be payable in cash or, subject to certain limitations, in common stock or in any combination of cash and common stock on each dividend payment date, as determined by the Board of Directors in its sole discretion. Dividends that are declared will be payable on March 1, June 1, September 1 and December 1 of each year to holders of record on the immediately preceding February 15, May 15, August 15 and November 15.</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any time prior to December 1, 2013, holders of Series B Preferred Stock may elect to convert all or part of their shares of Series B Preferred Stock into common stock at the minimum conversion rate of 1.2626 shares of common stock per share of Series B Preferred Stock, subject to anti-dilution adjustments. On December 1, 2013, each share of Series B Preferred Stock will automatically convert, unless previously converted, into a number of shares of common stock. The conversion rate on December 1, 2013 for each share of Series B Preferred Stock will be between 1.2626 and 1.5152 shares of common stock, depending on the applicable market value of our common stock, subject to anti-dilution adjustments. The conversion rate on December 1, 2013 will be adjusted so that holders receive an additional number of shares of common stock in respect of accumulated and unpaid dividends that have not been declared prior to that date.</w:t>
      </w:r>
    </w:p>
    <w:p>
      <w:pPr>
        <w:spacing w:after="0" w:line="120" w:lineRule="exact"/>
        <w:rPr>
          <w:sz w:val="20"/>
          <w:szCs w:val="20"/>
          <w:color w:val="auto"/>
        </w:rPr>
      </w:pPr>
    </w:p>
    <w:p>
      <w:pPr>
        <w:jc w:val="both"/>
        <w:ind w:right="100" w:firstLine="456"/>
        <w:spacing w:after="0" w:line="283" w:lineRule="auto"/>
        <w:rPr>
          <w:sz w:val="20"/>
          <w:szCs w:val="20"/>
          <w:color w:val="auto"/>
        </w:rPr>
      </w:pPr>
      <w:r>
        <w:rPr>
          <w:rFonts w:ascii="Arial" w:cs="Arial" w:eastAsia="Arial" w:hAnsi="Arial"/>
          <w:sz w:val="16"/>
          <w:szCs w:val="16"/>
          <w:color w:val="auto"/>
        </w:rPr>
        <w:t>The Series B Preferred Stock (1) will rank senior with respect to dividend rights and rights upon our liquidation, winding-up or dissolution to our common stock and to each other class of capital stock or series of preferred stock issued in the future, unless the terms of that stock provide that it ranks senior to, or on a parity with, the Series B Preferred Stock, (2) will rank on a parity with respect to dividend rights and rights upon our liquidation, winding-up or dissolution with any class of capital stock or series of preferred stock issued in the future that provides that such stock will rank on a parity with the Series B Preferred Stock and</w:t>
      </w:r>
    </w:p>
    <w:p>
      <w:pPr>
        <w:spacing w:after="0" w:line="3" w:lineRule="exact"/>
        <w:rPr>
          <w:sz w:val="20"/>
          <w:szCs w:val="20"/>
          <w:color w:val="auto"/>
        </w:rPr>
      </w:pPr>
    </w:p>
    <w:p>
      <w:pPr>
        <w:jc w:val="both"/>
        <w:ind w:right="100" w:firstLine="8"/>
        <w:spacing w:after="0" w:line="255"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rank junior with respect to dividend rights and rights upon our liquidation, winding-up or dissolution to our Series A Preferred Stock and to each class of capital stock or series of preferred stock issued in the future that provides that such stock will rank senior to the Series B Preferred Stock. The Series B Preferred Stock will also rank junior to all of our existing and future debt obligations.</w:t>
      </w:r>
    </w:p>
    <w:p>
      <w:pPr>
        <w:spacing w:after="0" w:line="14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holders of the Series B Preferred Stock do not have voting rights, except with respect to certain fundamental changes in the terms of the Series B Preferred Stock, in the case of certain dividend arrearages and except as specifically required under Delaware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2009, we issued three sets of warrants:</w:t>
      </w:r>
    </w:p>
    <w:p>
      <w:pPr>
        <w:spacing w:after="0" w:line="90" w:lineRule="exact"/>
        <w:rPr>
          <w:sz w:val="20"/>
          <w:szCs w:val="20"/>
          <w:color w:val="auto"/>
        </w:rPr>
      </w:pPr>
    </w:p>
    <w:p>
      <w:pPr>
        <w:ind w:left="900" w:right="460" w:hanging="325"/>
        <w:spacing w:after="0" w:line="357"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set of warrants to acquire 45,454,545 shares of common stock that are exercisable at any time prior to 5:00 p.m. New York City time, on December 31, 2015 at an exercise price of $42.31 per share and that, as of the date of this prospectus, are not listed on any securities exchange;</w:t>
      </w:r>
    </w:p>
    <w:p>
      <w:pPr>
        <w:ind w:left="900" w:right="8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2016 at an exercise price of $10.00 per share and that are listed on the New York Stock Exchange under the symbol “GM.WS.A”; and</w:t>
      </w:r>
    </w:p>
    <w:p>
      <w:pPr>
        <w:spacing w:after="0" w:line="4" w:lineRule="exact"/>
        <w:rPr>
          <w:rFonts w:ascii="Arial" w:cs="Arial" w:eastAsia="Arial" w:hAnsi="Arial"/>
          <w:sz w:val="16"/>
          <w:szCs w:val="16"/>
          <w:color w:val="auto"/>
        </w:rPr>
      </w:pPr>
    </w:p>
    <w:p>
      <w:pPr>
        <w:ind w:left="900" w:right="8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of April 22, 2013 there were a total of approximately 312 million warrants outstanding among these three sets. The number of each of the warrants and the per share exercise price thereof are subject to adjustment as a result of certain events, including stock splits, reverse stock splits and stock 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6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Certificate of Incorporation restricts certain transfers of certain “corporation securities” to reduce the risk that we would experience any “ownership change” (as defined in Section 382 of the Internal Revenue Code of 1986, as amended (IRC)) that could limit our ability to utilize our net operating loss carryovers and other tax benefits. “Corporation securities” include, among other things, shares of our common stock, warrants to purchase our common stock and shares of our Series B Preferred Stock. These restrictions are intended to protect against a limitation on our ability to use net operating loss carryovers and other tax benefits by preventing any direct or indirect transfer of “corporation securities” if the effect of the transfer would be to:</w:t>
      </w:r>
    </w:p>
    <w:p>
      <w:pPr>
        <w:spacing w:after="0" w:line="35" w:lineRule="exact"/>
        <w:rPr>
          <w:sz w:val="20"/>
          <w:szCs w:val="20"/>
          <w:color w:val="auto"/>
        </w:rPr>
      </w:pPr>
    </w:p>
    <w:p>
      <w:pPr>
        <w:ind w:left="900" w:right="1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the direct or indirect “percentage stock ownership” (as defined in our Certificate of Incorporation) by any person or group of persons from less than 4.9% of the value of all such securities of the Company to 4.9% or more; or</w:t>
      </w:r>
    </w:p>
    <w:p>
      <w:pPr>
        <w:spacing w:after="0" w:line="5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the direct or indirect “percentage stock ownership” of a person or group of persons having or deemed to have a “percentage stock ownership” of 4.9% or more of the value of all such securities of the Company.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Generally, the above restrictions are imposed only with respect to the number of shares of “corporation securities” purportedly transferred in excess of the threshold. These transfer restrictions will not apply, however, in the case of a transfer that:</w:t>
      </w:r>
    </w:p>
    <w:p>
      <w:pPr>
        <w:spacing w:after="0" w:line="51" w:lineRule="exact"/>
        <w:rPr>
          <w:sz w:val="20"/>
          <w:szCs w:val="20"/>
          <w:color w:val="auto"/>
        </w:rPr>
      </w:pPr>
    </w:p>
    <w:p>
      <w:pPr>
        <w:ind w:left="900" w:right="2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authorized by our Board of Directors prior to the consummation of the transfer (or, in the case of an involuntary transfer, as soon as practicable after the transaction is consummated);</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pursuant to any transaction, including a merger or consolidation, in which all holders of “corporation securities” receive, or are offered the same opportunity to receive, cash or other consideration, and as a result of which the acquiror will own at least a majority of the outstanding shares of our common stock;</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transfer to an underwriter for distribution in a public offering (provided that transfers by such underwriter to purchasers in such offering remain subject to these transfer restrictions);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result in an aggregate owner shift of more than 40% for purposes of Section 382 of the IRC.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the restrictions on transfer will not apply to:</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outstanding shares of our Series A Preferred Stock;</w:t>
      </w:r>
    </w:p>
    <w:p>
      <w:pPr>
        <w:spacing w:after="0" w:line="9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transfer by MLC (or any trust created pursuant to a bankruptcy plan of reorganization of MLC or any other person distributing “corporation securities” pursuant to such a plan) to or for the benefit of (i) creditors of MLC, (ii) beneficiaries of any trust created pursuant to a bankruptcy plan of reorganization of MLC or (iii) MLC (or any other trust created pursuant to a bankruptcy plan of reorganization of MLC or any other person distributing “corporation securities” pursuant to such a plan);</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transfer by any person distributing “corporation securities” pursuant to a bankruptcy plan of reorganization of MLC;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acquisition of “corporation securities” directly from us, whether by way of the exercise of a warrant or otherwise.</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Board of Directors may impose, in connection with authorizing any proposed transaction restricted by our Certificate of Incorporation, any conditions that it deems reasonable and appropriate and may require affidavits, representations or opinions of counsel from the party who requests such authorization. Persons making such requests are generally required to reimburse us for all reasonable out-of-pocket costs and expenses incurred in determining whether to authorize the proposed transfer.</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attempted transfer that would violate these restrictions will be void as of the date of the purported transfer (</w:t>
      </w:r>
      <w:r>
        <w:rPr>
          <w:rFonts w:ascii="Arial" w:cs="Arial" w:eastAsia="Arial" w:hAnsi="Arial"/>
          <w:sz w:val="16"/>
          <w:szCs w:val="16"/>
          <w:i w:val="1"/>
          <w:iCs w:val="1"/>
          <w:color w:val="auto"/>
        </w:rPr>
        <w:t>i.e.</w:t>
      </w:r>
      <w:r>
        <w:rPr>
          <w:rFonts w:ascii="Arial" w:cs="Arial" w:eastAsia="Arial" w:hAnsi="Arial"/>
          <w:sz w:val="16"/>
          <w:szCs w:val="16"/>
          <w:color w:val="auto"/>
        </w:rPr>
        <w:t xml:space="preserve">, void </w:t>
      </w:r>
      <w:r>
        <w:rPr>
          <w:rFonts w:ascii="Arial" w:cs="Arial" w:eastAsia="Arial" w:hAnsi="Arial"/>
          <w:sz w:val="16"/>
          <w:szCs w:val="16"/>
          <w:i w:val="1"/>
          <w:iCs w:val="1"/>
          <w:color w:val="auto"/>
        </w:rPr>
        <w:t>ab initio</w:t>
      </w:r>
      <w:r>
        <w:rPr>
          <w:rFonts w:ascii="Arial" w:cs="Arial" w:eastAsia="Arial" w:hAnsi="Arial"/>
          <w:sz w:val="16"/>
          <w:szCs w:val="16"/>
          <w:color w:val="auto"/>
        </w:rPr>
        <w:t>), and the purported transferee will not be recognized as the owner of the shares purported to have been transferred, including for purposes of voting and receiving dividends or other distributions. The purported transferor will remain the owner of such transferred shares and the purported transferee will be required to turn over the transferred shares, together with any distributions received by the purported transferee with respect to the transferred shares, to our agent, who will attempt to sell such shares in arm’s-length transactions that do not violate the restrictions and then distribute the proceeds in a specified manner.</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 legend referring to these restrictions will be placed on each certificate representing shares of “corporation securities” issued prior to the expiration of the restrictions. In the case of uncertificated “corporation securities,” a notation referring to these restrictions will appear on all trade confirmations issued prior to the expiration of the restrictions.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restrictions expire on the earliest of:</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close of business on December 31, 2013, subject to extension as noted below;</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repeal of Section 382 of the IRC or any other change in law, if our Board of Directors determines that the restrictions are no longer necessary for the preservation of our net operating loss carryovers and other tax benefits;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beginning of a taxable year for which our Board of Directors determines that none of our net operating loss carryovers and other tax benefits may be carried forward;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earlier date as our Board of Directors determines for the restrictions to terminate.</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December 31, 2013 expiration date may be extended for two additional one-year terms if our Board of Directors determines that the extension of the restrictions is reasonably necessary to preserve our net operating loss carryovers and other tax benefits and is in the best interests of the Company and our stockholders.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Our Bylaws provide that, subject to limitations, any vacancy occurring in our Board of Directors for any reason may be filled by a majority of the remaining members of our Board of Directors then in office, even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they do not constitute a quorum. Each director so elected shall hold office for a term expiring at the same time as the terms of the directors serving at the time he joins the Board of Directors. Each such director shall hold office until his or her successor is elected and qualified, unless he or she dies, resigns or otherwise leaves the Board of Directors before then.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of the voting power of the outstanding shares of all classes of stock entitled to vote at such a meeting, subject to requirements and limitations set forth in our Bylaws.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Nominations for the election of directors may be made by the Board of Directors in accordance with the stockholders agreement we entered into with three of our stockholders – the United States Department of Treasury, Canada GEN Investment Corporation, and the UAW Retiree Medical Benefits Trust – or by any stockholder entitled to vote for the election of directors who complies with the applicable notice requirements.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 representation that the stockholder is a holder of our voting stock and intends to appear in person or by proxy at the meeting to make the nomination or bring up the matter specified in the notice and a representation as to whether the stockholder intends to deliver a proxy statement and/or otherwise to solicit proxies from stockholders in support of such proposal or nomination. For the timing of the stockholder notice, our Bylaws require that the notice must be received by our secretary:</w:t>
      </w:r>
    </w:p>
    <w:p>
      <w:pPr>
        <w:spacing w:after="0" w:line="3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an annual meeting, not more than 180 days and not less than 120 days in advance of the annual meeting;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a special meeting, not more than 15 days after the day on which notice of the special meeting is first mailed to stockholders.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Our Bylaws also contain notice and procedural requirements applicable to persons seeking to have the stockholders authorize or take corporate action by written consent without a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stockholder for a period of three years following the time that such person became an interested stockholder, unless:</w:t>
      </w:r>
    </w:p>
    <w:p>
      <w:pPr>
        <w:spacing w:after="0" w:line="90" w:lineRule="exact"/>
        <w:rPr>
          <w:sz w:val="20"/>
          <w:szCs w:val="20"/>
          <w:color w:val="auto"/>
        </w:rPr>
      </w:pPr>
    </w:p>
    <w:p>
      <w:pPr>
        <w:ind w:left="900" w:right="5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date the interested stockholder obtained such status;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a corporation’s voting stock.</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STOCK</w:t>
      </w:r>
    </w:p>
    <w:p>
      <w:pPr>
        <w:spacing w:after="0" w:line="177"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Our only class of common stock is our common stock, par value $0.01 per share. Our Certificate of Incorporation currently authorizes our Board of Directors to issue 5,000,000,000 shares of common stock. As of April 22, 2013, 1,374,635,994 shares of our common stock were issued and outstanding. There are no redemption or sinking fund provisions applicable to our common stock. All outstanding shares of common stock are fully paid and non-assessable.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Our common stockholders do not possess cumulative voting rights.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of stock entitled to vote thereon present in person or by proxy at the meeting, unless otherwise provided by applicable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event of any liquidation, dissolution or winding up of the Company, the holders of our common stock would be entitled to receive, after payment or provision for payment of all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described in the section of this prospectus entitled “Overview of Our Capital Stock—Certain Provisions of Our Certificate of Incorporation and Bylaws —Transfer Restrictions” above, certain transfer restrictions apply to shares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 “GMM”.</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terms of any warrants to purchase shares of our common stock to be sold by selling securityholders and a description of the material provisions of any applicable warrant agreement relating to such warrants will be set forth in an applicable prospectus supplement.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registering the securities to permit the resale of the securities by selling securityholders from time to time after the date of this prospectus. Selling securityholders may sell all or a portion of the securities from time to time directly or through one or more underwriters, broker-dealers or agents. If the securities are sold through underwriters or broker-dealers, such selling securityholders will be responsible for underwriting discounts or commissions or agents’ commissions. The securities may be sold in one or more transactions at fixed prices, prevailing market prices determined at the time of the sale, varying prices determined at the time of sale or negotiated prices. These sales may be effected:</w:t>
      </w:r>
    </w:p>
    <w:p>
      <w:pPr>
        <w:spacing w:after="0" w:line="35"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underwritten transactions through an underwriter;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sales pursuant to Rule 144 under the Securities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where broker-dealers may agree with selling securityholders to sell a specified number of shares at a stipulated price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any other method permitted pursuant to applicable law;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any combination of any such methods of sale.</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 selling securityholder effects such transactions by selling shares of our common stock or warrants to or through underwriters, broker-dealers or agents, such underwriters, broker-dealers or agents may receive commissions in the form of discounts, concessions or commissions from such selling securityholder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connection with sales of our common stock or warrants or otherwise, selling securityholders may enter into hedging transactions with broker-dealers, which may in turn engage in short sales of the securities in the course of hedging the positions they assume.</w:t>
      </w:r>
    </w:p>
    <w:p>
      <w:pPr>
        <w:spacing w:after="0" w:line="1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Selling securityholders and any broker-dealer participating in the distribution of the securities may be deemed to be “underwriters” within the meaning of the Securities Act, and any commissions paid to, or any discounts or concessions allowed to, any such broker-dealer may be deemed to be underwriting commissions or discounts under the Securities Act. At the time a particular offering of the securities is made, a prospectus supplement may be distributed setting forth the aggregate amount of the securities being offered and the terms of the offering, including the name or names of any broker-dealers or agents, any discounts, commissions and other terms constituting compensation from selling securityholders and any discounts, commissions or concessions allowed or re-allowed or paid to broker-dealers.</w:t>
      </w:r>
    </w:p>
    <w:p>
      <w:pPr>
        <w:spacing w:after="0" w:line="14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There can be no assurance that any selling securityholder will sell any or all of the shares of our common stock or warrants registered pursuant to the registration statement of which this prospectus forms a part.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Selling securityholders and any other person participating in such distribution may be subject to applicable provisions of the Exchange Act and the rules and regulations thereunder, including, without limitation, Regulation M of the Exchange Act, which may limit the timing of purchases and sales of any of the securities by selling securityholders and any other participating person. Regulation M may also restrict the ability of any person engaged in the distribution of the securities to engage in market-making activities with respect to the securities. All of the foregoing may affect the marketability of the shares of common stock and warrants and the ability of any person or entity to engage in market-making activities with respect to such securities.</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Once sold under the registration statement of which this prospectus forms a part, the securities sold thereunder will be freely tradable in the hands of persons other than our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securityholders may directly solicit offers to purchase securities. In this case, no underwriters or agents would be involved.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To the extent required to supplement the information contained in this prospectus, the place and time of delivery for the securities described in this prospectus may be set forth in an applicable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business.</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the sale of the securities, certain underwriters may engage in transactions that stabilize, maintain or otherwise affect the price of the securities. Specifically, underwriters may overallot an offering, creating a short position. In addition, underwriters may bid for, and purchase, the securities in the open market to cover short positions or to stabilize the price of the securities. Any of these activities may stabilize or maintain the market price of the securities above independent market levels. Underwriters will not be required to engage in these activities and may end any of these activities at any time.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Robert C. Shrosbree, Esq., Executive Director, Legal, Corporate &amp; Securities, GM Legal Staff.</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financial statements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 (2) express an unqualified opinion on the effectiveness of internal control over financial reporting). Such financial statements have been so incorporated in reliance upon the reports of such firm given upon their authority as experts in accounting and auditing.</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459" w:right="37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3239135</wp:posOffset>
            </wp:positionV>
            <wp:extent cx="4528185" cy="6343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920"/>
        <w:spacing w:after="0"/>
        <w:rPr>
          <w:sz w:val="20"/>
          <w:szCs w:val="20"/>
          <w:color w:val="auto"/>
        </w:rPr>
      </w:pPr>
      <w:r>
        <w:rPr>
          <w:rFonts w:ascii="Arial" w:cs="Arial" w:eastAsia="Arial" w:hAnsi="Arial"/>
          <w:sz w:val="21"/>
          <w:szCs w:val="2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3"/>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44"/>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3"/>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2019-12-07T20:51:58Z</dcterms:created>
  <dcterms:modified xsi:type="dcterms:W3CDTF">2019-12-07T20:51:58Z</dcterms:modified>
</cp:coreProperties>
</file>