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left="4" w:right="260"/>
        <w:spacing w:after="0" w:line="311" w:lineRule="auto"/>
        <w:rPr>
          <w:sz w:val="20"/>
          <w:szCs w:val="20"/>
          <w:color w:val="auto"/>
        </w:rPr>
      </w:pPr>
      <w:r>
        <w:rPr>
          <w:rFonts w:ascii="Arial" w:cs="Arial" w:eastAsia="Arial" w:hAnsi="Arial"/>
          <w:sz w:val="16"/>
          <w:szCs w:val="16"/>
          <w:color w:val="auto"/>
        </w:rPr>
        <w:t>On December 1, 2021, Paul Jacobson, Executive Vice President and Chief Financial Officer of General Motors Company (the “Company”) will meet with investors at a virtual fireside chat hosted by Credit Suisse. Mr. Jacobson plans to discuss that the Company now expects full-year 2021 EBIT-adjusted to be approximately $14.0 billion, higher than the previous outlook of the high end of the range of $11.5 billion to $13.5 billion.</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below for reconciliations of non-GAAP measures to their most directly comparable GAAP measures.</w:t>
      </w:r>
    </w:p>
    <w:p>
      <w:pPr>
        <w:spacing w:after="0" w:line="225"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The information furnished pursuant to this Current Report on Form 8-K shall not be considered “filed” for purposes of Section 18 of the Securities Exchange Act of 1934, as amended, or otherwise subject to the liabilities of that section, and such information shall not be deemed incorporated by reference in any filing by the Company under the Securities Act of 1933, as amended, or the Securities Exchange Act of 1934, as amended, except as may be expressly set forth by specific reference in such filing.</w:t>
      </w:r>
    </w:p>
    <w:p>
      <w:pPr>
        <w:spacing w:after="0" w:line="183" w:lineRule="exact"/>
        <w:rPr>
          <w:sz w:val="20"/>
          <w:szCs w:val="20"/>
          <w:color w:val="auto"/>
        </w:rPr>
      </w:pPr>
    </w:p>
    <w:p>
      <w:pPr>
        <w:ind w:left="4"/>
        <w:spacing w:after="0" w:line="269" w:lineRule="auto"/>
        <w:rPr>
          <w:sz w:val="20"/>
          <w:szCs w:val="20"/>
          <w:color w:val="auto"/>
        </w:rPr>
      </w:pPr>
      <w:r>
        <w:rPr>
          <w:rFonts w:ascii="Arial" w:cs="Arial" w:eastAsia="Arial" w:hAnsi="Arial"/>
          <w:sz w:val="17"/>
          <w:szCs w:val="17"/>
          <w:b w:val="1"/>
          <w:bCs w:val="1"/>
          <w:color w:val="auto"/>
        </w:rPr>
        <w:t>Cautionary Note on Forward-Looking Statements</w:t>
      </w:r>
      <w:r>
        <w:rPr>
          <w:rFonts w:ascii="Arial" w:cs="Arial" w:eastAsia="Arial" w:hAnsi="Arial"/>
          <w:sz w:val="17"/>
          <w:szCs w:val="17"/>
          <w:color w:val="auto"/>
        </w:rPr>
        <w:t>: This Current Report on Form 8-K includes “forward-looking statements” within the meaning of</w:t>
      </w:r>
      <w:r>
        <w:rPr>
          <w:rFonts w:ascii="Arial" w:cs="Arial" w:eastAsia="Arial" w:hAnsi="Arial"/>
          <w:sz w:val="17"/>
          <w:szCs w:val="17"/>
          <w:b w:val="1"/>
          <w:bCs w:val="1"/>
          <w:color w:val="auto"/>
        </w:rPr>
        <w:t xml:space="preserve"> </w:t>
      </w:r>
      <w:r>
        <w:rPr>
          <w:rFonts w:ascii="Arial" w:cs="Arial" w:eastAsia="Arial" w:hAnsi="Arial"/>
          <w:sz w:val="17"/>
          <w:szCs w:val="17"/>
          <w:color w:val="auto"/>
        </w:rPr>
        <w:t>the U.S. federal securities laws. Forward-looking statements are any statements other than statements of historical fact. Forward-looking statements represent our current judgment about possible future events and are often identified by words such as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 may differ materially due to a variety of important factors, many of which are described in our Annual Report on Form 10-K, our subsequently filed Quarterly Reports on Form 10-Q,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Non-GAAP Reconciliation: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reconciles expected Net income attributable to stockholders under U.S. GAAP to expected EBIT-adjusted (dollars in billions):</w:t>
      </w:r>
    </w:p>
    <w:p>
      <w:pPr>
        <w:spacing w:after="0" w:line="24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Year Ending</w:t>
            </w:r>
          </w:p>
        </w:tc>
      </w:tr>
      <w:tr>
        <w:trPr>
          <w:trHeight w:val="185"/>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2021</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Stockholders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~$3.0</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 net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~$0.3</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EBIT-Adjusted </w:t>
            </w:r>
            <w:r>
              <w:rPr>
                <w:rFonts w:ascii="Arial" w:cs="Arial" w:eastAsia="Arial" w:hAnsi="Arial"/>
                <w:sz w:val="15"/>
                <w:szCs w:val="15"/>
                <w:color w:val="auto"/>
              </w:rPr>
              <w:t>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~$14.0</w:t>
            </w:r>
          </w:p>
        </w:tc>
      </w:tr>
    </w:tbl>
    <w:p>
      <w:pPr>
        <w:spacing w:after="0" w:line="229"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3"/>
          <w:szCs w:val="13"/>
          <w:color w:val="auto"/>
        </w:rPr>
      </w:pPr>
      <w:r>
        <w:rPr>
          <w:rFonts w:ascii="Arial" w:cs="Arial" w:eastAsia="Arial" w:hAnsi="Arial"/>
          <w:sz w:val="16"/>
          <w:szCs w:val="16"/>
          <w:color w:val="auto"/>
        </w:rPr>
        <w:t>These adjustments relate to strategic activities to transition certain Cadillac dealers from the network as part of Cadillac’s electric vehicle strategy,</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and the unique events associated with recent Supreme Court of Korea decisions related to our salaried workers.</w:t>
      </w:r>
    </w:p>
    <w:p>
      <w:pPr>
        <w:spacing w:after="0" w:line="8"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4"/>
          <w:szCs w:val="14"/>
          <w:color w:val="auto"/>
        </w:rPr>
      </w:pPr>
      <w:r>
        <w:rPr>
          <w:rFonts w:ascii="Arial" w:cs="Arial" w:eastAsia="Arial" w:hAnsi="Arial"/>
          <w:sz w:val="17"/>
          <w:szCs w:val="17"/>
          <w:color w:val="auto"/>
        </w:rPr>
        <w:t>We do not consider the potential future impact of adjustments on our expected financial results. Amounts may not sum due to rounding.</w:t>
      </w:r>
    </w:p>
    <w:p>
      <w:pPr>
        <w:sectPr>
          <w:pgSz w:w="11900" w:h="16838" w:orient="portrait"/>
          <w:cols w:equalWidth="0" w:num="1">
            <w:col w:w="11004"/>
          </w:cols>
          <w:pgMar w:left="436" w:top="297"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480" w:type="dxa"/>
            <w:vAlign w:val="bottom"/>
          </w:tcPr>
          <w:p>
            <w:pPr>
              <w:spacing w:after="0"/>
              <w:rPr>
                <w:sz w:val="24"/>
                <w:szCs w:val="24"/>
                <w:color w:val="auto"/>
              </w:rPr>
            </w:pPr>
          </w:p>
        </w:tc>
        <w:tc>
          <w:tcPr>
            <w:tcW w:w="6780" w:type="dxa"/>
            <w:vAlign w:val="bottom"/>
            <w:gridSpan w:val="2"/>
          </w:tcPr>
          <w:p>
            <w:pPr>
              <w:ind w:left="1720"/>
              <w:spacing w:after="0"/>
              <w:rPr>
                <w:sz w:val="20"/>
                <w:szCs w:val="20"/>
                <w:color w:val="auto"/>
              </w:rPr>
            </w:pPr>
            <w:r>
              <w:rPr>
                <w:rFonts w:ascii="Arial" w:cs="Arial" w:eastAsia="Arial" w:hAnsi="Arial"/>
                <w:sz w:val="18"/>
                <w:szCs w:val="18"/>
                <w:color w:val="auto"/>
              </w:rPr>
              <w:t>By:  /s/ John S. Kim</w:t>
            </w:r>
          </w:p>
        </w:tc>
      </w:tr>
      <w:tr>
        <w:trPr>
          <w:trHeight w:val="209"/>
        </w:trPr>
        <w:tc>
          <w:tcPr>
            <w:tcW w:w="3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 Kim</w:t>
            </w:r>
          </w:p>
        </w:tc>
      </w:tr>
      <w:tr>
        <w:trPr>
          <w:trHeight w:val="244"/>
        </w:trPr>
        <w:tc>
          <w:tcPr>
            <w:tcW w:w="3480" w:type="dxa"/>
            <w:vAlign w:val="bottom"/>
          </w:tcPr>
          <w:p>
            <w:pPr>
              <w:spacing w:after="0"/>
              <w:rPr>
                <w:sz w:val="20"/>
                <w:szCs w:val="20"/>
                <w:color w:val="auto"/>
              </w:rPr>
            </w:pPr>
            <w:r>
              <w:rPr>
                <w:rFonts w:ascii="Arial" w:cs="Arial" w:eastAsia="Arial" w:hAnsi="Arial"/>
                <w:sz w:val="18"/>
                <w:szCs w:val="18"/>
                <w:color w:val="auto"/>
              </w:rPr>
              <w:t>Date: December 1, 2021</w:t>
            </w:r>
          </w:p>
        </w:tc>
        <w:tc>
          <w:tcPr>
            <w:tcW w:w="216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2021-12-01T13:17:49Z</dcterms:created>
  <dcterms:modified xsi:type="dcterms:W3CDTF">2021-12-01T13:17:49Z</dcterms:modified>
</cp:coreProperties>
</file>