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4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61"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2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1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21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28, 2026</w:t>
      </w:r>
    </w:p>
    <w:p>
      <w:pPr>
        <w:spacing w:after="0" w:line="31"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1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GENERAL MOTORS COMPANY</w:t>
      </w:r>
    </w:p>
    <w:p>
      <w:pPr>
        <w:spacing w:after="0" w:line="2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2"/>
          <w:szCs w:val="22"/>
          <w:color w:val="auto"/>
        </w:rPr>
        <w:t>__________________</w:t>
      </w:r>
    </w:p>
    <w:p>
      <w:pPr>
        <w:sectPr>
          <w:pgSz w:w="11900" w:h="16838" w:orient="portrait"/>
          <w:cols w:equalWidth="0" w:num="1">
            <w:col w:w="11100"/>
          </w:cols>
          <w:pgMar w:left="320" w:top="1440" w:right="479" w:bottom="1440" w:gutter="0" w:footer="0" w:header="0"/>
        </w:sectPr>
      </w:pPr>
    </w:p>
    <w:p>
      <w:pPr>
        <w:spacing w:after="0" w:line="116"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7"/>
          <w:szCs w:val="17"/>
          <w:b w:val="1"/>
          <w:bCs w:val="1"/>
          <w:color w:val="auto"/>
        </w:rPr>
        <w:t>001-34960</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27-0756180</w:t>
      </w:r>
    </w:p>
    <w:p>
      <w:pPr>
        <w:spacing w:after="0" w:line="67" w:lineRule="exact"/>
        <w:rPr>
          <w:sz w:val="24"/>
          <w:szCs w:val="24"/>
          <w:color w:val="auto"/>
        </w:rPr>
      </w:pPr>
    </w:p>
    <w:p>
      <w:pPr>
        <w:sectPr>
          <w:pgSz w:w="11900" w:h="16838" w:orient="portrait"/>
          <w:cols w:equalWidth="0" w:num="3">
            <w:col w:w="4660" w:space="720"/>
            <w:col w:w="2820" w:space="720"/>
            <w:col w:w="2180"/>
          </w:cols>
          <w:pgMar w:left="320" w:top="1440" w:right="47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5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179" w:lineRule="exact"/>
        <w:rPr>
          <w:sz w:val="24"/>
          <w:szCs w:val="24"/>
          <w:color w:val="auto"/>
        </w:rPr>
      </w:pPr>
    </w:p>
    <w:p>
      <w:pPr>
        <w:sectPr>
          <w:pgSz w:w="11900" w:h="16838" w:orient="portrait"/>
          <w:cols w:equalWidth="0" w:num="3">
            <w:col w:w="4060" w:space="720"/>
            <w:col w:w="2560" w:space="720"/>
            <w:col w:w="3040"/>
          </w:cols>
          <w:pgMar w:left="320" w:top="1440" w:right="479" w:bottom="1440" w:gutter="0" w:footer="0" w:header="0"/>
          <w:type w:val="continuous"/>
        </w:sectPr>
      </w:pPr>
    </w:p>
    <w:p>
      <w:pPr>
        <w:ind w:left="780"/>
        <w:spacing w:after="0"/>
        <w:tabs>
          <w:tab w:leader="none" w:pos="2800" w:val="left"/>
          <w:tab w:leader="none" w:pos="3580" w:val="left"/>
        </w:tabs>
        <w:rPr>
          <w:sz w:val="20"/>
          <w:szCs w:val="20"/>
          <w:color w:val="auto"/>
        </w:rPr>
      </w:pPr>
      <w:r>
        <w:rPr>
          <w:rFonts w:ascii="Times New Roman" w:cs="Times New Roman" w:eastAsia="Times New Roman" w:hAnsi="Times New Roman"/>
          <w:sz w:val="18"/>
          <w:szCs w:val="18"/>
          <w:b w:val="1"/>
          <w:bCs w:val="1"/>
          <w:color w:val="auto"/>
        </w:rPr>
        <w:t>1240 Woodward Avenue</w:t>
        <w:tab/>
        <w:t>Detroit,</w:t>
      </w:r>
      <w:r>
        <w:rPr>
          <w:sz w:val="20"/>
          <w:szCs w:val="20"/>
          <w:color w:val="auto"/>
        </w:rPr>
        <w:tab/>
      </w:r>
      <w:r>
        <w:rPr>
          <w:rFonts w:ascii="Times New Roman" w:cs="Times New Roman" w:eastAsia="Times New Roman" w:hAnsi="Times New Roman"/>
          <w:sz w:val="17"/>
          <w:szCs w:val="17"/>
          <w:b w:val="1"/>
          <w:bCs w:val="1"/>
          <w:color w:val="auto"/>
        </w:rPr>
        <w:t>Michigan</w:t>
      </w:r>
    </w:p>
    <w:p>
      <w:pPr>
        <w:spacing w:after="0" w:line="31"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000"/>
        <w:spacing w:after="0"/>
        <w:rPr>
          <w:sz w:val="20"/>
          <w:szCs w:val="20"/>
          <w:color w:val="auto"/>
        </w:rPr>
      </w:pPr>
      <w:r>
        <w:rPr>
          <w:rFonts w:ascii="Times New Roman" w:cs="Times New Roman" w:eastAsia="Times New Roman" w:hAnsi="Times New Roman"/>
          <w:sz w:val="18"/>
          <w:szCs w:val="18"/>
          <w:b w:val="1"/>
          <w:bCs w:val="1"/>
          <w:color w:val="auto"/>
        </w:rPr>
        <w:t>48265</w:t>
      </w:r>
    </w:p>
    <w:p>
      <w:pPr>
        <w:spacing w:after="0" w:line="31"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580" w:space="720"/>
            <w:col w:w="2800"/>
          </w:cols>
          <w:pgMar w:left="320" w:top="1440" w:right="479" w:bottom="1440" w:gutter="0" w:footer="0" w:header="0"/>
          <w:type w:val="continuous"/>
        </w:sectPr>
      </w:pPr>
    </w:p>
    <w:p>
      <w:pPr>
        <w:spacing w:after="0" w:line="13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(313) 667-1500</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9"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2"/>
          <w:szCs w:val="22"/>
          <w:color w:val="auto"/>
        </w:rPr>
        <w:t>__________________</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54" w:lineRule="exact"/>
        <w:rPr>
          <w:sz w:val="24"/>
          <w:szCs w:val="24"/>
          <w:color w:val="auto"/>
        </w:rPr>
      </w:pPr>
    </w:p>
    <w:p>
      <w:pPr>
        <w:ind w:left="620" w:hanging="574"/>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69" w:lineRule="exact"/>
        <w:rPr>
          <w:rFonts w:ascii="MS PGothic" w:cs="MS PGothic" w:eastAsia="MS PGothic" w:hAnsi="MS PGothic"/>
          <w:sz w:val="18"/>
          <w:szCs w:val="18"/>
          <w:color w:val="auto"/>
        </w:rPr>
      </w:pPr>
    </w:p>
    <w:p>
      <w:pPr>
        <w:ind w:left="620" w:hanging="574"/>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269" w:lineRule="exact"/>
        <w:rPr>
          <w:rFonts w:ascii="MS PGothic" w:cs="MS PGothic" w:eastAsia="MS PGothic" w:hAnsi="MS PGothic"/>
          <w:sz w:val="18"/>
          <w:szCs w:val="18"/>
          <w:color w:val="auto"/>
        </w:rPr>
      </w:pPr>
    </w:p>
    <w:p>
      <w:pPr>
        <w:ind w:left="620" w:hanging="574"/>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269" w:lineRule="exact"/>
        <w:rPr>
          <w:rFonts w:ascii="MS PGothic" w:cs="MS PGothic" w:eastAsia="MS PGothic" w:hAnsi="MS PGothic"/>
          <w:sz w:val="18"/>
          <w:szCs w:val="18"/>
          <w:color w:val="auto"/>
        </w:rPr>
      </w:pPr>
    </w:p>
    <w:p>
      <w:pPr>
        <w:ind w:left="3760" w:right="3240" w:hanging="3714"/>
        <w:spacing w:after="0" w:line="414" w:lineRule="auto"/>
        <w:tabs>
          <w:tab w:leader="none" w:pos="63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p>
      <w:pPr>
        <w:spacing w:after="0" w:line="23" w:lineRule="exact"/>
        <w:rPr>
          <w:sz w:val="24"/>
          <w:szCs w:val="24"/>
          <w:color w:val="auto"/>
        </w:rPr>
      </w:pPr>
    </w:p>
    <w:tbl>
      <w:tblPr>
        <w:tblLayout w:type="fixed"/>
        <w:tblInd w:w="1320" w:type="dxa"/>
        <w:tblCellMar>
          <w:top w:w="0" w:type="dxa"/>
          <w:left w:w="0" w:type="dxa"/>
          <w:bottom w:w="0" w:type="dxa"/>
          <w:right w:w="0" w:type="dxa"/>
        </w:tblCellMar>
      </w:tblPr>
      <w:tr>
        <w:trPr>
          <w:trHeight w:val="184"/>
        </w:trPr>
        <w:tc>
          <w:tcPr>
            <w:tcW w:w="46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2040" w:type="dxa"/>
            <w:vAlign w:val="bottom"/>
          </w:tcPr>
          <w:p>
            <w:pPr>
              <w:spacing w:after="0"/>
              <w:rPr>
                <w:sz w:val="16"/>
                <w:szCs w:val="16"/>
                <w:color w:val="auto"/>
              </w:rPr>
            </w:pPr>
          </w:p>
        </w:tc>
        <w:tc>
          <w:tcPr>
            <w:tcW w:w="2440" w:type="dxa"/>
            <w:vAlign w:val="bottom"/>
            <w:gridSpan w:val="2"/>
          </w:tcPr>
          <w:p>
            <w:pPr>
              <w:jc w:val="center"/>
              <w:ind w:right="1220"/>
              <w:spacing w:after="0"/>
              <w:rPr>
                <w:sz w:val="20"/>
                <w:szCs w:val="20"/>
                <w:color w:val="auto"/>
              </w:rPr>
            </w:pPr>
            <w:r>
              <w:rPr>
                <w:rFonts w:ascii="Times New Roman" w:cs="Times New Roman" w:eastAsia="Times New Roman" w:hAnsi="Times New Roman"/>
                <w:sz w:val="16"/>
                <w:szCs w:val="16"/>
                <w:color w:val="auto"/>
              </w:rPr>
              <w:t>Trading Symbol(s)</w:t>
            </w:r>
          </w:p>
        </w:tc>
        <w:tc>
          <w:tcPr>
            <w:tcW w:w="2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
        </w:trPr>
        <w:tc>
          <w:tcPr>
            <w:tcW w:w="4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r>
      <w:tr>
        <w:trPr>
          <w:trHeight w:val="230"/>
        </w:trPr>
        <w:tc>
          <w:tcPr>
            <w:tcW w:w="3680" w:type="dxa"/>
            <w:vAlign w:val="bottom"/>
            <w:gridSpan w:val="3"/>
          </w:tcPr>
          <w:p>
            <w:pPr>
              <w:jc w:val="center"/>
              <w:ind w:right="158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2440" w:type="dxa"/>
            <w:vAlign w:val="bottom"/>
            <w:gridSpan w:val="2"/>
          </w:tcPr>
          <w:p>
            <w:pPr>
              <w:jc w:val="center"/>
              <w:ind w:right="1220"/>
              <w:spacing w:after="0"/>
              <w:rPr>
                <w:sz w:val="20"/>
                <w:szCs w:val="20"/>
                <w:color w:val="auto"/>
              </w:rPr>
            </w:pPr>
            <w:r>
              <w:rPr>
                <w:rFonts w:ascii="Times New Roman" w:cs="Times New Roman" w:eastAsia="Times New Roman" w:hAnsi="Times New Roman"/>
                <w:sz w:val="16"/>
                <w:szCs w:val="16"/>
                <w:color w:val="auto"/>
              </w:rPr>
              <w:t>GM</w:t>
            </w:r>
          </w:p>
        </w:tc>
        <w:tc>
          <w:tcPr>
            <w:tcW w:w="2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bl>
    <w:p>
      <w:pPr>
        <w:spacing w:after="0" w:line="208" w:lineRule="exact"/>
        <w:rPr>
          <w:sz w:val="24"/>
          <w:szCs w:val="24"/>
          <w:color w:val="auto"/>
        </w:rPr>
      </w:pPr>
    </w:p>
    <w:p>
      <w:pPr>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6"/>
          <w:szCs w:val="16"/>
          <w:color w:val="auto"/>
        </w:rPr>
        <w:t>☐</w:t>
      </w:r>
    </w:p>
    <w:p>
      <w:pPr>
        <w:spacing w:after="0" w:line="169" w:lineRule="exact"/>
        <w:rPr>
          <w:sz w:val="24"/>
          <w:szCs w:val="24"/>
          <w:color w:val="auto"/>
        </w:rPr>
      </w:pPr>
    </w:p>
    <w:p>
      <w:pPr>
        <w:ind w:right="44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728980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On April 28, 2026, General Motors Company (GM) issued a news release and supplemental materials on the subject of its 2026 first quarter consolidated earnings. The news release and supplemental materials are attached as Exhibit 99.1.</w:t>
      </w:r>
    </w:p>
    <w:p>
      <w:pPr>
        <w:spacing w:after="0" w:line="189"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Charts furnished to securities analysts in connection with GM's 2026 first quarter consolidated earnings release are available on GM's website at www.gm.com/investors/earnings-releases.html.</w:t>
      </w:r>
    </w:p>
    <w:p>
      <w:pPr>
        <w:spacing w:after="0" w:line="189"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and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that filing.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560" w:type="dxa"/>
            <w:vAlign w:val="bottom"/>
            <w:gridSpan w:val="4"/>
          </w:tcPr>
          <w:p>
            <w:pPr>
              <w:ind w:left="1560"/>
              <w:spacing w:after="0"/>
              <w:rPr>
                <w:sz w:val="20"/>
                <w:szCs w:val="20"/>
                <w:color w:val="auto"/>
              </w:rPr>
            </w:pPr>
            <w:r>
              <w:rPr>
                <w:rFonts w:ascii="Times New Roman" w:cs="Times New Roman" w:eastAsia="Times New Roman" w:hAnsi="Times New Roman"/>
                <w:sz w:val="18"/>
                <w:szCs w:val="18"/>
                <w:b w:val="1"/>
                <w:bCs w:val="1"/>
                <w:color w:val="auto"/>
              </w:rPr>
              <w:t>EXHIBIT</w:t>
            </w:r>
          </w:p>
        </w:tc>
      </w:tr>
      <w:tr>
        <w:trPr>
          <w:trHeight w:val="237"/>
        </w:trPr>
        <w:tc>
          <w:tcPr>
            <w:tcW w:w="40" w:type="dxa"/>
            <w:vAlign w:val="bottom"/>
          </w:tcPr>
          <w:p>
            <w:pPr>
              <w:spacing w:after="0"/>
              <w:rPr>
                <w:sz w:val="20"/>
                <w:szCs w:val="20"/>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c>
          <w:tcPr>
            <w:tcW w:w="760" w:type="dxa"/>
            <w:vAlign w:val="bottom"/>
            <w:tcBorders>
              <w:top w:val="single" w:sz="8" w:color="auto"/>
            </w:tcBorders>
          </w:tcPr>
          <w:p>
            <w:pPr>
              <w:spacing w:after="0"/>
              <w:rPr>
                <w:sz w:val="20"/>
                <w:szCs w:val="20"/>
                <w:color w:val="auto"/>
              </w:rPr>
            </w:pPr>
          </w:p>
        </w:tc>
        <w:tc>
          <w:tcPr>
            <w:tcW w:w="5240" w:type="dxa"/>
            <w:vAlign w:val="bottom"/>
            <w:gridSpan w:val="2"/>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r>
        <w:trPr>
          <w:trHeight w:val="479"/>
        </w:trPr>
        <w:tc>
          <w:tcPr>
            <w:tcW w:w="40" w:type="dxa"/>
            <w:vAlign w:val="bottom"/>
          </w:tcPr>
          <w:p>
            <w:pPr>
              <w:spacing w:after="0"/>
              <w:rPr>
                <w:sz w:val="24"/>
                <w:szCs w:val="24"/>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99.1</w:t>
            </w:r>
          </w:p>
        </w:tc>
        <w:tc>
          <w:tcPr>
            <w:tcW w:w="84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News Release and Financial Highlights Dated April 28, 2026</w:t>
            </w:r>
          </w:p>
        </w:tc>
      </w:tr>
      <w:tr>
        <w:trPr>
          <w:trHeight w:val="20"/>
        </w:trPr>
        <w:tc>
          <w:tcPr>
            <w:tcW w:w="4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4400" w:type="dxa"/>
            <w:vAlign w:val="bottom"/>
            <w:gridSpan w:val="4"/>
            <w:shd w:val="clear" w:color="auto" w:fill="0000FF"/>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104</w:t>
            </w:r>
          </w:p>
        </w:tc>
        <w:tc>
          <w:tcPr>
            <w:tcW w:w="8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222"/>
        </w:trPr>
        <w:tc>
          <w:tcPr>
            <w:tcW w:w="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780" w:firstLine="16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GENERAL MOTORS COMPANY (Registrant)</w:t>
            </w:r>
          </w:p>
        </w:tc>
      </w:tr>
      <w:tr>
        <w:trPr>
          <w:trHeight w:val="743"/>
        </w:trPr>
        <w:tc>
          <w:tcPr>
            <w:tcW w:w="6060" w:type="dxa"/>
            <w:vAlign w:val="bottom"/>
          </w:tcPr>
          <w:p>
            <w:pPr>
              <w:ind w:left="540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T. HATTO</w:t>
            </w:r>
          </w:p>
        </w:tc>
      </w:tr>
      <w:tr>
        <w:trPr>
          <w:trHeight w:val="169"/>
        </w:trPr>
        <w:tc>
          <w:tcPr>
            <w:tcW w:w="606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Date: April 28, 2026</w:t>
            </w:r>
          </w:p>
        </w:tc>
        <w:tc>
          <w:tcPr>
            <w:tcW w:w="51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Christopher T. Hatto, Vice President, Global Business Solutions and</w:t>
            </w:r>
          </w:p>
        </w:tc>
      </w:tr>
      <w:tr>
        <w:trPr>
          <w:trHeight w:val="234"/>
        </w:trPr>
        <w:tc>
          <w:tcPr>
            <w:tcW w:w="606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Chief Accounting Officer</w:t>
            </w:r>
          </w:p>
        </w:tc>
      </w:tr>
    </w:tbl>
    <w:p>
      <w:pPr>
        <w:sectPr>
          <w:pgSz w:w="11900" w:h="16838" w:orient="portrait"/>
          <w:cols w:equalWidth="0" w:num="1">
            <w:col w:w="11220"/>
          </w:cols>
          <w:pgMar w:left="320" w:top="1130"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714500" cy="3600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450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9640"/>
        <w:spacing w:after="0"/>
        <w:rPr>
          <w:sz w:val="20"/>
          <w:szCs w:val="20"/>
          <w:color w:val="auto"/>
        </w:rPr>
      </w:pPr>
      <w:r>
        <w:rPr>
          <w:rFonts w:ascii="Arial" w:cs="Arial" w:eastAsia="Arial" w:hAnsi="Arial"/>
          <w:sz w:val="52"/>
          <w:szCs w:val="52"/>
          <w:color w:val="6D6D6D"/>
        </w:rPr>
        <w:t>News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219075</wp:posOffset>
            </wp:positionV>
            <wp:extent cx="69348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348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For Release: Tuesday, April 28, 2026, at 6:30 a.m. ET</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GM releases 2026 first-quarter results, declares quarterly dividend</w:t>
      </w:r>
    </w:p>
    <w:p>
      <w:pPr>
        <w:spacing w:after="0" w:line="24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color w:val="auto"/>
        </w:rPr>
        <w:t xml:space="preserve">DETROIT </w:t>
      </w:r>
      <w:r>
        <w:rPr>
          <w:rFonts w:ascii="Arial" w:cs="Arial" w:eastAsia="Arial" w:hAnsi="Arial"/>
          <w:sz w:val="18"/>
          <w:szCs w:val="18"/>
          <w:color w:val="auto"/>
        </w:rPr>
        <w:t>– General Motors (NYSE: GM) today reported first-quarter 2026 revenue of $43.6 billion, net income attributable to stockholders of</w:t>
      </w:r>
      <w:r>
        <w:rPr>
          <w:rFonts w:ascii="Arial" w:cs="Arial" w:eastAsia="Arial" w:hAnsi="Arial"/>
          <w:sz w:val="18"/>
          <w:szCs w:val="18"/>
          <w:b w:val="1"/>
          <w:bCs w:val="1"/>
          <w:color w:val="auto"/>
        </w:rPr>
        <w:t xml:space="preserve"> </w:t>
      </w:r>
      <w:r>
        <w:rPr>
          <w:rFonts w:ascii="Arial" w:cs="Arial" w:eastAsia="Arial" w:hAnsi="Arial"/>
          <w:sz w:val="18"/>
          <w:szCs w:val="18"/>
          <w:color w:val="auto"/>
        </w:rPr>
        <w:t>$2.6 billion, and EBIT-adjusted of $4.3 billion.</w:t>
      </w:r>
    </w:p>
    <w:p>
      <w:pPr>
        <w:spacing w:after="0" w:line="153" w:lineRule="exact"/>
        <w:rPr>
          <w:sz w:val="20"/>
          <w:szCs w:val="20"/>
          <w:color w:val="auto"/>
        </w:rPr>
      </w:pPr>
    </w:p>
    <w:p>
      <w:pPr>
        <w:jc w:val="both"/>
        <w:ind w:right="120"/>
        <w:spacing w:after="0" w:line="283" w:lineRule="auto"/>
        <w:rPr>
          <w:sz w:val="20"/>
          <w:szCs w:val="20"/>
          <w:color w:val="auto"/>
        </w:rPr>
      </w:pPr>
      <w:r>
        <w:rPr>
          <w:rFonts w:ascii="Arial" w:cs="Arial" w:eastAsia="Arial" w:hAnsi="Arial"/>
          <w:sz w:val="17"/>
          <w:szCs w:val="17"/>
          <w:color w:val="auto"/>
        </w:rPr>
        <w:t>The company is raising its full-year 2026 EBIT adjusted guidance due to a favorable adjustment of approximately $0.5 billion resulting from the U.S. Supreme Court decision regarding certain U.S. tariffs that were paid under the International Emergency Economic Powers Act. The company now expects gross tariff costs of $2.5 billion to $3.5 billion in 2026, down from the original estimate of $3.0 billion to $4.0 billion.</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4960" w:type="dxa"/>
            <w:vAlign w:val="bottom"/>
          </w:tcPr>
          <w:p>
            <w:pPr>
              <w:spacing w:after="0"/>
              <w:rPr>
                <w:sz w:val="19"/>
                <w:szCs w:val="19"/>
                <w:color w:val="auto"/>
              </w:rPr>
            </w:pPr>
          </w:p>
        </w:tc>
        <w:tc>
          <w:tcPr>
            <w:tcW w:w="2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Updated 2026 guidance</w:t>
            </w:r>
          </w:p>
        </w:tc>
        <w:tc>
          <w:tcPr>
            <w:tcW w:w="372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Previous 2026 guidance</w:t>
            </w:r>
          </w:p>
        </w:tc>
      </w:tr>
      <w:tr>
        <w:trPr>
          <w:trHeight w:val="215"/>
        </w:trPr>
        <w:tc>
          <w:tcPr>
            <w:tcW w:w="4960" w:type="dxa"/>
            <w:vAlign w:val="bottom"/>
          </w:tcPr>
          <w:p>
            <w:pPr>
              <w:spacing w:after="0"/>
              <w:rPr>
                <w:sz w:val="20"/>
                <w:szCs w:val="20"/>
                <w:color w:val="auto"/>
              </w:rPr>
            </w:pPr>
            <w:r>
              <w:rPr>
                <w:rFonts w:ascii="Arial" w:cs="Arial" w:eastAsia="Arial" w:hAnsi="Arial"/>
                <w:sz w:val="16"/>
                <w:szCs w:val="16"/>
                <w:color w:val="auto"/>
              </w:rPr>
              <w:t>Net income attributable to stockholders</w:t>
            </w:r>
          </w:p>
        </w:tc>
        <w:tc>
          <w:tcPr>
            <w:tcW w:w="2520" w:type="dxa"/>
            <w:vAlign w:val="bottom"/>
          </w:tcPr>
          <w:p>
            <w:pPr>
              <w:ind w:left="20"/>
              <w:spacing w:after="0"/>
              <w:rPr>
                <w:sz w:val="20"/>
                <w:szCs w:val="20"/>
                <w:color w:val="auto"/>
              </w:rPr>
            </w:pPr>
            <w:r>
              <w:rPr>
                <w:rFonts w:ascii="Arial" w:cs="Arial" w:eastAsia="Arial" w:hAnsi="Arial"/>
                <w:sz w:val="16"/>
                <w:szCs w:val="16"/>
                <w:color w:val="auto"/>
              </w:rPr>
              <w:t>$9.9 billion - $11.4 billion</w:t>
            </w:r>
          </w:p>
        </w:tc>
        <w:tc>
          <w:tcPr>
            <w:tcW w:w="3720" w:type="dxa"/>
            <w:vAlign w:val="bottom"/>
          </w:tcPr>
          <w:p>
            <w:pPr>
              <w:ind w:left="620"/>
              <w:spacing w:after="0"/>
              <w:rPr>
                <w:sz w:val="20"/>
                <w:szCs w:val="20"/>
                <w:color w:val="auto"/>
              </w:rPr>
            </w:pPr>
            <w:r>
              <w:rPr>
                <w:rFonts w:ascii="Arial" w:cs="Arial" w:eastAsia="Arial" w:hAnsi="Arial"/>
                <w:sz w:val="16"/>
                <w:szCs w:val="16"/>
                <w:color w:val="auto"/>
              </w:rPr>
              <w:t>$10.3 billion - $11.7 billion</w:t>
            </w:r>
          </w:p>
        </w:tc>
      </w:tr>
      <w:tr>
        <w:trPr>
          <w:trHeight w:val="229"/>
        </w:trPr>
        <w:tc>
          <w:tcPr>
            <w:tcW w:w="4960" w:type="dxa"/>
            <w:vAlign w:val="bottom"/>
          </w:tcPr>
          <w:p>
            <w:pPr>
              <w:spacing w:after="0"/>
              <w:rPr>
                <w:sz w:val="20"/>
                <w:szCs w:val="20"/>
                <w:color w:val="auto"/>
              </w:rPr>
            </w:pPr>
            <w:r>
              <w:rPr>
                <w:rFonts w:ascii="Arial" w:cs="Arial" w:eastAsia="Arial" w:hAnsi="Arial"/>
                <w:sz w:val="16"/>
                <w:szCs w:val="16"/>
                <w:color w:val="auto"/>
              </w:rPr>
              <w:t>EBIT-adjusted</w:t>
            </w:r>
          </w:p>
        </w:tc>
        <w:tc>
          <w:tcPr>
            <w:tcW w:w="2520" w:type="dxa"/>
            <w:vAlign w:val="bottom"/>
          </w:tcPr>
          <w:p>
            <w:pPr>
              <w:ind w:left="20"/>
              <w:spacing w:after="0"/>
              <w:rPr>
                <w:sz w:val="20"/>
                <w:szCs w:val="20"/>
                <w:color w:val="auto"/>
              </w:rPr>
            </w:pPr>
            <w:r>
              <w:rPr>
                <w:rFonts w:ascii="Arial" w:cs="Arial" w:eastAsia="Arial" w:hAnsi="Arial"/>
                <w:sz w:val="16"/>
                <w:szCs w:val="16"/>
                <w:color w:val="auto"/>
              </w:rPr>
              <w:t>$13.5 billion - $15.5 billion</w:t>
            </w:r>
          </w:p>
        </w:tc>
        <w:tc>
          <w:tcPr>
            <w:tcW w:w="3720" w:type="dxa"/>
            <w:vAlign w:val="bottom"/>
          </w:tcPr>
          <w:p>
            <w:pPr>
              <w:ind w:left="620"/>
              <w:spacing w:after="0"/>
              <w:rPr>
                <w:sz w:val="20"/>
                <w:szCs w:val="20"/>
                <w:color w:val="auto"/>
              </w:rPr>
            </w:pPr>
            <w:r>
              <w:rPr>
                <w:rFonts w:ascii="Arial" w:cs="Arial" w:eastAsia="Arial" w:hAnsi="Arial"/>
                <w:sz w:val="16"/>
                <w:szCs w:val="16"/>
                <w:color w:val="auto"/>
              </w:rPr>
              <w:t>$13.0 billion - $15.0 billion</w:t>
            </w:r>
          </w:p>
        </w:tc>
      </w:tr>
      <w:tr>
        <w:trPr>
          <w:trHeight w:val="230"/>
        </w:trPr>
        <w:tc>
          <w:tcPr>
            <w:tcW w:w="4960" w:type="dxa"/>
            <w:vAlign w:val="bottom"/>
          </w:tcPr>
          <w:p>
            <w:pPr>
              <w:spacing w:after="0"/>
              <w:rPr>
                <w:sz w:val="20"/>
                <w:szCs w:val="20"/>
                <w:color w:val="auto"/>
              </w:rPr>
            </w:pPr>
            <w:r>
              <w:rPr>
                <w:rFonts w:ascii="Arial" w:cs="Arial" w:eastAsia="Arial" w:hAnsi="Arial"/>
                <w:sz w:val="16"/>
                <w:szCs w:val="16"/>
                <w:color w:val="auto"/>
              </w:rPr>
              <w:t>Automotive operating cash flow</w:t>
            </w:r>
          </w:p>
        </w:tc>
        <w:tc>
          <w:tcPr>
            <w:tcW w:w="2520" w:type="dxa"/>
            <w:vAlign w:val="bottom"/>
          </w:tcPr>
          <w:p>
            <w:pPr>
              <w:ind w:left="20"/>
              <w:spacing w:after="0"/>
              <w:rPr>
                <w:sz w:val="20"/>
                <w:szCs w:val="20"/>
                <w:color w:val="auto"/>
              </w:rPr>
            </w:pPr>
            <w:r>
              <w:rPr>
                <w:rFonts w:ascii="Arial" w:cs="Arial" w:eastAsia="Arial" w:hAnsi="Arial"/>
                <w:sz w:val="16"/>
                <w:szCs w:val="16"/>
                <w:color w:val="auto"/>
              </w:rPr>
              <w:t>$16.8 billion - $20.8 billion</w:t>
            </w:r>
          </w:p>
        </w:tc>
        <w:tc>
          <w:tcPr>
            <w:tcW w:w="3720" w:type="dxa"/>
            <w:vAlign w:val="bottom"/>
          </w:tcPr>
          <w:p>
            <w:pPr>
              <w:ind w:left="620"/>
              <w:spacing w:after="0"/>
              <w:rPr>
                <w:sz w:val="20"/>
                <w:szCs w:val="20"/>
                <w:color w:val="auto"/>
              </w:rPr>
            </w:pPr>
            <w:r>
              <w:rPr>
                <w:rFonts w:ascii="Arial" w:cs="Arial" w:eastAsia="Arial" w:hAnsi="Arial"/>
                <w:sz w:val="16"/>
                <w:szCs w:val="16"/>
                <w:color w:val="auto"/>
              </w:rPr>
              <w:t>$19.0 billion - $23.0 billion</w:t>
            </w:r>
          </w:p>
        </w:tc>
      </w:tr>
      <w:tr>
        <w:trPr>
          <w:trHeight w:val="229"/>
        </w:trPr>
        <w:tc>
          <w:tcPr>
            <w:tcW w:w="4960" w:type="dxa"/>
            <w:vAlign w:val="bottom"/>
          </w:tcPr>
          <w:p>
            <w:pPr>
              <w:spacing w:after="0"/>
              <w:rPr>
                <w:sz w:val="20"/>
                <w:szCs w:val="20"/>
                <w:color w:val="auto"/>
              </w:rPr>
            </w:pPr>
            <w:r>
              <w:rPr>
                <w:rFonts w:ascii="Arial" w:cs="Arial" w:eastAsia="Arial" w:hAnsi="Arial"/>
                <w:sz w:val="16"/>
                <w:szCs w:val="16"/>
                <w:color w:val="auto"/>
              </w:rPr>
              <w:t>Adjusted automotive free cash flow</w:t>
            </w:r>
          </w:p>
        </w:tc>
        <w:tc>
          <w:tcPr>
            <w:tcW w:w="2520" w:type="dxa"/>
            <w:vAlign w:val="bottom"/>
          </w:tcPr>
          <w:p>
            <w:pPr>
              <w:ind w:left="20"/>
              <w:spacing w:after="0"/>
              <w:rPr>
                <w:sz w:val="20"/>
                <w:szCs w:val="20"/>
                <w:color w:val="auto"/>
              </w:rPr>
            </w:pPr>
            <w:r>
              <w:rPr>
                <w:rFonts w:ascii="Arial" w:cs="Arial" w:eastAsia="Arial" w:hAnsi="Arial"/>
                <w:sz w:val="16"/>
                <w:szCs w:val="16"/>
                <w:color w:val="auto"/>
              </w:rPr>
              <w:t>$9.0 billion - $11.0 billion</w:t>
            </w:r>
          </w:p>
        </w:tc>
        <w:tc>
          <w:tcPr>
            <w:tcW w:w="3720" w:type="dxa"/>
            <w:vAlign w:val="bottom"/>
          </w:tcPr>
          <w:p>
            <w:pPr>
              <w:ind w:left="620"/>
              <w:spacing w:after="0"/>
              <w:rPr>
                <w:sz w:val="20"/>
                <w:szCs w:val="20"/>
                <w:color w:val="auto"/>
              </w:rPr>
            </w:pPr>
            <w:r>
              <w:rPr>
                <w:rFonts w:ascii="Arial" w:cs="Arial" w:eastAsia="Arial" w:hAnsi="Arial"/>
                <w:sz w:val="16"/>
                <w:szCs w:val="16"/>
                <w:color w:val="auto"/>
              </w:rPr>
              <w:t>$9.0 billion - $11.0 billion</w:t>
            </w:r>
          </w:p>
        </w:tc>
      </w:tr>
      <w:tr>
        <w:trPr>
          <w:trHeight w:val="230"/>
        </w:trPr>
        <w:tc>
          <w:tcPr>
            <w:tcW w:w="4960" w:type="dxa"/>
            <w:vAlign w:val="bottom"/>
          </w:tcPr>
          <w:p>
            <w:pPr>
              <w:spacing w:after="0"/>
              <w:rPr>
                <w:sz w:val="20"/>
                <w:szCs w:val="20"/>
                <w:color w:val="auto"/>
              </w:rPr>
            </w:pPr>
            <w:r>
              <w:rPr>
                <w:rFonts w:ascii="Arial" w:cs="Arial" w:eastAsia="Arial" w:hAnsi="Arial"/>
                <w:sz w:val="16"/>
                <w:szCs w:val="16"/>
                <w:color w:val="auto"/>
              </w:rPr>
              <w:t>EPS-diluted</w:t>
            </w:r>
          </w:p>
        </w:tc>
        <w:tc>
          <w:tcPr>
            <w:tcW w:w="2520" w:type="dxa"/>
            <w:vAlign w:val="bottom"/>
          </w:tcPr>
          <w:p>
            <w:pPr>
              <w:ind w:left="20"/>
              <w:spacing w:after="0"/>
              <w:rPr>
                <w:sz w:val="20"/>
                <w:szCs w:val="20"/>
                <w:color w:val="auto"/>
              </w:rPr>
            </w:pPr>
            <w:r>
              <w:rPr>
                <w:rFonts w:ascii="Arial" w:cs="Arial" w:eastAsia="Arial" w:hAnsi="Arial"/>
                <w:sz w:val="16"/>
                <w:szCs w:val="16"/>
                <w:color w:val="auto"/>
              </w:rPr>
              <w:t>$10.62 - $12.62</w:t>
            </w:r>
          </w:p>
        </w:tc>
        <w:tc>
          <w:tcPr>
            <w:tcW w:w="3720" w:type="dxa"/>
            <w:vAlign w:val="bottom"/>
          </w:tcPr>
          <w:p>
            <w:pPr>
              <w:ind w:left="620"/>
              <w:spacing w:after="0"/>
              <w:rPr>
                <w:sz w:val="20"/>
                <w:szCs w:val="20"/>
                <w:color w:val="auto"/>
              </w:rPr>
            </w:pPr>
            <w:r>
              <w:rPr>
                <w:rFonts w:ascii="Arial" w:cs="Arial" w:eastAsia="Arial" w:hAnsi="Arial"/>
                <w:sz w:val="16"/>
                <w:szCs w:val="16"/>
                <w:color w:val="auto"/>
              </w:rPr>
              <w:t>$11.00 - $13.00</w:t>
            </w:r>
          </w:p>
        </w:tc>
      </w:tr>
      <w:tr>
        <w:trPr>
          <w:trHeight w:val="229"/>
        </w:trPr>
        <w:tc>
          <w:tcPr>
            <w:tcW w:w="4960" w:type="dxa"/>
            <w:vAlign w:val="bottom"/>
          </w:tcPr>
          <w:p>
            <w:pPr>
              <w:spacing w:after="0"/>
              <w:rPr>
                <w:sz w:val="20"/>
                <w:szCs w:val="20"/>
                <w:color w:val="auto"/>
              </w:rPr>
            </w:pPr>
            <w:r>
              <w:rPr>
                <w:rFonts w:ascii="Arial" w:cs="Arial" w:eastAsia="Arial" w:hAnsi="Arial"/>
                <w:sz w:val="16"/>
                <w:szCs w:val="16"/>
                <w:color w:val="auto"/>
              </w:rPr>
              <w:t>EPS-diluted-adjusted</w:t>
            </w:r>
          </w:p>
        </w:tc>
        <w:tc>
          <w:tcPr>
            <w:tcW w:w="2520" w:type="dxa"/>
            <w:vAlign w:val="bottom"/>
          </w:tcPr>
          <w:p>
            <w:pPr>
              <w:ind w:left="20"/>
              <w:spacing w:after="0"/>
              <w:rPr>
                <w:sz w:val="20"/>
                <w:szCs w:val="20"/>
                <w:color w:val="auto"/>
              </w:rPr>
            </w:pPr>
            <w:r>
              <w:rPr>
                <w:rFonts w:ascii="Arial" w:cs="Arial" w:eastAsia="Arial" w:hAnsi="Arial"/>
                <w:sz w:val="16"/>
                <w:szCs w:val="16"/>
                <w:color w:val="auto"/>
              </w:rPr>
              <w:t>$11.50 - $13.50</w:t>
            </w:r>
          </w:p>
        </w:tc>
        <w:tc>
          <w:tcPr>
            <w:tcW w:w="3720" w:type="dxa"/>
            <w:vAlign w:val="bottom"/>
          </w:tcPr>
          <w:p>
            <w:pPr>
              <w:ind w:left="620"/>
              <w:spacing w:after="0"/>
              <w:rPr>
                <w:sz w:val="20"/>
                <w:szCs w:val="20"/>
                <w:color w:val="auto"/>
              </w:rPr>
            </w:pPr>
            <w:r>
              <w:rPr>
                <w:rFonts w:ascii="Arial" w:cs="Arial" w:eastAsia="Arial" w:hAnsi="Arial"/>
                <w:sz w:val="16"/>
                <w:szCs w:val="16"/>
                <w:color w:val="auto"/>
              </w:rPr>
              <w:t>$11.00 - $13.00</w:t>
            </w:r>
          </w:p>
        </w:tc>
      </w:tr>
    </w:tbl>
    <w:p>
      <w:pPr>
        <w:spacing w:after="0" w:line="321"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GM announced today that its Board of Directors has declared a quarterly cash dividend on the company's outstanding common stock of $0.18 per share, payable June 18, 2026, to holders of the company's common stock at the close of trading on June 5, 2026.</w:t>
      </w:r>
    </w:p>
    <w:p>
      <w:pPr>
        <w:spacing w:after="0" w:line="181"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An overview of quarterly results and financial highlights appears below. Visit the GM Investor Relations website to download the company's earnings deck and GM Chair and CEO Mary Barra's Letter to Shareholders.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for investors and analysts</w:t>
      </w:r>
    </w:p>
    <w:p>
      <w:pPr>
        <w:spacing w:after="0" w:line="239" w:lineRule="exact"/>
        <w:rPr>
          <w:sz w:val="20"/>
          <w:szCs w:val="20"/>
          <w:color w:val="auto"/>
        </w:rPr>
      </w:pPr>
    </w:p>
    <w:p>
      <w:pPr>
        <w:ind w:right="160"/>
        <w:spacing w:after="0" w:line="270" w:lineRule="auto"/>
        <w:rPr>
          <w:sz w:val="20"/>
          <w:szCs w:val="20"/>
          <w:color w:val="auto"/>
        </w:rPr>
      </w:pPr>
      <w:r>
        <w:rPr>
          <w:rFonts w:ascii="Arial" w:cs="Arial" w:eastAsia="Arial" w:hAnsi="Arial"/>
          <w:sz w:val="18"/>
          <w:szCs w:val="18"/>
          <w:color w:val="auto"/>
        </w:rPr>
        <w:t>Mary Barra and GM Chief Financial Officer Paul Jacobson will host a conference call for the</w:t>
      </w:r>
      <w:r>
        <w:rPr>
          <w:rFonts w:ascii="Times New Roman" w:cs="Times New Roman" w:eastAsia="Times New Roman" w:hAnsi="Times New Roman"/>
          <w:sz w:val="18"/>
          <w:szCs w:val="18"/>
          <w:color w:val="auto"/>
        </w:rPr>
        <w:t> </w:t>
      </w:r>
      <w:r>
        <w:rPr>
          <w:rFonts w:ascii="Arial" w:cs="Arial" w:eastAsia="Arial" w:hAnsi="Arial"/>
          <w:sz w:val="18"/>
          <w:szCs w:val="18"/>
          <w:color w:val="auto"/>
        </w:rPr>
        <w:t>investment community at 8:30 a.m. ET today to discuss these results.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Conference call details are as follows:</w:t>
      </w:r>
    </w:p>
    <w:p>
      <w:pPr>
        <w:spacing w:after="0" w:line="35" w:lineRule="exact"/>
        <w:rPr>
          <w:sz w:val="20"/>
          <w:szCs w:val="20"/>
          <w:color w:val="auto"/>
        </w:rPr>
      </w:pPr>
    </w:p>
    <w:p>
      <w:pPr>
        <w:ind w:left="640" w:hanging="308"/>
        <w:spacing w:after="0"/>
        <w:tabs>
          <w:tab w:leader="none" w:pos="640" w:val="left"/>
        </w:tabs>
        <w:numPr>
          <w:ilvl w:val="0"/>
          <w:numId w:val="2"/>
        </w:numPr>
        <w:rPr>
          <w:rFonts w:ascii="Arial" w:cs="Arial" w:eastAsia="Arial" w:hAnsi="Arial"/>
          <w:sz w:val="22"/>
          <w:szCs w:val="22"/>
          <w:color w:val="auto"/>
        </w:rPr>
      </w:pPr>
      <w:r>
        <w:rPr>
          <w:rFonts w:ascii="Arial" w:cs="Arial" w:eastAsia="Arial" w:hAnsi="Arial"/>
          <w:sz w:val="18"/>
          <w:szCs w:val="18"/>
          <w:color w:val="auto"/>
        </w:rPr>
        <w:t>1-800-857-9821 (U.S.)</w:t>
      </w:r>
    </w:p>
    <w:p>
      <w:pPr>
        <w:spacing w:after="0" w:line="10" w:lineRule="exact"/>
        <w:rPr>
          <w:rFonts w:ascii="Arial" w:cs="Arial" w:eastAsia="Arial" w:hAnsi="Arial"/>
          <w:sz w:val="22"/>
          <w:szCs w:val="22"/>
          <w:color w:val="auto"/>
        </w:rPr>
      </w:pPr>
    </w:p>
    <w:p>
      <w:pPr>
        <w:ind w:left="640" w:hanging="308"/>
        <w:spacing w:after="0" w:line="233" w:lineRule="auto"/>
        <w:tabs>
          <w:tab w:leader="none" w:pos="640" w:val="left"/>
        </w:tabs>
        <w:numPr>
          <w:ilvl w:val="0"/>
          <w:numId w:val="2"/>
        </w:numPr>
        <w:rPr>
          <w:rFonts w:ascii="Arial" w:cs="Arial" w:eastAsia="Arial" w:hAnsi="Arial"/>
          <w:sz w:val="22"/>
          <w:szCs w:val="22"/>
          <w:color w:val="auto"/>
        </w:rPr>
      </w:pPr>
      <w:r>
        <w:rPr>
          <w:rFonts w:ascii="Arial" w:cs="Arial" w:eastAsia="Arial" w:hAnsi="Arial"/>
          <w:sz w:val="18"/>
          <w:szCs w:val="18"/>
          <w:color w:val="auto"/>
        </w:rPr>
        <w:t>1-517-308-9481 (international/caller-paid)</w:t>
      </w:r>
    </w:p>
    <w:p>
      <w:pPr>
        <w:spacing w:after="0" w:line="12" w:lineRule="exact"/>
        <w:rPr>
          <w:rFonts w:ascii="Arial" w:cs="Arial" w:eastAsia="Arial" w:hAnsi="Arial"/>
          <w:sz w:val="22"/>
          <w:szCs w:val="22"/>
          <w:color w:val="auto"/>
        </w:rPr>
      </w:pPr>
    </w:p>
    <w:p>
      <w:pPr>
        <w:ind w:left="640" w:hanging="308"/>
        <w:spacing w:after="0"/>
        <w:tabs>
          <w:tab w:leader="none" w:pos="640" w:val="left"/>
        </w:tabs>
        <w:numPr>
          <w:ilvl w:val="0"/>
          <w:numId w:val="2"/>
        </w:numPr>
        <w:rPr>
          <w:rFonts w:ascii="Arial" w:cs="Arial" w:eastAsia="Arial" w:hAnsi="Arial"/>
          <w:sz w:val="22"/>
          <w:szCs w:val="22"/>
          <w:color w:val="auto"/>
        </w:rPr>
      </w:pPr>
      <w:r>
        <w:rPr>
          <w:rFonts w:ascii="Arial" w:cs="Arial" w:eastAsia="Arial" w:hAnsi="Arial"/>
          <w:sz w:val="18"/>
          <w:szCs w:val="18"/>
          <w:b w:val="1"/>
          <w:bCs w:val="1"/>
          <w:color w:val="auto"/>
        </w:rPr>
        <w:t xml:space="preserve">Conference call passcode: </w:t>
      </w:r>
      <w:r>
        <w:rPr>
          <w:rFonts w:ascii="Arial" w:cs="Arial" w:eastAsia="Arial" w:hAnsi="Arial"/>
          <w:sz w:val="18"/>
          <w:szCs w:val="18"/>
          <w:color w:val="auto"/>
        </w:rPr>
        <w:t>General Motors</w:t>
      </w:r>
    </w:p>
    <w:p>
      <w:pPr>
        <w:spacing w:after="0" w:line="2" w:lineRule="exact"/>
        <w:rPr>
          <w:rFonts w:ascii="Arial" w:cs="Arial" w:eastAsia="Arial" w:hAnsi="Arial"/>
          <w:sz w:val="22"/>
          <w:szCs w:val="22"/>
          <w:color w:val="auto"/>
        </w:rPr>
      </w:pPr>
    </w:p>
    <w:p>
      <w:pPr>
        <w:ind w:left="640" w:hanging="308"/>
        <w:spacing w:after="0" w:line="233" w:lineRule="auto"/>
        <w:tabs>
          <w:tab w:leader="none" w:pos="640" w:val="left"/>
        </w:tabs>
        <w:numPr>
          <w:ilvl w:val="0"/>
          <w:numId w:val="2"/>
        </w:numPr>
        <w:rPr>
          <w:rFonts w:ascii="Arial" w:cs="Arial" w:eastAsia="Arial" w:hAnsi="Arial"/>
          <w:sz w:val="22"/>
          <w:szCs w:val="22"/>
          <w:color w:val="auto"/>
        </w:rPr>
      </w:pPr>
      <w:r>
        <w:rPr>
          <w:rFonts w:ascii="Arial" w:cs="Arial" w:eastAsia="Arial" w:hAnsi="Arial"/>
          <w:sz w:val="18"/>
          <w:szCs w:val="18"/>
          <w:color w:val="auto"/>
        </w:rPr>
        <w:t>An audio replay will be available on the GM Investor Relations website in the Events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16" w:right="339" w:bottom="1440" w:gutter="0" w:footer="0" w:header="0"/>
        </w:sectPr>
      </w:pPr>
    </w:p>
    <w:bookmarkStart w:id="4" w:name="page5"/>
    <w:bookmarkEnd w:id="4"/>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Results Overview</w:t>
      </w: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4840" w:type="dxa"/>
            <w:vAlign w:val="bottom"/>
            <w:vMerge w:val="restart"/>
          </w:tcPr>
          <w:p>
            <w:pPr>
              <w:spacing w:after="0"/>
              <w:rPr>
                <w:sz w:val="20"/>
                <w:szCs w:val="20"/>
                <w:color w:val="auto"/>
              </w:rPr>
            </w:pPr>
            <w:r>
              <w:rPr>
                <w:rFonts w:ascii="Arial" w:cs="Arial" w:eastAsia="Arial" w:hAnsi="Arial"/>
                <w:sz w:val="16"/>
                <w:szCs w:val="16"/>
                <w:i w:val="1"/>
                <w:iCs w:val="1"/>
                <w:color w:val="auto"/>
              </w:rPr>
              <w:t>($M) except per share amounts</w:t>
            </w:r>
          </w:p>
        </w:tc>
        <w:tc>
          <w:tcPr>
            <w:tcW w:w="18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3"/>
          </w:tcPr>
          <w:p>
            <w:pPr>
              <w:jc w:val="right"/>
              <w:ind w:right="739"/>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4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March 31, 2026</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March 31, 2025</w:t>
            </w: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Change</w:t>
            </w:r>
          </w:p>
        </w:tc>
        <w:tc>
          <w:tcPr>
            <w:tcW w:w="14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8"/>
        </w:trPr>
        <w:tc>
          <w:tcPr>
            <w:tcW w:w="4840" w:type="dxa"/>
            <w:vAlign w:val="bottom"/>
          </w:tcPr>
          <w:p>
            <w:pPr>
              <w:spacing w:after="0"/>
              <w:rPr>
                <w:sz w:val="20"/>
                <w:szCs w:val="20"/>
                <w:color w:val="auto"/>
              </w:rPr>
            </w:pPr>
            <w:r>
              <w:rPr>
                <w:rFonts w:ascii="Arial" w:cs="Arial" w:eastAsia="Arial" w:hAnsi="Arial"/>
                <w:sz w:val="16"/>
                <w:szCs w:val="16"/>
                <w:color w:val="auto"/>
              </w:rPr>
              <w:t>Revenue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43,624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44,020</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(395)</w:t>
            </w:r>
          </w:p>
        </w:tc>
        <w:tc>
          <w:tcPr>
            <w:tcW w:w="1420" w:type="dxa"/>
            <w:vAlign w:val="bottom"/>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15"/>
        </w:trPr>
        <w:tc>
          <w:tcPr>
            <w:tcW w:w="4840" w:type="dxa"/>
            <w:vAlign w:val="bottom"/>
          </w:tcPr>
          <w:p>
            <w:pPr>
              <w:spacing w:after="0"/>
              <w:rPr>
                <w:sz w:val="20"/>
                <w:szCs w:val="20"/>
                <w:color w:val="auto"/>
              </w:rPr>
            </w:pPr>
            <w:r>
              <w:rPr>
                <w:rFonts w:ascii="Arial" w:cs="Arial" w:eastAsia="Arial" w:hAnsi="Arial"/>
                <w:sz w:val="16"/>
                <w:szCs w:val="16"/>
                <w:color w:val="auto"/>
              </w:rPr>
              <w:t>Net income (loss) attributable to stockholders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2,627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2,784</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(157)</w:t>
            </w:r>
          </w:p>
        </w:tc>
        <w:tc>
          <w:tcPr>
            <w:tcW w:w="142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6"/>
                <w:szCs w:val="16"/>
                <w:color w:val="auto"/>
              </w:rPr>
              <w:t>EBIT-adjusted</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4,253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3,490</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99"/>
              <w:spacing w:after="0"/>
              <w:rPr>
                <w:sz w:val="20"/>
                <w:szCs w:val="20"/>
                <w:color w:val="auto"/>
              </w:rPr>
            </w:pPr>
            <w:r>
              <w:rPr>
                <w:rFonts w:ascii="Arial" w:cs="Arial" w:eastAsia="Arial" w:hAnsi="Arial"/>
                <w:sz w:val="16"/>
                <w:szCs w:val="16"/>
                <w:color w:val="auto"/>
              </w:rPr>
              <w:t>764</w:t>
            </w:r>
          </w:p>
        </w:tc>
        <w:tc>
          <w:tcPr>
            <w:tcW w:w="1420" w:type="dxa"/>
            <w:vAlign w:val="bottom"/>
          </w:tcPr>
          <w:p>
            <w:pPr>
              <w:jc w:val="right"/>
              <w:spacing w:after="0"/>
              <w:rPr>
                <w:sz w:val="20"/>
                <w:szCs w:val="20"/>
                <w:color w:val="auto"/>
              </w:rPr>
            </w:pPr>
            <w:r>
              <w:rPr>
                <w:rFonts w:ascii="Arial" w:cs="Arial" w:eastAsia="Arial" w:hAnsi="Arial"/>
                <w:sz w:val="16"/>
                <w:szCs w:val="16"/>
                <w:color w:val="auto"/>
              </w:rPr>
              <w:t>21.9 %</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6"/>
                <w:szCs w:val="16"/>
                <w:color w:val="auto"/>
              </w:rPr>
              <w:t>Net income margin</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6.0 %</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6.3 %</w:t>
            </w:r>
          </w:p>
        </w:tc>
        <w:tc>
          <w:tcPr>
            <w:tcW w:w="280" w:type="dxa"/>
            <w:vAlign w:val="bottom"/>
          </w:tcPr>
          <w:p>
            <w:pPr>
              <w:spacing w:after="0"/>
              <w:rPr>
                <w:sz w:val="18"/>
                <w:szCs w:val="18"/>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(0.3) ppts</w:t>
            </w:r>
          </w:p>
        </w:tc>
        <w:tc>
          <w:tcPr>
            <w:tcW w:w="142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6"/>
                <w:szCs w:val="16"/>
                <w:color w:val="auto"/>
              </w:rPr>
              <w:t>EBIT-adjusted margin</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9.7 %</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7.9 %</w:t>
            </w:r>
          </w:p>
        </w:tc>
        <w:tc>
          <w:tcPr>
            <w:tcW w:w="280" w:type="dxa"/>
            <w:vAlign w:val="bottom"/>
          </w:tcPr>
          <w:p>
            <w:pPr>
              <w:spacing w:after="0"/>
              <w:rPr>
                <w:sz w:val="18"/>
                <w:szCs w:val="18"/>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1.8 ppts</w:t>
            </w:r>
          </w:p>
        </w:tc>
        <w:tc>
          <w:tcPr>
            <w:tcW w:w="1420" w:type="dxa"/>
            <w:vAlign w:val="bottom"/>
          </w:tcPr>
          <w:p>
            <w:pPr>
              <w:jc w:val="right"/>
              <w:spacing w:after="0"/>
              <w:rPr>
                <w:sz w:val="20"/>
                <w:szCs w:val="20"/>
                <w:color w:val="auto"/>
              </w:rPr>
            </w:pPr>
            <w:r>
              <w:rPr>
                <w:rFonts w:ascii="Arial" w:cs="Arial" w:eastAsia="Arial" w:hAnsi="Arial"/>
                <w:sz w:val="16"/>
                <w:szCs w:val="16"/>
                <w:color w:val="auto"/>
              </w:rPr>
              <w:t>22.8 %</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6"/>
                <w:szCs w:val="16"/>
                <w:color w:val="auto"/>
              </w:rPr>
              <w:t>Automotive operating cash flow</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533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2,404</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(1,871)</w:t>
            </w:r>
          </w:p>
        </w:tc>
        <w:tc>
          <w:tcPr>
            <w:tcW w:w="1420" w:type="dxa"/>
            <w:vAlign w:val="bottom"/>
          </w:tcPr>
          <w:p>
            <w:pPr>
              <w:jc w:val="right"/>
              <w:spacing w:after="0"/>
              <w:rPr>
                <w:sz w:val="20"/>
                <w:szCs w:val="20"/>
                <w:color w:val="auto"/>
              </w:rPr>
            </w:pPr>
            <w:r>
              <w:rPr>
                <w:rFonts w:ascii="Arial" w:cs="Arial" w:eastAsia="Arial" w:hAnsi="Arial"/>
                <w:sz w:val="16"/>
                <w:szCs w:val="16"/>
                <w:color w:val="auto"/>
              </w:rPr>
              <w:t>(77.8)%</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6"/>
                <w:szCs w:val="16"/>
                <w:color w:val="auto"/>
              </w:rPr>
              <w:t>Adjusted automotive free cash flow</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1,269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811</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99"/>
              <w:spacing w:after="0"/>
              <w:rPr>
                <w:sz w:val="20"/>
                <w:szCs w:val="20"/>
                <w:color w:val="auto"/>
              </w:rPr>
            </w:pPr>
            <w:r>
              <w:rPr>
                <w:rFonts w:ascii="Arial" w:cs="Arial" w:eastAsia="Arial" w:hAnsi="Arial"/>
                <w:sz w:val="16"/>
                <w:szCs w:val="16"/>
                <w:color w:val="auto"/>
              </w:rPr>
              <w:t>457</w:t>
            </w:r>
          </w:p>
        </w:tc>
        <w:tc>
          <w:tcPr>
            <w:tcW w:w="1420" w:type="dxa"/>
            <w:vAlign w:val="bottom"/>
          </w:tcPr>
          <w:p>
            <w:pPr>
              <w:jc w:val="right"/>
              <w:spacing w:after="0"/>
              <w:rPr>
                <w:sz w:val="20"/>
                <w:szCs w:val="20"/>
                <w:color w:val="auto"/>
              </w:rPr>
            </w:pPr>
            <w:r>
              <w:rPr>
                <w:rFonts w:ascii="Arial" w:cs="Arial" w:eastAsia="Arial" w:hAnsi="Arial"/>
                <w:sz w:val="16"/>
                <w:szCs w:val="16"/>
                <w:color w:val="auto"/>
              </w:rPr>
              <w:t>56.4 %</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6"/>
                <w:szCs w:val="16"/>
                <w:color w:val="auto"/>
              </w:rPr>
              <w:t>EPS-diluted</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2.82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3.35</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(0.53)</w:t>
            </w:r>
          </w:p>
        </w:tc>
        <w:tc>
          <w:tcPr>
            <w:tcW w:w="1420" w:type="dxa"/>
            <w:vAlign w:val="bottom"/>
          </w:tcPr>
          <w:p>
            <w:pPr>
              <w:jc w:val="right"/>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6"/>
                <w:szCs w:val="16"/>
                <w:color w:val="auto"/>
              </w:rPr>
              <w:t>EPS-diluted-adjusted</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3.70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2.78</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99"/>
              <w:spacing w:after="0"/>
              <w:rPr>
                <w:sz w:val="20"/>
                <w:szCs w:val="20"/>
                <w:color w:val="auto"/>
              </w:rPr>
            </w:pPr>
            <w:r>
              <w:rPr>
                <w:rFonts w:ascii="Arial" w:cs="Arial" w:eastAsia="Arial" w:hAnsi="Arial"/>
                <w:sz w:val="16"/>
                <w:szCs w:val="16"/>
                <w:color w:val="auto"/>
              </w:rPr>
              <w:t>0.92</w:t>
            </w:r>
          </w:p>
        </w:tc>
        <w:tc>
          <w:tcPr>
            <w:tcW w:w="1420" w:type="dxa"/>
            <w:vAlign w:val="bottom"/>
          </w:tcPr>
          <w:p>
            <w:pPr>
              <w:jc w:val="right"/>
              <w:spacing w:after="0"/>
              <w:rPr>
                <w:sz w:val="20"/>
                <w:szCs w:val="20"/>
                <w:color w:val="auto"/>
              </w:rPr>
            </w:pPr>
            <w:r>
              <w:rPr>
                <w:rFonts w:ascii="Arial" w:cs="Arial" w:eastAsia="Arial" w:hAnsi="Arial"/>
                <w:sz w:val="16"/>
                <w:szCs w:val="16"/>
                <w:color w:val="auto"/>
              </w:rPr>
              <w:t>33.0 %</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6"/>
                <w:szCs w:val="16"/>
                <w:color w:val="auto"/>
              </w:rPr>
              <w:t>GMNA EBIT-adjusted</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3,661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3,286</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99"/>
              <w:spacing w:after="0"/>
              <w:rPr>
                <w:sz w:val="20"/>
                <w:szCs w:val="20"/>
                <w:color w:val="auto"/>
              </w:rPr>
            </w:pPr>
            <w:r>
              <w:rPr>
                <w:rFonts w:ascii="Arial" w:cs="Arial" w:eastAsia="Arial" w:hAnsi="Arial"/>
                <w:sz w:val="16"/>
                <w:szCs w:val="16"/>
                <w:color w:val="auto"/>
              </w:rPr>
              <w:t>375</w:t>
            </w:r>
          </w:p>
        </w:tc>
        <w:tc>
          <w:tcPr>
            <w:tcW w:w="1420" w:type="dxa"/>
            <w:vAlign w:val="bottom"/>
          </w:tcPr>
          <w:p>
            <w:pPr>
              <w:jc w:val="right"/>
              <w:spacing w:after="0"/>
              <w:rPr>
                <w:sz w:val="20"/>
                <w:szCs w:val="20"/>
                <w:color w:val="auto"/>
              </w:rPr>
            </w:pPr>
            <w:r>
              <w:rPr>
                <w:rFonts w:ascii="Arial" w:cs="Arial" w:eastAsia="Arial" w:hAnsi="Arial"/>
                <w:sz w:val="16"/>
                <w:szCs w:val="16"/>
                <w:color w:val="auto"/>
              </w:rPr>
              <w:t>11.4 %</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6"/>
                <w:szCs w:val="16"/>
                <w:color w:val="auto"/>
              </w:rPr>
              <w:t>GMNA EBIT-adjusted margin</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10.1 %</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8.8 %</w:t>
            </w:r>
          </w:p>
        </w:tc>
        <w:tc>
          <w:tcPr>
            <w:tcW w:w="280" w:type="dxa"/>
            <w:vAlign w:val="bottom"/>
          </w:tcPr>
          <w:p>
            <w:pPr>
              <w:spacing w:after="0"/>
              <w:rPr>
                <w:sz w:val="18"/>
                <w:szCs w:val="18"/>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1.3 ppts</w:t>
            </w:r>
          </w:p>
        </w:tc>
        <w:tc>
          <w:tcPr>
            <w:tcW w:w="1420" w:type="dxa"/>
            <w:vAlign w:val="bottom"/>
          </w:tcPr>
          <w:p>
            <w:pPr>
              <w:jc w:val="right"/>
              <w:spacing w:after="0"/>
              <w:rPr>
                <w:sz w:val="20"/>
                <w:szCs w:val="20"/>
                <w:color w:val="auto"/>
              </w:rPr>
            </w:pPr>
            <w:r>
              <w:rPr>
                <w:rFonts w:ascii="Arial" w:cs="Arial" w:eastAsia="Arial" w:hAnsi="Arial"/>
                <w:sz w:val="16"/>
                <w:szCs w:val="16"/>
                <w:color w:val="auto"/>
              </w:rPr>
              <w:t>14.8 %</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6"/>
                <w:szCs w:val="16"/>
                <w:color w:val="auto"/>
              </w:rPr>
              <w:t>GMI EBIT-adjusted(a)</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123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30</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99"/>
              <w:spacing w:after="0"/>
              <w:rPr>
                <w:sz w:val="20"/>
                <w:szCs w:val="20"/>
                <w:color w:val="auto"/>
              </w:rPr>
            </w:pPr>
            <w:r>
              <w:rPr>
                <w:rFonts w:ascii="Arial" w:cs="Arial" w:eastAsia="Arial" w:hAnsi="Arial"/>
                <w:sz w:val="16"/>
                <w:szCs w:val="16"/>
                <w:color w:val="auto"/>
              </w:rPr>
              <w:t>94</w:t>
            </w:r>
          </w:p>
        </w:tc>
        <w:tc>
          <w:tcPr>
            <w:tcW w:w="142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6"/>
                <w:szCs w:val="16"/>
                <w:color w:val="auto"/>
              </w:rPr>
              <w:t>China equity income (loss)(a)</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165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45</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99"/>
              <w:spacing w:after="0"/>
              <w:rPr>
                <w:sz w:val="20"/>
                <w:szCs w:val="20"/>
                <w:color w:val="auto"/>
              </w:rPr>
            </w:pPr>
            <w:r>
              <w:rPr>
                <w:rFonts w:ascii="Arial" w:cs="Arial" w:eastAsia="Arial" w:hAnsi="Arial"/>
                <w:sz w:val="16"/>
                <w:szCs w:val="16"/>
                <w:color w:val="auto"/>
              </w:rPr>
              <w:t>120</w:t>
            </w:r>
          </w:p>
        </w:tc>
        <w:tc>
          <w:tcPr>
            <w:tcW w:w="142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6"/>
                <w:szCs w:val="16"/>
                <w:color w:val="auto"/>
              </w:rPr>
              <w:t>GM Financial EBT-adjusted</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688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685</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99"/>
              <w:spacing w:after="0"/>
              <w:rPr>
                <w:sz w:val="20"/>
                <w:szCs w:val="20"/>
                <w:color w:val="auto"/>
              </w:rPr>
            </w:pPr>
            <w:r>
              <w:rPr>
                <w:rFonts w:ascii="Arial" w:cs="Arial" w:eastAsia="Arial" w:hAnsi="Arial"/>
                <w:sz w:val="16"/>
                <w:szCs w:val="16"/>
                <w:color w:val="auto"/>
              </w:rPr>
              <w:t>4</w:t>
            </w:r>
          </w:p>
        </w:tc>
        <w:tc>
          <w:tcPr>
            <w:tcW w:w="1420" w:type="dxa"/>
            <w:vAlign w:val="bottom"/>
          </w:tcPr>
          <w:p>
            <w:pPr>
              <w:jc w:val="right"/>
              <w:spacing w:after="0"/>
              <w:rPr>
                <w:sz w:val="20"/>
                <w:szCs w:val="20"/>
                <w:color w:val="auto"/>
              </w:rPr>
            </w:pPr>
            <w:r>
              <w:rPr>
                <w:rFonts w:ascii="Arial" w:cs="Arial" w:eastAsia="Arial" w:hAnsi="Arial"/>
                <w:sz w:val="16"/>
                <w:szCs w:val="16"/>
                <w:color w:val="auto"/>
              </w:rPr>
              <w:t>0.5 %</w:t>
            </w: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(a)</w:t>
        <w:tab/>
        <w:t>n.m. =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spacing w:after="0" w:line="13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color w:val="auto"/>
        </w:rPr>
        <w:t xml:space="preserve">General Motors </w:t>
      </w:r>
      <w:r>
        <w:rPr>
          <w:rFonts w:ascii="Arial" w:cs="Arial" w:eastAsia="Arial" w:hAnsi="Arial"/>
          <w:sz w:val="18"/>
          <w:szCs w:val="18"/>
          <w:color w:val="auto"/>
        </w:rPr>
        <w:t>(NYSE:GM) is driving the future of transportation, leveraging advanced technology to build safer, smarter, and lower</w:t>
      </w:r>
      <w:r>
        <w:rPr>
          <w:rFonts w:ascii="Arial" w:cs="Arial" w:eastAsia="Arial" w:hAnsi="Arial"/>
          <w:sz w:val="18"/>
          <w:szCs w:val="18"/>
          <w:b w:val="1"/>
          <w:bCs w:val="1"/>
          <w:color w:val="auto"/>
        </w:rPr>
        <w:t xml:space="preserve"> </w:t>
      </w:r>
      <w:r>
        <w:rPr>
          <w:rFonts w:ascii="Arial" w:cs="Arial" w:eastAsia="Arial" w:hAnsi="Arial"/>
          <w:sz w:val="18"/>
          <w:szCs w:val="18"/>
          <w:color w:val="auto"/>
        </w:rPr>
        <w:t>emission cars, trucks, and SUVs. GM’s Buick, Cadillac, Chevrolet, and GMC brands offer a broad portfolio of innovative gasoline-powered vehicles and the industry’s widest range of EVs, as we move to an all-electric future. Learn more at GM.com.</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1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1780" w:type="dxa"/>
            <w:vAlign w:val="bottom"/>
          </w:tcPr>
          <w:p>
            <w:pPr>
              <w:ind w:left="440"/>
              <w:spacing w:after="0"/>
              <w:rPr>
                <w:sz w:val="20"/>
                <w:szCs w:val="20"/>
                <w:color w:val="auto"/>
              </w:rPr>
            </w:pPr>
            <w:r>
              <w:rPr>
                <w:rFonts w:ascii="Arial" w:cs="Arial" w:eastAsia="Arial" w:hAnsi="Arial"/>
                <w:sz w:val="18"/>
                <w:szCs w:val="18"/>
                <w:b w:val="1"/>
                <w:bCs w:val="1"/>
                <w:color w:val="auto"/>
              </w:rPr>
              <w:t>###</w:t>
            </w:r>
          </w:p>
        </w:tc>
      </w:tr>
      <w:tr>
        <w:trPr>
          <w:trHeight w:val="513"/>
        </w:trPr>
        <w:tc>
          <w:tcPr>
            <w:tcW w:w="5020" w:type="dxa"/>
            <w:vAlign w:val="bottom"/>
            <w:gridSpan w:val="3"/>
          </w:tcPr>
          <w:p>
            <w:pPr>
              <w:spacing w:after="0"/>
              <w:rPr>
                <w:sz w:val="20"/>
                <w:szCs w:val="20"/>
                <w:color w:val="auto"/>
              </w:rPr>
            </w:pPr>
            <w:r>
              <w:rPr>
                <w:rFonts w:ascii="Arial" w:cs="Arial" w:eastAsia="Arial" w:hAnsi="Arial"/>
                <w:sz w:val="18"/>
                <w:szCs w:val="18"/>
                <w:b w:val="1"/>
                <w:bCs w:val="1"/>
                <w:color w:val="auto"/>
              </w:rPr>
              <w:t>CONTACTS:</w:t>
            </w:r>
          </w:p>
        </w:tc>
        <w:tc>
          <w:tcPr>
            <w:tcW w:w="1780" w:type="dxa"/>
            <w:vAlign w:val="bottom"/>
          </w:tcPr>
          <w:p>
            <w:pPr>
              <w:spacing w:after="0"/>
              <w:rPr>
                <w:sz w:val="24"/>
                <w:szCs w:val="24"/>
                <w:color w:val="auto"/>
              </w:rPr>
            </w:pPr>
          </w:p>
        </w:tc>
      </w:tr>
      <w:tr>
        <w:trPr>
          <w:trHeight w:val="239"/>
        </w:trPr>
        <w:tc>
          <w:tcPr>
            <w:tcW w:w="5020" w:type="dxa"/>
            <w:vAlign w:val="bottom"/>
            <w:gridSpan w:val="3"/>
          </w:tcPr>
          <w:p>
            <w:pPr>
              <w:spacing w:after="0"/>
              <w:rPr>
                <w:sz w:val="20"/>
                <w:szCs w:val="20"/>
                <w:color w:val="auto"/>
              </w:rPr>
            </w:pPr>
            <w:r>
              <w:rPr>
                <w:rFonts w:ascii="Arial" w:cs="Arial" w:eastAsia="Arial" w:hAnsi="Arial"/>
                <w:sz w:val="18"/>
                <w:szCs w:val="18"/>
                <w:color w:val="auto"/>
              </w:rPr>
              <w:t>Jim Cain</w:t>
            </w:r>
          </w:p>
        </w:tc>
        <w:tc>
          <w:tcPr>
            <w:tcW w:w="1780" w:type="dxa"/>
            <w:vAlign w:val="bottom"/>
          </w:tcPr>
          <w:p>
            <w:pPr>
              <w:spacing w:after="0"/>
              <w:rPr>
                <w:sz w:val="20"/>
                <w:szCs w:val="20"/>
                <w:color w:val="auto"/>
              </w:rPr>
            </w:pPr>
            <w:r>
              <w:rPr>
                <w:rFonts w:ascii="Arial" w:cs="Arial" w:eastAsia="Arial" w:hAnsi="Arial"/>
                <w:sz w:val="18"/>
                <w:szCs w:val="18"/>
                <w:color w:val="auto"/>
              </w:rPr>
              <w:t>Ashish Kohli, CFA</w:t>
            </w:r>
          </w:p>
        </w:tc>
      </w:tr>
      <w:tr>
        <w:trPr>
          <w:trHeight w:val="216"/>
        </w:trPr>
        <w:tc>
          <w:tcPr>
            <w:tcW w:w="5020" w:type="dxa"/>
            <w:vAlign w:val="bottom"/>
            <w:gridSpan w:val="3"/>
          </w:tcPr>
          <w:p>
            <w:pPr>
              <w:spacing w:after="0"/>
              <w:rPr>
                <w:sz w:val="20"/>
                <w:szCs w:val="20"/>
                <w:color w:val="auto"/>
              </w:rPr>
            </w:pPr>
            <w:r>
              <w:rPr>
                <w:rFonts w:ascii="Arial" w:cs="Arial" w:eastAsia="Arial" w:hAnsi="Arial"/>
                <w:sz w:val="18"/>
                <w:szCs w:val="18"/>
                <w:color w:val="auto"/>
              </w:rPr>
              <w:t>GM Communications</w:t>
            </w:r>
          </w:p>
        </w:tc>
        <w:tc>
          <w:tcPr>
            <w:tcW w:w="1780" w:type="dxa"/>
            <w:vAlign w:val="bottom"/>
          </w:tcPr>
          <w:p>
            <w:pPr>
              <w:spacing w:after="0"/>
              <w:rPr>
                <w:sz w:val="20"/>
                <w:szCs w:val="20"/>
                <w:color w:val="auto"/>
              </w:rPr>
            </w:pPr>
            <w:r>
              <w:rPr>
                <w:rFonts w:ascii="Arial" w:cs="Arial" w:eastAsia="Arial" w:hAnsi="Arial"/>
                <w:sz w:val="18"/>
                <w:szCs w:val="18"/>
                <w:color w:val="auto"/>
                <w:w w:val="98"/>
              </w:rPr>
              <w:t>GM Investor Relations</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313-407-2843</w:t>
            </w:r>
          </w:p>
        </w:tc>
        <w:tc>
          <w:tcPr>
            <w:tcW w:w="2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847-964-3459</w:t>
            </w:r>
          </w:p>
        </w:tc>
      </w:tr>
      <w:tr>
        <w:trPr>
          <w:trHeight w:val="194"/>
        </w:trPr>
        <w:tc>
          <w:tcPr>
            <w:tcW w:w="5020" w:type="dxa"/>
            <w:vAlign w:val="bottom"/>
            <w:gridSpan w:val="3"/>
          </w:tcPr>
          <w:p>
            <w:pPr>
              <w:spacing w:after="0" w:line="195" w:lineRule="exact"/>
              <w:rPr>
                <w:sz w:val="20"/>
                <w:szCs w:val="20"/>
                <w:color w:val="auto"/>
              </w:rPr>
            </w:pPr>
            <w:r>
              <w:rPr>
                <w:rFonts w:ascii="Arial" w:cs="Arial" w:eastAsia="Arial" w:hAnsi="Arial"/>
                <w:sz w:val="18"/>
                <w:szCs w:val="18"/>
                <w:color w:val="0563C1"/>
              </w:rPr>
              <w:t>james.cain@chevrolet.com</w:t>
            </w:r>
          </w:p>
        </w:tc>
        <w:tc>
          <w:tcPr>
            <w:tcW w:w="1780" w:type="dxa"/>
            <w:vAlign w:val="bottom"/>
          </w:tcPr>
          <w:p>
            <w:pPr>
              <w:spacing w:after="0" w:line="195" w:lineRule="exact"/>
              <w:rPr>
                <w:sz w:val="20"/>
                <w:szCs w:val="20"/>
                <w:color w:val="auto"/>
              </w:rPr>
            </w:pPr>
            <w:r>
              <w:rPr>
                <w:rFonts w:ascii="Arial" w:cs="Arial" w:eastAsia="Arial" w:hAnsi="Arial"/>
                <w:sz w:val="18"/>
                <w:szCs w:val="18"/>
                <w:color w:val="0563C1"/>
                <w:w w:val="99"/>
              </w:rPr>
              <w:t>ashish.kohli@gm.com</w:t>
            </w:r>
          </w:p>
        </w:tc>
      </w:tr>
      <w:tr>
        <w:trPr>
          <w:trHeight w:val="515"/>
        </w:trPr>
        <w:tc>
          <w:tcPr>
            <w:tcW w:w="2160" w:type="dxa"/>
            <w:vAlign w:val="bottom"/>
            <w:tcBorders>
              <w:top w:val="single" w:sz="8" w:color="0563C1"/>
            </w:tcBorders>
            <w:gridSpan w:val="2"/>
          </w:tcPr>
          <w:p>
            <w:pPr>
              <w:spacing w:after="0"/>
              <w:rPr>
                <w:sz w:val="20"/>
                <w:szCs w:val="20"/>
                <w:color w:val="auto"/>
              </w:rPr>
            </w:pPr>
            <w:r>
              <w:rPr>
                <w:rFonts w:ascii="Arial" w:cs="Arial" w:eastAsia="Arial" w:hAnsi="Arial"/>
                <w:sz w:val="18"/>
                <w:szCs w:val="18"/>
                <w:color w:val="auto"/>
              </w:rPr>
              <w:t>David Caldwell</w:t>
            </w:r>
          </w:p>
        </w:tc>
        <w:tc>
          <w:tcPr>
            <w:tcW w:w="2860" w:type="dxa"/>
            <w:vAlign w:val="bottom"/>
          </w:tcPr>
          <w:p>
            <w:pPr>
              <w:spacing w:after="0"/>
              <w:rPr>
                <w:sz w:val="24"/>
                <w:szCs w:val="24"/>
                <w:color w:val="auto"/>
              </w:rPr>
            </w:pPr>
          </w:p>
        </w:tc>
        <w:tc>
          <w:tcPr>
            <w:tcW w:w="1780" w:type="dxa"/>
            <w:vAlign w:val="bottom"/>
            <w:tcBorders>
              <w:top w:val="single" w:sz="8" w:color="0563C1"/>
            </w:tcBorders>
          </w:tcPr>
          <w:p>
            <w:pPr>
              <w:spacing w:after="0"/>
              <w:rPr>
                <w:sz w:val="24"/>
                <w:szCs w:val="24"/>
                <w:color w:val="auto"/>
              </w:rPr>
            </w:pPr>
          </w:p>
        </w:tc>
      </w:tr>
      <w:tr>
        <w:trPr>
          <w:trHeight w:val="216"/>
        </w:trPr>
        <w:tc>
          <w:tcPr>
            <w:tcW w:w="5020" w:type="dxa"/>
            <w:vAlign w:val="bottom"/>
            <w:gridSpan w:val="3"/>
          </w:tcPr>
          <w:p>
            <w:pPr>
              <w:spacing w:after="0"/>
              <w:rPr>
                <w:sz w:val="20"/>
                <w:szCs w:val="20"/>
                <w:color w:val="auto"/>
              </w:rPr>
            </w:pPr>
            <w:r>
              <w:rPr>
                <w:rFonts w:ascii="Arial" w:cs="Arial" w:eastAsia="Arial" w:hAnsi="Arial"/>
                <w:sz w:val="18"/>
                <w:szCs w:val="18"/>
                <w:color w:val="auto"/>
              </w:rPr>
              <w:t>GM Communications</w:t>
            </w:r>
          </w:p>
        </w:tc>
        <w:tc>
          <w:tcPr>
            <w:tcW w:w="1780" w:type="dxa"/>
            <w:vAlign w:val="bottom"/>
          </w:tcPr>
          <w:p>
            <w:pPr>
              <w:spacing w:after="0"/>
              <w:rPr>
                <w:sz w:val="18"/>
                <w:szCs w:val="18"/>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586-899-7861</w:t>
            </w:r>
          </w:p>
        </w:tc>
        <w:tc>
          <w:tcPr>
            <w:tcW w:w="2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194"/>
        </w:trPr>
        <w:tc>
          <w:tcPr>
            <w:tcW w:w="5020" w:type="dxa"/>
            <w:vAlign w:val="bottom"/>
            <w:gridSpan w:val="3"/>
          </w:tcPr>
          <w:p>
            <w:pPr>
              <w:spacing w:after="0" w:line="195" w:lineRule="exact"/>
              <w:rPr>
                <w:sz w:val="20"/>
                <w:szCs w:val="20"/>
                <w:color w:val="auto"/>
              </w:rPr>
            </w:pPr>
            <w:r>
              <w:rPr>
                <w:rFonts w:ascii="Arial" w:cs="Arial" w:eastAsia="Arial" w:hAnsi="Arial"/>
                <w:sz w:val="18"/>
                <w:szCs w:val="18"/>
                <w:color w:val="0563C1"/>
              </w:rPr>
              <w:t>david.caldwell@gm.com</w:t>
            </w:r>
          </w:p>
        </w:tc>
        <w:tc>
          <w:tcPr>
            <w:tcW w:w="1780" w:type="dxa"/>
            <w:vAlign w:val="bottom"/>
          </w:tcPr>
          <w:p>
            <w:pPr>
              <w:spacing w:after="0"/>
              <w:rPr>
                <w:sz w:val="16"/>
                <w:szCs w:val="16"/>
                <w:color w:val="auto"/>
              </w:rPr>
            </w:pPr>
          </w:p>
        </w:tc>
      </w:tr>
      <w:tr>
        <w:trPr>
          <w:trHeight w:val="20"/>
        </w:trPr>
        <w:tc>
          <w:tcPr>
            <w:tcW w:w="194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bl>
    <w:p>
      <w:pPr>
        <w:spacing w:after="0" w:line="3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Cautionary Note on Forward-Looking Statements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press release and related comments by management may include “forward-looking statements” within the meaning of the U.S. federal securities laws. Forward-looking statements are any statements other than statements of historical fact and represent our current judgment about possible future events. In making these statements, we rely upon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future events or financial results, and our actual results may differ materially due to a variety of factors, many of which are described in our most recent Annual Report on Form 10-K and our other filings with the U.S. Securities and Exchange Commission. We caution readers not to place undue reliance on forward-looking statements. Forward-looking statements speak only as of the date they are made, and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Guidance Reconciliations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expected Net income attributable to stockholders to expected EBIT-adjusted (dollars in billions):</w:t>
      </w:r>
    </w:p>
    <w:p>
      <w:pPr>
        <w:spacing w:after="0" w:line="307"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5500" w:type="dxa"/>
            <w:vAlign w:val="bottom"/>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Year Ending December 31, 2026</w:t>
            </w:r>
          </w:p>
        </w:tc>
        <w:tc>
          <w:tcPr>
            <w:tcW w:w="1740" w:type="dxa"/>
            <w:vAlign w:val="bottom"/>
            <w:tcBorders>
              <w:bottom w:val="single" w:sz="8" w:color="auto"/>
            </w:tcBorders>
          </w:tcPr>
          <w:p>
            <w:pPr>
              <w:spacing w:after="0"/>
              <w:rPr>
                <w:sz w:val="17"/>
                <w:szCs w:val="17"/>
                <w:color w:val="auto"/>
              </w:rPr>
            </w:pPr>
          </w:p>
        </w:tc>
      </w:tr>
      <w:tr>
        <w:trPr>
          <w:trHeight w:val="196"/>
        </w:trPr>
        <w:tc>
          <w:tcPr>
            <w:tcW w:w="5500" w:type="dxa"/>
            <w:vAlign w:val="bottom"/>
          </w:tcPr>
          <w:p>
            <w:pPr>
              <w:spacing w:after="0"/>
              <w:rPr>
                <w:sz w:val="17"/>
                <w:szCs w:val="17"/>
                <w:color w:val="auto"/>
              </w:rPr>
            </w:pPr>
          </w:p>
        </w:tc>
        <w:tc>
          <w:tcPr>
            <w:tcW w:w="178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color w:val="auto"/>
              </w:rPr>
              <w:t>Updated(a)</w:t>
            </w:r>
          </w:p>
        </w:tc>
        <w:tc>
          <w:tcPr>
            <w:tcW w:w="10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1021"/>
              <w:spacing w:after="0"/>
              <w:rPr>
                <w:sz w:val="20"/>
                <w:szCs w:val="20"/>
                <w:color w:val="auto"/>
              </w:rPr>
            </w:pPr>
            <w:r>
              <w:rPr>
                <w:rFonts w:ascii="Arial" w:cs="Arial" w:eastAsia="Arial" w:hAnsi="Arial"/>
                <w:sz w:val="14"/>
                <w:szCs w:val="14"/>
                <w:b w:val="1"/>
                <w:bCs w:val="1"/>
                <w:color w:val="auto"/>
              </w:rPr>
              <w:t>Previous</w:t>
            </w:r>
          </w:p>
        </w:tc>
      </w:tr>
      <w:tr>
        <w:trPr>
          <w:trHeight w:val="209"/>
        </w:trPr>
        <w:tc>
          <w:tcPr>
            <w:tcW w:w="5500" w:type="dxa"/>
            <w:vAlign w:val="bottom"/>
          </w:tcPr>
          <w:p>
            <w:pPr>
              <w:spacing w:after="0"/>
              <w:rPr>
                <w:sz w:val="20"/>
                <w:szCs w:val="20"/>
                <w:color w:val="auto"/>
              </w:rPr>
            </w:pPr>
            <w:r>
              <w:rPr>
                <w:rFonts w:ascii="Arial" w:cs="Arial" w:eastAsia="Arial" w:hAnsi="Arial"/>
                <w:sz w:val="16"/>
                <w:szCs w:val="16"/>
                <w:color w:val="auto"/>
              </w:rPr>
              <w:t>Net income attributable to stockholders</w:t>
            </w:r>
          </w:p>
        </w:tc>
        <w:tc>
          <w:tcPr>
            <w:tcW w:w="17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$ 9.9-11.4</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$ 10.3-11.7</w:t>
            </w:r>
          </w:p>
        </w:tc>
      </w:tr>
      <w:tr>
        <w:trPr>
          <w:trHeight w:val="215"/>
        </w:trPr>
        <w:tc>
          <w:tcPr>
            <w:tcW w:w="7280" w:type="dxa"/>
            <w:vAlign w:val="bottom"/>
            <w:gridSpan w:val="2"/>
          </w:tcPr>
          <w:p>
            <w:pPr>
              <w:spacing w:after="0"/>
              <w:rPr>
                <w:sz w:val="20"/>
                <w:szCs w:val="20"/>
                <w:color w:val="auto"/>
              </w:rPr>
            </w:pPr>
            <w:r>
              <w:rPr>
                <w:rFonts w:ascii="Arial" w:cs="Arial" w:eastAsia="Arial" w:hAnsi="Arial"/>
                <w:sz w:val="16"/>
                <w:szCs w:val="16"/>
                <w:color w:val="auto"/>
              </w:rPr>
              <w:t>Income tax expense</w:t>
            </w:r>
          </w:p>
        </w:tc>
        <w:tc>
          <w:tcPr>
            <w:tcW w:w="1020" w:type="dxa"/>
            <w:vAlign w:val="bottom"/>
          </w:tcPr>
          <w:p>
            <w:pPr>
              <w:jc w:val="right"/>
              <w:spacing w:after="0"/>
              <w:rPr>
                <w:sz w:val="20"/>
                <w:szCs w:val="20"/>
                <w:color w:val="auto"/>
              </w:rPr>
            </w:pPr>
            <w:r>
              <w:rPr>
                <w:rFonts w:ascii="Arial" w:cs="Arial" w:eastAsia="Arial" w:hAnsi="Arial"/>
                <w:sz w:val="16"/>
                <w:szCs w:val="16"/>
                <w:color w:val="auto"/>
              </w:rPr>
              <w:t>2.6-3.1</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2.6-3.2</w:t>
            </w:r>
          </w:p>
        </w:tc>
      </w:tr>
      <w:tr>
        <w:trPr>
          <w:trHeight w:val="216"/>
        </w:trPr>
        <w:tc>
          <w:tcPr>
            <w:tcW w:w="7280" w:type="dxa"/>
            <w:vAlign w:val="bottom"/>
            <w:gridSpan w:val="2"/>
          </w:tcPr>
          <w:p>
            <w:pPr>
              <w:spacing w:after="0"/>
              <w:rPr>
                <w:sz w:val="20"/>
                <w:szCs w:val="20"/>
                <w:color w:val="auto"/>
              </w:rPr>
            </w:pPr>
            <w:r>
              <w:rPr>
                <w:rFonts w:ascii="Arial" w:cs="Arial" w:eastAsia="Arial" w:hAnsi="Arial"/>
                <w:sz w:val="16"/>
                <w:szCs w:val="16"/>
                <w:color w:val="auto"/>
              </w:rPr>
              <w:t>Automotive interest expense, net</w:t>
            </w:r>
          </w:p>
        </w:tc>
        <w:tc>
          <w:tcPr>
            <w:tcW w:w="1020" w:type="dxa"/>
            <w:vAlign w:val="bottom"/>
          </w:tcPr>
          <w:p>
            <w:pPr>
              <w:jc w:val="right"/>
              <w:spacing w:after="0"/>
              <w:rPr>
                <w:sz w:val="20"/>
                <w:szCs w:val="20"/>
                <w:color w:val="auto"/>
              </w:rPr>
            </w:pPr>
            <w:r>
              <w:rPr>
                <w:rFonts w:ascii="Arial" w:cs="Arial" w:eastAsia="Arial" w:hAnsi="Arial"/>
                <w:sz w:val="16"/>
                <w:szCs w:val="16"/>
                <w:color w:val="auto"/>
              </w:rPr>
              <w:t>0.0</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40" w:type="dxa"/>
            <w:vAlign w:val="bottom"/>
          </w:tcPr>
          <w:p>
            <w:pPr>
              <w:jc w:val="right"/>
              <w:ind w:right="1"/>
              <w:spacing w:after="0"/>
              <w:rPr>
                <w:sz w:val="20"/>
                <w:szCs w:val="20"/>
                <w:color w:val="auto"/>
              </w:rPr>
            </w:pPr>
            <w:r>
              <w:rPr>
                <w:rFonts w:ascii="Arial" w:cs="Arial" w:eastAsia="Arial" w:hAnsi="Arial"/>
                <w:sz w:val="16"/>
                <w:szCs w:val="16"/>
                <w:color w:val="auto"/>
              </w:rPr>
              <w:t>0.1</w:t>
            </w:r>
          </w:p>
        </w:tc>
      </w:tr>
      <w:tr>
        <w:trPr>
          <w:trHeight w:val="216"/>
        </w:trPr>
        <w:tc>
          <w:tcPr>
            <w:tcW w:w="7280" w:type="dxa"/>
            <w:vAlign w:val="bottom"/>
            <w:gridSpan w:val="2"/>
          </w:tcPr>
          <w:p>
            <w:pPr>
              <w:spacing w:after="0"/>
              <w:rPr>
                <w:sz w:val="20"/>
                <w:szCs w:val="20"/>
                <w:color w:val="auto"/>
              </w:rPr>
            </w:pPr>
            <w:r>
              <w:rPr>
                <w:rFonts w:ascii="Arial" w:cs="Arial" w:eastAsia="Arial" w:hAnsi="Arial"/>
                <w:sz w:val="16"/>
                <w:szCs w:val="16"/>
                <w:color w:val="auto"/>
              </w:rPr>
              <w:t>Adjustments</w:t>
            </w:r>
          </w:p>
        </w:tc>
        <w:tc>
          <w:tcPr>
            <w:tcW w:w="102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4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10"/>
        </w:trPr>
        <w:tc>
          <w:tcPr>
            <w:tcW w:w="5500" w:type="dxa"/>
            <w:vAlign w:val="bottom"/>
          </w:tcPr>
          <w:p>
            <w:pPr>
              <w:spacing w:after="0"/>
              <w:rPr>
                <w:sz w:val="20"/>
                <w:szCs w:val="20"/>
                <w:color w:val="auto"/>
              </w:rPr>
            </w:pPr>
            <w:r>
              <w:rPr>
                <w:rFonts w:ascii="Arial" w:cs="Arial" w:eastAsia="Arial" w:hAnsi="Arial"/>
                <w:sz w:val="16"/>
                <w:szCs w:val="16"/>
                <w:color w:val="auto"/>
              </w:rPr>
              <w:t>EBIT-adjusted</w:t>
            </w:r>
          </w:p>
        </w:tc>
        <w:tc>
          <w:tcPr>
            <w:tcW w:w="17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$ 13.5-15.5</w:t>
            </w: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$ 13.0-15.0</w:t>
            </w:r>
          </w:p>
        </w:tc>
      </w:tr>
    </w:tbl>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340" w:hanging="332"/>
        <w:spacing w:after="0" w:line="284" w:lineRule="auto"/>
        <w:tabs>
          <w:tab w:leader="none" w:pos="327" w:val="left"/>
        </w:tabs>
        <w:numPr>
          <w:ilvl w:val="0"/>
          <w:numId w:val="3"/>
        </w:numPr>
        <w:rPr>
          <w:rFonts w:ascii="Arial" w:cs="Arial" w:eastAsia="Arial" w:hAnsi="Arial"/>
          <w:sz w:val="14"/>
          <w:szCs w:val="14"/>
          <w:color w:val="auto"/>
        </w:rPr>
      </w:pPr>
      <w:r>
        <w:rPr>
          <w:rFonts w:ascii="Arial" w:cs="Arial" w:eastAsia="Arial" w:hAnsi="Arial"/>
          <w:sz w:val="14"/>
          <w:szCs w:val="14"/>
          <w:color w:val="auto"/>
        </w:rPr>
        <w:t>Refer to the reconciliation of Net income (loss) attributable to stockholders to EBIT-adjusted and segment profit (loss) for adjustment details. These expected financial results do not include the potential impact of future adjustments related to special items.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expected EPS-diluted to expected EPS-diluted-adjusted:</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5500" w:type="dxa"/>
            <w:vAlign w:val="bottom"/>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Year Ending December 31, 2026</w:t>
            </w:r>
          </w:p>
        </w:tc>
        <w:tc>
          <w:tcPr>
            <w:tcW w:w="1740" w:type="dxa"/>
            <w:vAlign w:val="bottom"/>
            <w:tcBorders>
              <w:bottom w:val="single" w:sz="8" w:color="auto"/>
            </w:tcBorders>
          </w:tcPr>
          <w:p>
            <w:pPr>
              <w:spacing w:after="0"/>
              <w:rPr>
                <w:sz w:val="17"/>
                <w:szCs w:val="17"/>
                <w:color w:val="auto"/>
              </w:rPr>
            </w:pPr>
          </w:p>
        </w:tc>
      </w:tr>
      <w:tr>
        <w:trPr>
          <w:trHeight w:val="196"/>
        </w:trPr>
        <w:tc>
          <w:tcPr>
            <w:tcW w:w="5500" w:type="dxa"/>
            <w:vAlign w:val="bottom"/>
          </w:tcPr>
          <w:p>
            <w:pPr>
              <w:spacing w:after="0"/>
              <w:rPr>
                <w:sz w:val="17"/>
                <w:szCs w:val="17"/>
                <w:color w:val="auto"/>
              </w:rPr>
            </w:pPr>
          </w:p>
        </w:tc>
        <w:tc>
          <w:tcPr>
            <w:tcW w:w="178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color w:val="auto"/>
              </w:rPr>
              <w:t>Updated(a)</w:t>
            </w:r>
          </w:p>
        </w:tc>
        <w:tc>
          <w:tcPr>
            <w:tcW w:w="10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1021"/>
              <w:spacing w:after="0"/>
              <w:rPr>
                <w:sz w:val="20"/>
                <w:szCs w:val="20"/>
                <w:color w:val="auto"/>
              </w:rPr>
            </w:pPr>
            <w:r>
              <w:rPr>
                <w:rFonts w:ascii="Arial" w:cs="Arial" w:eastAsia="Arial" w:hAnsi="Arial"/>
                <w:sz w:val="14"/>
                <w:szCs w:val="14"/>
                <w:b w:val="1"/>
                <w:bCs w:val="1"/>
                <w:color w:val="auto"/>
              </w:rPr>
              <w:t>Previous</w:t>
            </w:r>
          </w:p>
        </w:tc>
      </w:tr>
      <w:tr>
        <w:trPr>
          <w:trHeight w:val="209"/>
        </w:trPr>
        <w:tc>
          <w:tcPr>
            <w:tcW w:w="5500" w:type="dxa"/>
            <w:vAlign w:val="bottom"/>
          </w:tcPr>
          <w:p>
            <w:pPr>
              <w:spacing w:after="0"/>
              <w:rPr>
                <w:sz w:val="20"/>
                <w:szCs w:val="20"/>
                <w:color w:val="auto"/>
              </w:rPr>
            </w:pPr>
            <w:r>
              <w:rPr>
                <w:rFonts w:ascii="Arial" w:cs="Arial" w:eastAsia="Arial" w:hAnsi="Arial"/>
                <w:sz w:val="16"/>
                <w:szCs w:val="16"/>
                <w:color w:val="auto"/>
              </w:rPr>
              <w:t>Diluted earnings per common share</w:t>
            </w:r>
          </w:p>
        </w:tc>
        <w:tc>
          <w:tcPr>
            <w:tcW w:w="17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w w:val="99"/>
              </w:rPr>
              <w:t>$ 10.62-12.62</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$ 11.00-13.00</w:t>
            </w:r>
          </w:p>
        </w:tc>
      </w:tr>
      <w:tr>
        <w:trPr>
          <w:trHeight w:val="215"/>
        </w:trPr>
        <w:tc>
          <w:tcPr>
            <w:tcW w:w="7280" w:type="dxa"/>
            <w:vAlign w:val="bottom"/>
            <w:gridSpan w:val="2"/>
          </w:tcPr>
          <w:p>
            <w:pPr>
              <w:spacing w:after="0"/>
              <w:rPr>
                <w:sz w:val="20"/>
                <w:szCs w:val="20"/>
                <w:color w:val="auto"/>
              </w:rPr>
            </w:pPr>
            <w:r>
              <w:rPr>
                <w:rFonts w:ascii="Arial" w:cs="Arial" w:eastAsia="Arial" w:hAnsi="Arial"/>
                <w:sz w:val="16"/>
                <w:szCs w:val="16"/>
                <w:color w:val="auto"/>
              </w:rPr>
              <w:t>Adjustments</w:t>
            </w:r>
          </w:p>
        </w:tc>
        <w:tc>
          <w:tcPr>
            <w:tcW w:w="1020" w:type="dxa"/>
            <w:vAlign w:val="bottom"/>
          </w:tcPr>
          <w:p>
            <w:pPr>
              <w:jc w:val="right"/>
              <w:spacing w:after="0"/>
              <w:rPr>
                <w:sz w:val="20"/>
                <w:szCs w:val="20"/>
                <w:color w:val="auto"/>
              </w:rPr>
            </w:pPr>
            <w:r>
              <w:rPr>
                <w:rFonts w:ascii="Arial" w:cs="Arial" w:eastAsia="Arial" w:hAnsi="Arial"/>
                <w:sz w:val="16"/>
                <w:szCs w:val="16"/>
                <w:color w:val="auto"/>
              </w:rPr>
              <w:t>0.88</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4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10"/>
        </w:trPr>
        <w:tc>
          <w:tcPr>
            <w:tcW w:w="5500" w:type="dxa"/>
            <w:vAlign w:val="bottom"/>
          </w:tcPr>
          <w:p>
            <w:pPr>
              <w:spacing w:after="0"/>
              <w:rPr>
                <w:sz w:val="20"/>
                <w:szCs w:val="20"/>
                <w:color w:val="auto"/>
              </w:rPr>
            </w:pPr>
            <w:r>
              <w:rPr>
                <w:rFonts w:ascii="Arial" w:cs="Arial" w:eastAsia="Arial" w:hAnsi="Arial"/>
                <w:sz w:val="16"/>
                <w:szCs w:val="16"/>
                <w:color w:val="auto"/>
              </w:rPr>
              <w:t>EPS-diluted-adjusted</w:t>
            </w:r>
          </w:p>
        </w:tc>
        <w:tc>
          <w:tcPr>
            <w:tcW w:w="17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9"/>
              </w:rPr>
              <w:t>$ 11.50-13.50</w:t>
            </w: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$ 11.00-13.00</w:t>
            </w:r>
          </w:p>
        </w:tc>
      </w:tr>
    </w:tbl>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340" w:right="20" w:hanging="332"/>
        <w:spacing w:after="0" w:line="284" w:lineRule="auto"/>
        <w:tabs>
          <w:tab w:leader="none" w:pos="327" w:val="left"/>
        </w:tabs>
        <w:numPr>
          <w:ilvl w:val="0"/>
          <w:numId w:val="4"/>
        </w:numPr>
        <w:rPr>
          <w:rFonts w:ascii="Arial" w:cs="Arial" w:eastAsia="Arial" w:hAnsi="Arial"/>
          <w:sz w:val="14"/>
          <w:szCs w:val="14"/>
          <w:color w:val="auto"/>
        </w:rPr>
      </w:pPr>
      <w:r>
        <w:rPr>
          <w:rFonts w:ascii="Arial" w:cs="Arial" w:eastAsia="Arial" w:hAnsi="Arial"/>
          <w:sz w:val="14"/>
          <w:szCs w:val="14"/>
          <w:color w:val="auto"/>
        </w:rPr>
        <w:t>Refer to the reconciliation of diluted earnings per common share to EPS-diluted-adjusted for adjustment details. These expected financial results do not include the potential impact of future adjustments related to special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The following table reconciles expected automotive net cash provided by operating activities to expected adjusted automotive free cash flow (dollars in billions):</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5500" w:type="dxa"/>
            <w:vAlign w:val="bottom"/>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Year Ending December 31, 2026</w:t>
            </w:r>
          </w:p>
        </w:tc>
        <w:tc>
          <w:tcPr>
            <w:tcW w:w="1740" w:type="dxa"/>
            <w:vAlign w:val="bottom"/>
            <w:tcBorders>
              <w:bottom w:val="single" w:sz="8" w:color="auto"/>
            </w:tcBorders>
          </w:tcPr>
          <w:p>
            <w:pPr>
              <w:spacing w:after="0"/>
              <w:rPr>
                <w:sz w:val="17"/>
                <w:szCs w:val="17"/>
                <w:color w:val="auto"/>
              </w:rPr>
            </w:pPr>
          </w:p>
        </w:tc>
      </w:tr>
      <w:tr>
        <w:trPr>
          <w:trHeight w:val="196"/>
        </w:trPr>
        <w:tc>
          <w:tcPr>
            <w:tcW w:w="5500" w:type="dxa"/>
            <w:vAlign w:val="bottom"/>
          </w:tcPr>
          <w:p>
            <w:pPr>
              <w:spacing w:after="0"/>
              <w:rPr>
                <w:sz w:val="17"/>
                <w:szCs w:val="17"/>
                <w:color w:val="auto"/>
              </w:rPr>
            </w:pPr>
          </w:p>
        </w:tc>
        <w:tc>
          <w:tcPr>
            <w:tcW w:w="178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color w:val="auto"/>
              </w:rPr>
              <w:t>Updated(a)</w:t>
            </w:r>
          </w:p>
        </w:tc>
        <w:tc>
          <w:tcPr>
            <w:tcW w:w="10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1021"/>
              <w:spacing w:after="0"/>
              <w:rPr>
                <w:sz w:val="20"/>
                <w:szCs w:val="20"/>
                <w:color w:val="auto"/>
              </w:rPr>
            </w:pPr>
            <w:r>
              <w:rPr>
                <w:rFonts w:ascii="Arial" w:cs="Arial" w:eastAsia="Arial" w:hAnsi="Arial"/>
                <w:sz w:val="14"/>
                <w:szCs w:val="14"/>
                <w:b w:val="1"/>
                <w:bCs w:val="1"/>
                <w:color w:val="auto"/>
              </w:rPr>
              <w:t>Previous</w:t>
            </w:r>
          </w:p>
        </w:tc>
      </w:tr>
      <w:tr>
        <w:trPr>
          <w:trHeight w:val="209"/>
        </w:trPr>
        <w:tc>
          <w:tcPr>
            <w:tcW w:w="5500" w:type="dxa"/>
            <w:vAlign w:val="bottom"/>
          </w:tcPr>
          <w:p>
            <w:pPr>
              <w:spacing w:after="0"/>
              <w:rPr>
                <w:sz w:val="20"/>
                <w:szCs w:val="20"/>
                <w:color w:val="auto"/>
              </w:rPr>
            </w:pPr>
            <w:r>
              <w:rPr>
                <w:rFonts w:ascii="Arial" w:cs="Arial" w:eastAsia="Arial" w:hAnsi="Arial"/>
                <w:sz w:val="16"/>
                <w:szCs w:val="16"/>
                <w:color w:val="auto"/>
              </w:rPr>
              <w:t>Net automotive cash provided by operating activities</w:t>
            </w:r>
          </w:p>
        </w:tc>
        <w:tc>
          <w:tcPr>
            <w:tcW w:w="17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$ 16.8-20.8</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$ 19.0-23.0</w:t>
            </w:r>
          </w:p>
        </w:tc>
      </w:tr>
      <w:tr>
        <w:trPr>
          <w:trHeight w:val="215"/>
        </w:trPr>
        <w:tc>
          <w:tcPr>
            <w:tcW w:w="7280" w:type="dxa"/>
            <w:vAlign w:val="bottom"/>
            <w:gridSpan w:val="2"/>
          </w:tcPr>
          <w:p>
            <w:pPr>
              <w:spacing w:after="0"/>
              <w:rPr>
                <w:sz w:val="20"/>
                <w:szCs w:val="20"/>
                <w:color w:val="auto"/>
              </w:rPr>
            </w:pPr>
            <w:r>
              <w:rPr>
                <w:rFonts w:ascii="Arial" w:cs="Arial" w:eastAsia="Arial" w:hAnsi="Arial"/>
                <w:sz w:val="16"/>
                <w:szCs w:val="16"/>
                <w:color w:val="auto"/>
              </w:rPr>
              <w:t>Less: Capital expenditures</w:t>
            </w:r>
          </w:p>
        </w:tc>
        <w:tc>
          <w:tcPr>
            <w:tcW w:w="1020" w:type="dxa"/>
            <w:vAlign w:val="bottom"/>
          </w:tcPr>
          <w:p>
            <w:pPr>
              <w:jc w:val="right"/>
              <w:spacing w:after="0"/>
              <w:rPr>
                <w:sz w:val="20"/>
                <w:szCs w:val="20"/>
                <w:color w:val="auto"/>
              </w:rPr>
            </w:pPr>
            <w:r>
              <w:rPr>
                <w:rFonts w:ascii="Arial" w:cs="Arial" w:eastAsia="Arial" w:hAnsi="Arial"/>
                <w:sz w:val="16"/>
                <w:szCs w:val="16"/>
                <w:color w:val="auto"/>
              </w:rPr>
              <w:t>10.0-12.0</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10.0-12.0</w:t>
            </w:r>
          </w:p>
        </w:tc>
      </w:tr>
      <w:tr>
        <w:trPr>
          <w:trHeight w:val="216"/>
        </w:trPr>
        <w:tc>
          <w:tcPr>
            <w:tcW w:w="7280" w:type="dxa"/>
            <w:vAlign w:val="bottom"/>
            <w:gridSpan w:val="2"/>
          </w:tcPr>
          <w:p>
            <w:pPr>
              <w:spacing w:after="0"/>
              <w:rPr>
                <w:sz w:val="20"/>
                <w:szCs w:val="20"/>
                <w:color w:val="auto"/>
              </w:rPr>
            </w:pPr>
            <w:r>
              <w:rPr>
                <w:rFonts w:ascii="Arial" w:cs="Arial" w:eastAsia="Arial" w:hAnsi="Arial"/>
                <w:sz w:val="16"/>
                <w:szCs w:val="16"/>
                <w:color w:val="auto"/>
              </w:rPr>
              <w:t>Adjustments</w:t>
            </w:r>
          </w:p>
        </w:tc>
        <w:tc>
          <w:tcPr>
            <w:tcW w:w="102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4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10"/>
        </w:trPr>
        <w:tc>
          <w:tcPr>
            <w:tcW w:w="5500" w:type="dxa"/>
            <w:vAlign w:val="bottom"/>
          </w:tcPr>
          <w:p>
            <w:pPr>
              <w:spacing w:after="0"/>
              <w:rPr>
                <w:sz w:val="20"/>
                <w:szCs w:val="20"/>
                <w:color w:val="auto"/>
              </w:rPr>
            </w:pPr>
            <w:r>
              <w:rPr>
                <w:rFonts w:ascii="Arial" w:cs="Arial" w:eastAsia="Arial" w:hAnsi="Arial"/>
                <w:sz w:val="16"/>
                <w:szCs w:val="16"/>
                <w:color w:val="auto"/>
              </w:rPr>
              <w:t>Adjusted automotive free cash flow</w:t>
            </w:r>
          </w:p>
        </w:tc>
        <w:tc>
          <w:tcPr>
            <w:tcW w:w="17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$ 9.0-11.0</w:t>
            </w: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$ 9.0-11.0</w:t>
            </w:r>
          </w:p>
        </w:tc>
      </w:tr>
    </w:tbl>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These expected financial results do not include the potential impact of future adjustments related to special items.</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3" w:lineRule="exact"/>
        <w:rPr>
          <w:rFonts w:ascii="Arial" w:cs="Arial" w:eastAsia="Arial" w:hAnsi="Arial"/>
          <w:sz w:val="14"/>
          <w:szCs w:val="14"/>
          <w:color w:val="auto"/>
        </w:rPr>
      </w:pPr>
    </w:p>
    <w:p>
      <w:pPr>
        <w:ind w:left="5900"/>
        <w:spacing w:after="0"/>
        <w:rPr>
          <w:rFonts w:ascii="Arial" w:cs="Arial" w:eastAsia="Arial" w:hAnsi="Arial"/>
          <w:sz w:val="14"/>
          <w:szCs w:val="14"/>
          <w:color w:val="auto"/>
        </w:rPr>
      </w:pPr>
      <w:r>
        <w:rPr>
          <w:rFonts w:ascii="Arial" w:cs="Arial" w:eastAsia="Arial" w:hAnsi="Arial"/>
          <w:sz w:val="16"/>
          <w:szCs w:val="16"/>
          <w:color w:val="auto"/>
        </w:rPr>
        <w:t>4</w:t>
      </w:r>
    </w:p>
    <w:p>
      <w:pPr>
        <w:sectPr>
          <w:pgSz w:w="11900" w:h="16838" w:orient="portrait"/>
          <w:cols w:equalWidth="0" w:num="1">
            <w:col w:w="11240"/>
          </w:cols>
          <w:pgMar w:left="320" w:top="1440" w:right="339" w:bottom="1440" w:gutter="0" w:footer="0" w:header="0"/>
        </w:sectPr>
      </w:pPr>
    </w:p>
    <w:bookmarkStart w:id="7" w:name="page8"/>
    <w:bookmarkEnd w:id="7"/>
    <w:p>
      <w:pPr>
        <w:ind w:left="3940"/>
        <w:spacing w:after="0"/>
        <w:rPr>
          <w:sz w:val="20"/>
          <w:szCs w:val="20"/>
          <w:color w:val="auto"/>
        </w:rPr>
      </w:pPr>
      <w:r>
        <w:rPr>
          <w:rFonts w:ascii="Arial" w:cs="Arial" w:eastAsia="Arial" w:hAnsi="Arial"/>
          <w:sz w:val="16"/>
          <w:szCs w:val="16"/>
          <w:b w:val="1"/>
          <w:bCs w:val="1"/>
          <w:color w:val="auto"/>
        </w:rPr>
        <w:t>General Motors Company and Subsidiaries</w:t>
      </w:r>
      <w:r>
        <w:rPr>
          <w:rFonts w:ascii="Arial" w:cs="Arial" w:eastAsia="Arial" w:hAnsi="Arial"/>
          <w:sz w:val="21"/>
          <w:szCs w:val="21"/>
          <w:b w:val="1"/>
          <w:bCs w:val="1"/>
          <w:color w:val="auto"/>
          <w:vertAlign w:val="superscript"/>
        </w:rPr>
        <w:t>1</w:t>
      </w:r>
    </w:p>
    <w:p>
      <w:pPr>
        <w:spacing w:after="0" w:line="83" w:lineRule="exact"/>
        <w:rPr>
          <w:sz w:val="20"/>
          <w:szCs w:val="20"/>
          <w:color w:val="auto"/>
        </w:rPr>
      </w:pPr>
    </w:p>
    <w:p>
      <w:pPr>
        <w:ind w:left="4020"/>
        <w:spacing w:after="0"/>
        <w:rPr>
          <w:sz w:val="20"/>
          <w:szCs w:val="20"/>
          <w:color w:val="auto"/>
        </w:rPr>
      </w:pPr>
      <w:r>
        <w:rPr>
          <w:rFonts w:ascii="Arial" w:cs="Arial" w:eastAsia="Arial" w:hAnsi="Arial"/>
          <w:sz w:val="16"/>
          <w:szCs w:val="16"/>
          <w:b w:val="1"/>
          <w:bCs w:val="1"/>
          <w:color w:val="auto"/>
        </w:rPr>
        <w:t>Combining Income Statement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millions) (Unaudited)</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4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3"/>
          </w:tcPr>
          <w:p>
            <w:pPr>
              <w:ind w:left="80"/>
              <w:spacing w:after="0"/>
              <w:rPr>
                <w:sz w:val="20"/>
                <w:szCs w:val="20"/>
                <w:color w:val="auto"/>
              </w:rPr>
            </w:pPr>
            <w:r>
              <w:rPr>
                <w:rFonts w:ascii="Arial" w:cs="Arial" w:eastAsia="Arial" w:hAnsi="Arial"/>
                <w:sz w:val="11"/>
                <w:szCs w:val="11"/>
                <w:b w:val="1"/>
                <w:bCs w:val="1"/>
                <w:color w:val="auto"/>
                <w:w w:val="97"/>
              </w:rPr>
              <w:t>Three Months Ended March 31, 2026</w:t>
            </w: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gridSpan w:val="6"/>
          </w:tcPr>
          <w:p>
            <w:pPr>
              <w:ind w:left="460"/>
              <w:spacing w:after="0"/>
              <w:rPr>
                <w:sz w:val="20"/>
                <w:szCs w:val="20"/>
                <w:color w:val="auto"/>
              </w:rPr>
            </w:pPr>
            <w:r>
              <w:rPr>
                <w:rFonts w:ascii="Arial" w:cs="Arial" w:eastAsia="Arial" w:hAnsi="Arial"/>
                <w:sz w:val="11"/>
                <w:szCs w:val="11"/>
                <w:b w:val="1"/>
                <w:bCs w:val="1"/>
                <w:color w:val="auto"/>
              </w:rPr>
              <w:t>Three Months Ended March 31, 2025</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420" w:type="dxa"/>
            <w:vAlign w:val="bottom"/>
          </w:tcPr>
          <w:p>
            <w:pPr>
              <w:spacing w:after="0"/>
              <w:rPr>
                <w:sz w:val="9"/>
                <w:szCs w:val="9"/>
                <w:color w:val="auto"/>
              </w:rPr>
            </w:pPr>
          </w:p>
        </w:tc>
        <w:tc>
          <w:tcPr>
            <w:tcW w:w="84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Automotive</w:t>
            </w:r>
          </w:p>
        </w:tc>
        <w:tc>
          <w:tcPr>
            <w:tcW w:w="140" w:type="dxa"/>
            <w:vAlign w:val="bottom"/>
          </w:tcPr>
          <w:p>
            <w:pPr>
              <w:spacing w:after="0"/>
              <w:rPr>
                <w:sz w:val="9"/>
                <w:szCs w:val="9"/>
                <w:color w:val="auto"/>
              </w:rPr>
            </w:pPr>
          </w:p>
        </w:tc>
        <w:tc>
          <w:tcPr>
            <w:tcW w:w="580" w:type="dxa"/>
            <w:vAlign w:val="bottom"/>
            <w:gridSpan w:val="2"/>
          </w:tcPr>
          <w:p>
            <w:pPr>
              <w:ind w:left="80"/>
              <w:spacing w:after="0" w:line="109" w:lineRule="exact"/>
              <w:rPr>
                <w:sz w:val="20"/>
                <w:szCs w:val="20"/>
                <w:color w:val="auto"/>
              </w:rPr>
            </w:pPr>
            <w:r>
              <w:rPr>
                <w:rFonts w:ascii="Arial" w:cs="Arial" w:eastAsia="Arial" w:hAnsi="Arial"/>
                <w:sz w:val="11"/>
                <w:szCs w:val="11"/>
                <w:b w:val="1"/>
                <w:bCs w:val="1"/>
                <w:color w:val="auto"/>
              </w:rPr>
              <w:t>GM</w:t>
            </w:r>
          </w:p>
        </w:tc>
        <w:tc>
          <w:tcPr>
            <w:tcW w:w="168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100" w:type="dxa"/>
            <w:vAlign w:val="bottom"/>
          </w:tcPr>
          <w:p>
            <w:pPr>
              <w:spacing w:after="0"/>
              <w:rPr>
                <w:sz w:val="9"/>
                <w:szCs w:val="9"/>
                <w:color w:val="auto"/>
              </w:rPr>
            </w:pPr>
          </w:p>
        </w:tc>
        <w:tc>
          <w:tcPr>
            <w:tcW w:w="640" w:type="dxa"/>
            <w:vAlign w:val="bottom"/>
            <w:vMerge w:val="restart"/>
          </w:tcPr>
          <w:p>
            <w:pPr>
              <w:jc w:val="right"/>
              <w:ind w:right="29"/>
              <w:spacing w:after="0"/>
              <w:rPr>
                <w:sz w:val="20"/>
                <w:szCs w:val="20"/>
                <w:color w:val="auto"/>
              </w:rPr>
            </w:pPr>
            <w:r>
              <w:rPr>
                <w:rFonts w:ascii="Arial" w:cs="Arial" w:eastAsia="Arial" w:hAnsi="Arial"/>
                <w:sz w:val="11"/>
                <w:szCs w:val="11"/>
                <w:b w:val="1"/>
                <w:bCs w:val="1"/>
                <w:color w:val="auto"/>
                <w:w w:val="96"/>
              </w:rPr>
              <w:t>Combined</w:t>
            </w:r>
          </w:p>
        </w:tc>
        <w:tc>
          <w:tcPr>
            <w:tcW w:w="100" w:type="dxa"/>
            <w:vAlign w:val="bottom"/>
          </w:tcPr>
          <w:p>
            <w:pPr>
              <w:spacing w:after="0"/>
              <w:rPr>
                <w:sz w:val="9"/>
                <w:szCs w:val="9"/>
                <w:color w:val="auto"/>
              </w:rPr>
            </w:pPr>
          </w:p>
        </w:tc>
        <w:tc>
          <w:tcPr>
            <w:tcW w:w="86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Automotive</w:t>
            </w:r>
          </w:p>
        </w:tc>
        <w:tc>
          <w:tcPr>
            <w:tcW w:w="120" w:type="dxa"/>
            <w:vAlign w:val="bottom"/>
          </w:tcPr>
          <w:p>
            <w:pPr>
              <w:spacing w:after="0"/>
              <w:rPr>
                <w:sz w:val="9"/>
                <w:szCs w:val="9"/>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Cruise</w:t>
            </w:r>
          </w:p>
        </w:tc>
        <w:tc>
          <w:tcPr>
            <w:tcW w:w="140" w:type="dxa"/>
            <w:vAlign w:val="bottom"/>
          </w:tcPr>
          <w:p>
            <w:pPr>
              <w:spacing w:after="0"/>
              <w:rPr>
                <w:sz w:val="9"/>
                <w:szCs w:val="9"/>
                <w:color w:val="auto"/>
              </w:rPr>
            </w:pPr>
          </w:p>
        </w:tc>
        <w:tc>
          <w:tcPr>
            <w:tcW w:w="580" w:type="dxa"/>
            <w:vAlign w:val="bottom"/>
            <w:gridSpan w:val="2"/>
          </w:tcPr>
          <w:p>
            <w:pPr>
              <w:jc w:val="center"/>
              <w:ind w:right="240"/>
              <w:spacing w:after="0" w:line="109" w:lineRule="exact"/>
              <w:rPr>
                <w:sz w:val="20"/>
                <w:szCs w:val="20"/>
                <w:color w:val="auto"/>
              </w:rPr>
            </w:pPr>
            <w:r>
              <w:rPr>
                <w:rFonts w:ascii="Arial" w:cs="Arial" w:eastAsia="Arial" w:hAnsi="Arial"/>
                <w:sz w:val="11"/>
                <w:szCs w:val="11"/>
                <w:b w:val="1"/>
                <w:bCs w:val="1"/>
                <w:color w:val="auto"/>
              </w:rPr>
              <w:t>GM</w:t>
            </w:r>
          </w:p>
        </w:tc>
        <w:tc>
          <w:tcPr>
            <w:tcW w:w="168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120" w:type="dxa"/>
            <w:vAlign w:val="bottom"/>
          </w:tcPr>
          <w:p>
            <w:pPr>
              <w:spacing w:after="0"/>
              <w:rPr>
                <w:sz w:val="9"/>
                <w:szCs w:val="9"/>
                <w:color w:val="auto"/>
              </w:rPr>
            </w:pPr>
          </w:p>
        </w:tc>
        <w:tc>
          <w:tcPr>
            <w:tcW w:w="640" w:type="dxa"/>
            <w:vAlign w:val="bottom"/>
            <w:vMerge w:val="restart"/>
          </w:tcPr>
          <w:p>
            <w:pPr>
              <w:jc w:val="right"/>
              <w:ind w:right="49"/>
              <w:spacing w:after="0"/>
              <w:rPr>
                <w:sz w:val="20"/>
                <w:szCs w:val="20"/>
                <w:color w:val="auto"/>
              </w:rPr>
            </w:pPr>
            <w:r>
              <w:rPr>
                <w:rFonts w:ascii="Arial" w:cs="Arial" w:eastAsia="Arial" w:hAnsi="Arial"/>
                <w:sz w:val="11"/>
                <w:szCs w:val="11"/>
                <w:b w:val="1"/>
                <w:bCs w:val="1"/>
                <w:color w:val="auto"/>
                <w:w w:val="92"/>
              </w:rPr>
              <w:t>Combined</w:t>
            </w:r>
          </w:p>
        </w:tc>
        <w:tc>
          <w:tcPr>
            <w:tcW w:w="0" w:type="dxa"/>
            <w:vAlign w:val="bottom"/>
          </w:tcPr>
          <w:p>
            <w:pPr>
              <w:spacing w:after="0"/>
              <w:rPr>
                <w:sz w:val="1"/>
                <w:szCs w:val="1"/>
                <w:color w:val="auto"/>
              </w:rPr>
            </w:pPr>
          </w:p>
        </w:tc>
      </w:tr>
      <w:tr>
        <w:trPr>
          <w:trHeight w:val="155"/>
        </w:trPr>
        <w:tc>
          <w:tcPr>
            <w:tcW w:w="2420" w:type="dxa"/>
            <w:vAlign w:val="bottom"/>
          </w:tcPr>
          <w:p>
            <w:pPr>
              <w:spacing w:after="0"/>
              <w:rPr>
                <w:sz w:val="13"/>
                <w:szCs w:val="13"/>
                <w:color w:val="auto"/>
              </w:rPr>
            </w:pPr>
          </w:p>
        </w:tc>
        <w:tc>
          <w:tcPr>
            <w:tcW w:w="840" w:type="dxa"/>
            <w:vAlign w:val="bottom"/>
            <w:gridSpan w:val="3"/>
            <w:vMerge w:val="continue"/>
          </w:tcPr>
          <w:p>
            <w:pPr>
              <w:spacing w:after="0"/>
              <w:rPr>
                <w:sz w:val="13"/>
                <w:szCs w:val="13"/>
                <w:color w:val="auto"/>
              </w:rPr>
            </w:pPr>
          </w:p>
        </w:tc>
        <w:tc>
          <w:tcPr>
            <w:tcW w:w="720" w:type="dxa"/>
            <w:vAlign w:val="bottom"/>
            <w:gridSpan w:val="3"/>
          </w:tcPr>
          <w:p>
            <w:pPr>
              <w:ind w:left="80"/>
              <w:spacing w:after="0"/>
              <w:rPr>
                <w:sz w:val="20"/>
                <w:szCs w:val="20"/>
                <w:color w:val="auto"/>
              </w:rPr>
            </w:pPr>
            <w:r>
              <w:rPr>
                <w:rFonts w:ascii="Arial" w:cs="Arial" w:eastAsia="Arial" w:hAnsi="Arial"/>
                <w:sz w:val="11"/>
                <w:szCs w:val="11"/>
                <w:b w:val="1"/>
                <w:bCs w:val="1"/>
                <w:color w:val="auto"/>
              </w:rPr>
              <w:t>Financial</w:t>
            </w:r>
          </w:p>
        </w:tc>
        <w:tc>
          <w:tcPr>
            <w:tcW w:w="16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72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6"/>
              </w:rPr>
              <w:t>Financial</w:t>
            </w:r>
          </w:p>
        </w:tc>
        <w:tc>
          <w:tcPr>
            <w:tcW w:w="168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420" w:type="dxa"/>
            <w:vAlign w:val="bottom"/>
          </w:tcPr>
          <w:p>
            <w:pPr>
              <w:ind w:left="20"/>
              <w:spacing w:after="0"/>
              <w:rPr>
                <w:sz w:val="20"/>
                <w:szCs w:val="20"/>
                <w:color w:val="auto"/>
              </w:rPr>
            </w:pPr>
            <w:r>
              <w:rPr>
                <w:rFonts w:ascii="Arial" w:cs="Arial" w:eastAsia="Arial" w:hAnsi="Arial"/>
                <w:sz w:val="13"/>
                <w:szCs w:val="13"/>
                <w:b w:val="1"/>
                <w:bCs w:val="1"/>
                <w:color w:val="auto"/>
              </w:rPr>
              <w:t>Net sales and revenue</w:t>
            </w:r>
          </w:p>
        </w:tc>
        <w:tc>
          <w:tcPr>
            <w:tcW w:w="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2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Automotive</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39,349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39,349</w:t>
            </w:r>
          </w:p>
        </w:tc>
        <w:tc>
          <w:tcPr>
            <w:tcW w:w="280" w:type="dxa"/>
            <w:vAlign w:val="bottom"/>
            <w:gridSpan w:val="2"/>
            <w:shd w:val="clear" w:color="auto" w:fill="CCEEFF"/>
          </w:tcPr>
          <w:p>
            <w:pPr>
              <w:jc w:val="right"/>
              <w:ind w:right="26"/>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39,860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39,861</w:t>
            </w:r>
          </w:p>
        </w:tc>
        <w:tc>
          <w:tcPr>
            <w:tcW w:w="0" w:type="dxa"/>
            <w:vAlign w:val="bottom"/>
          </w:tcPr>
          <w:p>
            <w:pPr>
              <w:spacing w:after="0"/>
              <w:rPr>
                <w:sz w:val="1"/>
                <w:szCs w:val="1"/>
                <w:color w:val="auto"/>
              </w:rPr>
            </w:pPr>
          </w:p>
        </w:tc>
      </w:tr>
      <w:tr>
        <w:trPr>
          <w:trHeight w:val="198"/>
        </w:trPr>
        <w:tc>
          <w:tcPr>
            <w:tcW w:w="2420" w:type="dxa"/>
            <w:vAlign w:val="bottom"/>
          </w:tcPr>
          <w:p>
            <w:pPr>
              <w:ind w:left="140"/>
              <w:spacing w:after="0"/>
              <w:rPr>
                <w:sz w:val="20"/>
                <w:szCs w:val="20"/>
                <w:color w:val="auto"/>
              </w:rPr>
            </w:pPr>
            <w:r>
              <w:rPr>
                <w:rFonts w:ascii="Arial" w:cs="Arial" w:eastAsia="Arial" w:hAnsi="Arial"/>
                <w:sz w:val="13"/>
                <w:szCs w:val="13"/>
                <w:color w:val="auto"/>
              </w:rPr>
              <w:t>GM Financial</w:t>
            </w:r>
          </w:p>
        </w:tc>
        <w:tc>
          <w:tcPr>
            <w:tcW w:w="16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4,276</w:t>
            </w: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w w:val="93"/>
              </w:rPr>
              <w:t>(1)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4,275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4,164</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4,159</w:t>
            </w:r>
          </w:p>
        </w:tc>
        <w:tc>
          <w:tcPr>
            <w:tcW w:w="0" w:type="dxa"/>
            <w:vAlign w:val="bottom"/>
          </w:tcPr>
          <w:p>
            <w:pPr>
              <w:spacing w:after="0"/>
              <w:rPr>
                <w:sz w:val="1"/>
                <w:szCs w:val="1"/>
                <w:color w:val="auto"/>
              </w:rPr>
            </w:pPr>
          </w:p>
        </w:tc>
      </w:tr>
      <w:tr>
        <w:trPr>
          <w:trHeight w:val="200"/>
        </w:trPr>
        <w:tc>
          <w:tcPr>
            <w:tcW w:w="24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Total net sales and revenue</w:t>
            </w: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39,349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4,276</w:t>
            </w:r>
          </w:p>
        </w:tc>
        <w:tc>
          <w:tcPr>
            <w:tcW w:w="1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43,624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39,860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4,164</w:t>
            </w: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44,020</w:t>
            </w:r>
          </w:p>
        </w:tc>
        <w:tc>
          <w:tcPr>
            <w:tcW w:w="0" w:type="dxa"/>
            <w:vAlign w:val="bottom"/>
          </w:tcPr>
          <w:p>
            <w:pPr>
              <w:spacing w:after="0"/>
              <w:rPr>
                <w:sz w:val="1"/>
                <w:szCs w:val="1"/>
                <w:color w:val="auto"/>
              </w:rPr>
            </w:pPr>
          </w:p>
        </w:tc>
      </w:tr>
      <w:tr>
        <w:trPr>
          <w:trHeight w:val="174"/>
        </w:trPr>
        <w:tc>
          <w:tcPr>
            <w:tcW w:w="2420" w:type="dxa"/>
            <w:vAlign w:val="bottom"/>
          </w:tcPr>
          <w:p>
            <w:pPr>
              <w:ind w:left="20"/>
              <w:spacing w:after="0"/>
              <w:rPr>
                <w:sz w:val="20"/>
                <w:szCs w:val="20"/>
                <w:color w:val="auto"/>
              </w:rPr>
            </w:pPr>
            <w:r>
              <w:rPr>
                <w:rFonts w:ascii="Arial" w:cs="Arial" w:eastAsia="Arial" w:hAnsi="Arial"/>
                <w:sz w:val="13"/>
                <w:szCs w:val="13"/>
                <w:b w:val="1"/>
                <w:bCs w:val="1"/>
                <w:color w:val="auto"/>
              </w:rPr>
              <w:t>Costs and expenses</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Automotive and other cost of sales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35,027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35,028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35,029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35,191</w:t>
            </w:r>
          </w:p>
        </w:tc>
        <w:tc>
          <w:tcPr>
            <w:tcW w:w="0" w:type="dxa"/>
            <w:vAlign w:val="bottom"/>
          </w:tcPr>
          <w:p>
            <w:pPr>
              <w:spacing w:after="0"/>
              <w:rPr>
                <w:sz w:val="1"/>
                <w:szCs w:val="1"/>
                <w:color w:val="auto"/>
              </w:rPr>
            </w:pPr>
          </w:p>
        </w:tc>
      </w:tr>
      <w:tr>
        <w:trPr>
          <w:trHeight w:val="122"/>
        </w:trPr>
        <w:tc>
          <w:tcPr>
            <w:tcW w:w="2420" w:type="dxa"/>
            <w:vAlign w:val="bottom"/>
          </w:tcPr>
          <w:p>
            <w:pPr>
              <w:ind w:left="140"/>
              <w:spacing w:after="0" w:line="122" w:lineRule="exact"/>
              <w:rPr>
                <w:sz w:val="20"/>
                <w:szCs w:val="20"/>
                <w:color w:val="auto"/>
              </w:rPr>
            </w:pPr>
            <w:r>
              <w:rPr>
                <w:rFonts w:ascii="Arial" w:cs="Arial" w:eastAsia="Arial" w:hAnsi="Arial"/>
                <w:sz w:val="13"/>
                <w:szCs w:val="13"/>
                <w:color w:val="auto"/>
              </w:rPr>
              <w:t>GM Financial interest, operating, and</w:t>
            </w:r>
          </w:p>
        </w:tc>
        <w:tc>
          <w:tcPr>
            <w:tcW w:w="160" w:type="dxa"/>
            <w:vAlign w:val="bottom"/>
          </w:tcPr>
          <w:p>
            <w:pPr>
              <w:spacing w:after="0"/>
              <w:rPr>
                <w:sz w:val="10"/>
                <w:szCs w:val="10"/>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3,602</w:t>
            </w:r>
          </w:p>
        </w:tc>
        <w:tc>
          <w:tcPr>
            <w:tcW w:w="1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w w:val="93"/>
              </w:rPr>
              <w:t>(1)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3,601</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3,491</w:t>
            </w: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520" w:type="dxa"/>
            <w:vAlign w:val="bottom"/>
            <w:gridSpan w:val="2"/>
            <w:vMerge w:val="restart"/>
          </w:tcPr>
          <w:p>
            <w:pPr>
              <w:ind w:lef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3,491</w:t>
            </w:r>
          </w:p>
        </w:tc>
        <w:tc>
          <w:tcPr>
            <w:tcW w:w="0" w:type="dxa"/>
            <w:vAlign w:val="bottom"/>
          </w:tcPr>
          <w:p>
            <w:pPr>
              <w:spacing w:after="0"/>
              <w:rPr>
                <w:sz w:val="1"/>
                <w:szCs w:val="1"/>
                <w:color w:val="auto"/>
              </w:rPr>
            </w:pPr>
          </w:p>
        </w:tc>
      </w:tr>
      <w:tr>
        <w:trPr>
          <w:trHeight w:val="185"/>
        </w:trPr>
        <w:tc>
          <w:tcPr>
            <w:tcW w:w="2420" w:type="dxa"/>
            <w:vAlign w:val="bottom"/>
          </w:tcPr>
          <w:p>
            <w:pPr>
              <w:ind w:left="300"/>
              <w:spacing w:after="0"/>
              <w:rPr>
                <w:sz w:val="20"/>
                <w:szCs w:val="20"/>
                <w:color w:val="auto"/>
              </w:rPr>
            </w:pPr>
            <w:r>
              <w:rPr>
                <w:rFonts w:ascii="Arial" w:cs="Arial" w:eastAsia="Arial" w:hAnsi="Arial"/>
                <w:sz w:val="13"/>
                <w:szCs w:val="13"/>
                <w:color w:val="auto"/>
              </w:rPr>
              <w:t>other expenses</w:t>
            </w:r>
          </w:p>
        </w:tc>
        <w:tc>
          <w:tcPr>
            <w:tcW w:w="16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420" w:type="dxa"/>
            <w:vAlign w:val="bottom"/>
            <w:shd w:val="clear" w:color="auto" w:fill="CCEEFF"/>
          </w:tcPr>
          <w:p>
            <w:pPr>
              <w:ind w:left="140"/>
              <w:spacing w:after="0" w:line="126" w:lineRule="exact"/>
              <w:rPr>
                <w:sz w:val="20"/>
                <w:szCs w:val="20"/>
                <w:color w:val="auto"/>
              </w:rPr>
            </w:pPr>
            <w:r>
              <w:rPr>
                <w:rFonts w:ascii="Arial" w:cs="Arial" w:eastAsia="Arial" w:hAnsi="Arial"/>
                <w:sz w:val="13"/>
                <w:szCs w:val="13"/>
                <w:color w:val="auto"/>
              </w:rPr>
              <w:t>Automotive and other selling, general,</w:t>
            </w:r>
          </w:p>
        </w:tc>
        <w:tc>
          <w:tcPr>
            <w:tcW w:w="16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2,070</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3"/>
              </w:rPr>
              <w:t>(1)</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2,069</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1,874</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1,985</w:t>
            </w:r>
          </w:p>
        </w:tc>
        <w:tc>
          <w:tcPr>
            <w:tcW w:w="0" w:type="dxa"/>
            <w:vAlign w:val="bottom"/>
          </w:tcPr>
          <w:p>
            <w:pPr>
              <w:spacing w:after="0"/>
              <w:rPr>
                <w:sz w:val="1"/>
                <w:szCs w:val="1"/>
                <w:color w:val="auto"/>
              </w:rPr>
            </w:pPr>
          </w:p>
        </w:tc>
      </w:tr>
      <w:tr>
        <w:trPr>
          <w:trHeight w:val="185"/>
        </w:trPr>
        <w:tc>
          <w:tcPr>
            <w:tcW w:w="24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and administrative expense</w:t>
            </w:r>
          </w:p>
        </w:tc>
        <w:tc>
          <w:tcPr>
            <w:tcW w:w="16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2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Total costs and expenses</w:t>
            </w:r>
          </w:p>
        </w:tc>
        <w:tc>
          <w:tcPr>
            <w:tcW w:w="1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37,097</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3,602</w:t>
            </w:r>
          </w:p>
        </w:tc>
        <w:tc>
          <w:tcPr>
            <w:tcW w:w="100" w:type="dxa"/>
            <w:vAlign w:val="bottom"/>
            <w:tcBorders>
              <w:bottom w:val="single" w:sz="8" w:color="CCEEFF"/>
            </w:tcBorders>
          </w:tcPr>
          <w:p>
            <w:pPr>
              <w:spacing w:after="0"/>
              <w:rPr>
                <w:sz w:val="17"/>
                <w:szCs w:val="17"/>
                <w:color w:val="auto"/>
              </w:rPr>
            </w:pPr>
          </w:p>
        </w:tc>
        <w:tc>
          <w:tcPr>
            <w:tcW w:w="138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3"/>
              </w:rPr>
              <w:t>(1)</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40,698</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36,903</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274</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3,491</w:t>
            </w:r>
          </w:p>
        </w:tc>
        <w:tc>
          <w:tcPr>
            <w:tcW w:w="100" w:type="dxa"/>
            <w:vAlign w:val="bottom"/>
            <w:tcBorders>
              <w:bottom w:val="single" w:sz="8" w:color="CCEEFF"/>
            </w:tcBorders>
          </w:tcPr>
          <w:p>
            <w:pPr>
              <w:spacing w:after="0"/>
              <w:rPr>
                <w:sz w:val="17"/>
                <w:szCs w:val="17"/>
                <w:color w:val="auto"/>
              </w:rPr>
            </w:pPr>
          </w:p>
        </w:tc>
        <w:tc>
          <w:tcPr>
            <w:tcW w:w="116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40,668</w:t>
            </w:r>
          </w:p>
        </w:tc>
        <w:tc>
          <w:tcPr>
            <w:tcW w:w="0" w:type="dxa"/>
            <w:vAlign w:val="bottom"/>
          </w:tcPr>
          <w:p>
            <w:pPr>
              <w:spacing w:after="0"/>
              <w:rPr>
                <w:sz w:val="1"/>
                <w:szCs w:val="1"/>
                <w:color w:val="auto"/>
              </w:rPr>
            </w:pPr>
          </w:p>
        </w:tc>
      </w:tr>
      <w:tr>
        <w:trPr>
          <w:trHeight w:val="200"/>
        </w:trPr>
        <w:tc>
          <w:tcPr>
            <w:tcW w:w="24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Operating income (loss)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675</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673</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3,352</w:t>
            </w:r>
          </w:p>
        </w:tc>
        <w:tc>
          <w:tcPr>
            <w:tcW w:w="0" w:type="dxa"/>
            <w:vAlign w:val="bottom"/>
          </w:tcPr>
          <w:p>
            <w:pPr>
              <w:spacing w:after="0"/>
              <w:rPr>
                <w:sz w:val="1"/>
                <w:szCs w:val="1"/>
                <w:color w:val="auto"/>
              </w:rPr>
            </w:pPr>
          </w:p>
        </w:tc>
      </w:tr>
      <w:tr>
        <w:trPr>
          <w:trHeight w:val="198"/>
        </w:trPr>
        <w:tc>
          <w:tcPr>
            <w:tcW w:w="2420" w:type="dxa"/>
            <w:vAlign w:val="bottom"/>
          </w:tcPr>
          <w:p>
            <w:pPr>
              <w:ind w:left="20"/>
              <w:spacing w:after="0"/>
              <w:rPr>
                <w:sz w:val="20"/>
                <w:szCs w:val="20"/>
                <w:color w:val="auto"/>
              </w:rPr>
            </w:pPr>
            <w:r>
              <w:rPr>
                <w:rFonts w:ascii="Arial" w:cs="Arial" w:eastAsia="Arial" w:hAnsi="Arial"/>
                <w:sz w:val="13"/>
                <w:szCs w:val="13"/>
                <w:color w:val="auto"/>
              </w:rPr>
              <w:t>Automotive interest expense</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80" w:type="dxa"/>
            <w:vAlign w:val="bottom"/>
          </w:tcPr>
          <w:p>
            <w:pPr>
              <w:spacing w:after="0"/>
              <w:rPr>
                <w:sz w:val="17"/>
                <w:szCs w:val="17"/>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25"/>
        </w:trPr>
        <w:tc>
          <w:tcPr>
            <w:tcW w:w="2420" w:type="dxa"/>
            <w:vAlign w:val="bottom"/>
            <w:shd w:val="clear" w:color="auto" w:fill="CCEEFF"/>
          </w:tcPr>
          <w:p>
            <w:pPr>
              <w:ind w:left="20"/>
              <w:spacing w:after="0" w:line="126" w:lineRule="exact"/>
              <w:rPr>
                <w:sz w:val="20"/>
                <w:szCs w:val="20"/>
                <w:color w:val="auto"/>
              </w:rPr>
            </w:pPr>
            <w:r>
              <w:rPr>
                <w:rFonts w:ascii="Arial" w:cs="Arial" w:eastAsia="Arial" w:hAnsi="Arial"/>
                <w:sz w:val="13"/>
                <w:szCs w:val="13"/>
                <w:color w:val="auto"/>
              </w:rPr>
              <w:t>Interest income and other non-operating</w:t>
            </w:r>
          </w:p>
        </w:tc>
        <w:tc>
          <w:tcPr>
            <w:tcW w:w="16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spacing w:after="0"/>
              <w:rPr>
                <w:sz w:val="10"/>
                <w:szCs w:val="10"/>
                <w:color w:val="auto"/>
              </w:rPr>
            </w:pPr>
          </w:p>
        </w:tc>
        <w:tc>
          <w:tcPr>
            <w:tcW w:w="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334</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189"/>
        </w:trPr>
        <w:tc>
          <w:tcPr>
            <w:tcW w:w="24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income, net</w:t>
            </w:r>
          </w:p>
        </w:tc>
        <w:tc>
          <w:tcPr>
            <w:tcW w:w="16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4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Equity income (loss)</w:t>
            </w: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00"/>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(loss) before income taxes</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3,347</w:t>
            </w:r>
          </w:p>
        </w:tc>
        <w:tc>
          <w:tcPr>
            <w:tcW w:w="280" w:type="dxa"/>
            <w:vAlign w:val="bottom"/>
            <w:gridSpan w:val="2"/>
            <w:shd w:val="clear" w:color="auto" w:fill="CCEEFF"/>
          </w:tcPr>
          <w:p>
            <w:pPr>
              <w:jc w:val="right"/>
              <w:ind w:right="26"/>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3,572</w:t>
            </w:r>
          </w:p>
        </w:tc>
        <w:tc>
          <w:tcPr>
            <w:tcW w:w="0" w:type="dxa"/>
            <w:vAlign w:val="bottom"/>
          </w:tcPr>
          <w:p>
            <w:pPr>
              <w:spacing w:after="0"/>
              <w:rPr>
                <w:sz w:val="1"/>
                <w:szCs w:val="1"/>
                <w:color w:val="auto"/>
              </w:rPr>
            </w:pPr>
          </w:p>
        </w:tc>
      </w:tr>
      <w:tr>
        <w:trPr>
          <w:trHeight w:val="198"/>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tax expense (benefit)</w:t>
            </w:r>
          </w:p>
        </w:tc>
        <w:tc>
          <w:tcPr>
            <w:tcW w:w="16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719</w:t>
            </w:r>
          </w:p>
        </w:tc>
        <w:tc>
          <w:tcPr>
            <w:tcW w:w="0" w:type="dxa"/>
            <w:vAlign w:val="bottom"/>
          </w:tcPr>
          <w:p>
            <w:pPr>
              <w:spacing w:after="0"/>
              <w:rPr>
                <w:sz w:val="1"/>
                <w:szCs w:val="1"/>
                <w:color w:val="auto"/>
              </w:rPr>
            </w:pPr>
          </w:p>
        </w:tc>
      </w:tr>
      <w:tr>
        <w:trPr>
          <w:trHeight w:val="200"/>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income (loss)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2,853</w:t>
            </w:r>
          </w:p>
        </w:tc>
        <w:tc>
          <w:tcPr>
            <w:tcW w:w="0" w:type="dxa"/>
            <w:vAlign w:val="bottom"/>
          </w:tcPr>
          <w:p>
            <w:pPr>
              <w:spacing w:after="0"/>
              <w:rPr>
                <w:sz w:val="1"/>
                <w:szCs w:val="1"/>
                <w:color w:val="auto"/>
              </w:rPr>
            </w:pPr>
          </w:p>
        </w:tc>
      </w:tr>
      <w:tr>
        <w:trPr>
          <w:trHeight w:val="122"/>
        </w:trPr>
        <w:tc>
          <w:tcPr>
            <w:tcW w:w="2420" w:type="dxa"/>
            <w:vAlign w:val="bottom"/>
          </w:tcPr>
          <w:p>
            <w:pPr>
              <w:ind w:left="20"/>
              <w:spacing w:after="0" w:line="122" w:lineRule="exact"/>
              <w:rPr>
                <w:sz w:val="20"/>
                <w:szCs w:val="20"/>
                <w:color w:val="auto"/>
              </w:rPr>
            </w:pPr>
            <w:r>
              <w:rPr>
                <w:rFonts w:ascii="Arial" w:cs="Arial" w:eastAsia="Arial" w:hAnsi="Arial"/>
                <w:sz w:val="13"/>
                <w:szCs w:val="13"/>
                <w:color w:val="auto"/>
              </w:rPr>
              <w:t>Net loss (income) attributable to</w:t>
            </w: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85"/>
        </w:trPr>
        <w:tc>
          <w:tcPr>
            <w:tcW w:w="242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noncontrolling interests</w:t>
            </w:r>
          </w:p>
        </w:tc>
        <w:tc>
          <w:tcPr>
            <w:tcW w:w="16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6"/>
        </w:trPr>
        <w:tc>
          <w:tcPr>
            <w:tcW w:w="2420" w:type="dxa"/>
            <w:vAlign w:val="bottom"/>
            <w:shd w:val="clear" w:color="auto" w:fill="CCEEFF"/>
          </w:tcPr>
          <w:p>
            <w:pPr>
              <w:ind w:left="20"/>
              <w:spacing w:after="0" w:line="106" w:lineRule="exact"/>
              <w:rPr>
                <w:sz w:val="20"/>
                <w:szCs w:val="20"/>
                <w:color w:val="auto"/>
              </w:rPr>
            </w:pPr>
            <w:r>
              <w:rPr>
                <w:rFonts w:ascii="Arial" w:cs="Arial" w:eastAsia="Arial" w:hAnsi="Arial"/>
                <w:sz w:val="12"/>
                <w:szCs w:val="12"/>
                <w:b w:val="1"/>
                <w:bCs w:val="1"/>
                <w:color w:val="auto"/>
              </w:rPr>
              <w:t>Net income (loss) attributable to</w:t>
            </w: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2,627</w:t>
            </w: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2,784</w:t>
            </w:r>
          </w:p>
        </w:tc>
        <w:tc>
          <w:tcPr>
            <w:tcW w:w="0" w:type="dxa"/>
            <w:vAlign w:val="bottom"/>
          </w:tcPr>
          <w:p>
            <w:pPr>
              <w:spacing w:after="0"/>
              <w:rPr>
                <w:sz w:val="1"/>
                <w:szCs w:val="1"/>
                <w:color w:val="auto"/>
              </w:rPr>
            </w:pPr>
          </w:p>
        </w:tc>
      </w:tr>
      <w:tr>
        <w:trPr>
          <w:trHeight w:val="182"/>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b w:val="1"/>
                <w:bCs w:val="1"/>
                <w:color w:val="auto"/>
              </w:rPr>
              <w:t>stockholders</w:t>
            </w: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242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b w:val="1"/>
                <w:bCs w:val="1"/>
                <w:color w:val="auto"/>
              </w:rPr>
              <w:t>Net income (loss) attributable to</w:t>
            </w: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2,614</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3,361</w:t>
            </w:r>
          </w:p>
        </w:tc>
        <w:tc>
          <w:tcPr>
            <w:tcW w:w="0" w:type="dxa"/>
            <w:vAlign w:val="bottom"/>
          </w:tcPr>
          <w:p>
            <w:pPr>
              <w:spacing w:after="0"/>
              <w:rPr>
                <w:sz w:val="1"/>
                <w:szCs w:val="1"/>
                <w:color w:val="auto"/>
              </w:rPr>
            </w:pPr>
          </w:p>
        </w:tc>
      </w:tr>
      <w:tr>
        <w:trPr>
          <w:trHeight w:val="189"/>
        </w:trPr>
        <w:tc>
          <w:tcPr>
            <w:tcW w:w="242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common stockholders</w:t>
            </w: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4"/>
          <w:szCs w:val="14"/>
          <w:color w:val="auto"/>
        </w:rPr>
        <w:t>________</w:t>
      </w:r>
    </w:p>
    <w:p>
      <w:pPr>
        <w:spacing w:after="0" w:line="29" w:lineRule="exact"/>
        <w:rPr>
          <w:sz w:val="20"/>
          <w:szCs w:val="20"/>
          <w:color w:val="auto"/>
        </w:rPr>
      </w:pPr>
    </w:p>
    <w:p>
      <w:pPr>
        <w:ind w:left="100" w:hanging="92"/>
        <w:spacing w:after="0"/>
        <w:tabs>
          <w:tab w:leader="none" w:pos="100" w:val="left"/>
        </w:tabs>
        <w:numPr>
          <w:ilvl w:val="0"/>
          <w:numId w:val="6"/>
        </w:numPr>
        <w:rPr>
          <w:rFonts w:ascii="Arial" w:cs="Arial" w:eastAsia="Arial" w:hAnsi="Arial"/>
          <w:sz w:val="9"/>
          <w:szCs w:val="9"/>
          <w:color w:val="auto"/>
        </w:rPr>
      </w:pPr>
      <w:r>
        <w:rPr>
          <w:rFonts w:ascii="Arial" w:cs="Arial" w:eastAsia="Arial" w:hAnsi="Arial"/>
          <w:sz w:val="14"/>
          <w:szCs w:val="14"/>
          <w:color w:val="auto"/>
        </w:rPr>
        <w:t>Certain columns and rows may not add due to rounding.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320" w:top="854" w:right="339" w:bottom="1440" w:gutter="0" w:footer="0" w:header="0"/>
        </w:sectPr>
      </w:pPr>
    </w:p>
    <w:bookmarkStart w:id="8" w:name="page9"/>
    <w:bookmarkEnd w:id="8"/>
    <w:p>
      <w:pPr>
        <w:ind w:left="3980"/>
        <w:spacing w:after="0"/>
        <w:rPr>
          <w:sz w:val="20"/>
          <w:szCs w:val="20"/>
          <w:color w:val="auto"/>
        </w:rPr>
      </w:pPr>
      <w:r>
        <w:rPr>
          <w:rFonts w:ascii="Arial" w:cs="Arial" w:eastAsia="Arial" w:hAnsi="Arial"/>
          <w:sz w:val="16"/>
          <w:szCs w:val="16"/>
          <w:b w:val="1"/>
          <w:bCs w:val="1"/>
          <w:color w:val="auto"/>
        </w:rPr>
        <w:t>General Motors Company and Subsidiaries</w:t>
      </w:r>
      <w:r>
        <w:rPr>
          <w:rFonts w:ascii="Arial" w:cs="Arial" w:eastAsia="Arial" w:hAnsi="Arial"/>
          <w:sz w:val="21"/>
          <w:szCs w:val="21"/>
          <w:b w:val="1"/>
          <w:bCs w:val="1"/>
          <w:color w:val="auto"/>
          <w:vertAlign w:val="superscript"/>
        </w:rPr>
        <w:t>1</w:t>
      </w:r>
    </w:p>
    <w:p>
      <w:pPr>
        <w:spacing w:after="0" w:line="83" w:lineRule="exact"/>
        <w:rPr>
          <w:sz w:val="20"/>
          <w:szCs w:val="20"/>
          <w:color w:val="auto"/>
        </w:rPr>
      </w:pPr>
    </w:p>
    <w:p>
      <w:pPr>
        <w:ind w:left="4220"/>
        <w:spacing w:after="0"/>
        <w:rPr>
          <w:sz w:val="20"/>
          <w:szCs w:val="20"/>
          <w:color w:val="auto"/>
        </w:rPr>
      </w:pPr>
      <w:r>
        <w:rPr>
          <w:rFonts w:ascii="Arial" w:cs="Arial" w:eastAsia="Arial" w:hAnsi="Arial"/>
          <w:sz w:val="16"/>
          <w:szCs w:val="16"/>
          <w:b w:val="1"/>
          <w:bCs w:val="1"/>
          <w:color w:val="auto"/>
        </w:rPr>
        <w:t>Basic and Diluted Earnings per Share</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6"/>
          <w:szCs w:val="16"/>
          <w:i w:val="1"/>
          <w:iCs w:val="1"/>
          <w:color w:val="auto"/>
        </w:rPr>
        <w:t>(Unaudited)</w:t>
      </w:r>
    </w:p>
    <w:p>
      <w:pPr>
        <w:spacing w:after="0" w:line="2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table summarizes basic and diluted earnings per share (in millions, except per share amounts):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00" w:type="dxa"/>
            <w:vAlign w:val="bottom"/>
          </w:tcPr>
          <w:p>
            <w:pPr>
              <w:spacing w:after="0"/>
              <w:rPr>
                <w:sz w:val="15"/>
                <w:szCs w:val="15"/>
                <w:color w:val="auto"/>
              </w:rPr>
            </w:pPr>
          </w:p>
        </w:tc>
        <w:tc>
          <w:tcPr>
            <w:tcW w:w="22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3"/>
                <w:szCs w:val="13"/>
                <w:b w:val="1"/>
                <w:bCs w:val="1"/>
                <w:color w:val="auto"/>
              </w:rPr>
              <w:t>Three Months Ended</w:t>
            </w:r>
          </w:p>
        </w:tc>
        <w:tc>
          <w:tcPr>
            <w:tcW w:w="2240" w:type="dxa"/>
            <w:vAlign w:val="bottom"/>
            <w:tcBorders>
              <w:bottom w:val="single" w:sz="8" w:color="auto"/>
            </w:tcBorders>
          </w:tcPr>
          <w:p>
            <w:pPr>
              <w:spacing w:after="0"/>
              <w:rPr>
                <w:sz w:val="15"/>
                <w:szCs w:val="15"/>
                <w:color w:val="auto"/>
              </w:rPr>
            </w:pPr>
          </w:p>
        </w:tc>
      </w:tr>
      <w:tr>
        <w:trPr>
          <w:trHeight w:val="169"/>
        </w:trPr>
        <w:tc>
          <w:tcPr>
            <w:tcW w:w="4900" w:type="dxa"/>
            <w:vAlign w:val="bottom"/>
          </w:tcPr>
          <w:p>
            <w:pPr>
              <w:spacing w:after="0"/>
              <w:rPr>
                <w:sz w:val="14"/>
                <w:szCs w:val="14"/>
                <w:color w:val="auto"/>
              </w:rPr>
            </w:pPr>
          </w:p>
        </w:tc>
        <w:tc>
          <w:tcPr>
            <w:tcW w:w="2220" w:type="dxa"/>
            <w:vAlign w:val="bottom"/>
            <w:tcBorders>
              <w:bottom w:val="single" w:sz="8" w:color="auto"/>
            </w:tcBorders>
          </w:tcPr>
          <w:p>
            <w:pPr>
              <w:jc w:val="right"/>
              <w:ind w:right="162"/>
              <w:spacing w:after="0"/>
              <w:rPr>
                <w:sz w:val="20"/>
                <w:szCs w:val="20"/>
                <w:color w:val="auto"/>
              </w:rPr>
            </w:pPr>
            <w:r>
              <w:rPr>
                <w:rFonts w:ascii="Arial" w:cs="Arial" w:eastAsia="Arial" w:hAnsi="Arial"/>
                <w:sz w:val="13"/>
                <w:szCs w:val="13"/>
                <w:b w:val="1"/>
                <w:bCs w:val="1"/>
                <w:color w:val="auto"/>
              </w:rPr>
              <w:t>March 31, 2026</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tcPr>
          <w:p>
            <w:pPr>
              <w:jc w:val="right"/>
              <w:ind w:right="1001"/>
              <w:spacing w:after="0"/>
              <w:rPr>
                <w:sz w:val="20"/>
                <w:szCs w:val="20"/>
                <w:color w:val="auto"/>
              </w:rPr>
            </w:pPr>
            <w:r>
              <w:rPr>
                <w:rFonts w:ascii="Arial" w:cs="Arial" w:eastAsia="Arial" w:hAnsi="Arial"/>
                <w:sz w:val="13"/>
                <w:szCs w:val="13"/>
                <w:b w:val="1"/>
                <w:bCs w:val="1"/>
                <w:color w:val="auto"/>
              </w:rPr>
              <w:t>March 31, 2025</w:t>
            </w:r>
          </w:p>
        </w:tc>
      </w:tr>
      <w:tr>
        <w:trPr>
          <w:trHeight w:val="185"/>
        </w:trPr>
        <w:tc>
          <w:tcPr>
            <w:tcW w:w="4900" w:type="dxa"/>
            <w:vAlign w:val="bottom"/>
          </w:tcPr>
          <w:p>
            <w:pPr>
              <w:spacing w:after="0"/>
              <w:rPr>
                <w:sz w:val="20"/>
                <w:szCs w:val="20"/>
                <w:color w:val="auto"/>
              </w:rPr>
            </w:pPr>
            <w:r>
              <w:rPr>
                <w:rFonts w:ascii="Arial" w:cs="Arial" w:eastAsia="Arial" w:hAnsi="Arial"/>
                <w:sz w:val="14"/>
                <w:szCs w:val="14"/>
                <w:b w:val="1"/>
                <w:bCs w:val="1"/>
                <w:color w:val="auto"/>
              </w:rPr>
              <w:t>Basic earnings per share</w:t>
            </w:r>
          </w:p>
        </w:tc>
        <w:tc>
          <w:tcPr>
            <w:tcW w:w="2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217"/>
        </w:trPr>
        <w:tc>
          <w:tcPr>
            <w:tcW w:w="4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income (loss) attributable to stockholders</w:t>
            </w:r>
          </w:p>
        </w:tc>
        <w:tc>
          <w:tcPr>
            <w:tcW w:w="2220" w:type="dxa"/>
            <w:vAlign w:val="bottom"/>
            <w:shd w:val="clear" w:color="auto" w:fill="CCEEFF"/>
          </w:tcPr>
          <w:p>
            <w:pPr>
              <w:jc w:val="right"/>
              <w:ind w:right="2042"/>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2,627</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2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2,784</w:t>
            </w:r>
          </w:p>
        </w:tc>
      </w:tr>
      <w:tr>
        <w:trPr>
          <w:trHeight w:val="215"/>
        </w:trPr>
        <w:tc>
          <w:tcPr>
            <w:tcW w:w="49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Adjustments(a)</w:t>
            </w:r>
          </w:p>
        </w:tc>
        <w:tc>
          <w:tcPr>
            <w:tcW w:w="2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577</w:t>
            </w:r>
          </w:p>
        </w:tc>
      </w:tr>
      <w:tr>
        <w:trPr>
          <w:trHeight w:val="235"/>
        </w:trPr>
        <w:tc>
          <w:tcPr>
            <w:tcW w:w="4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Net income (loss) attributable to common stockholders</w:t>
            </w:r>
          </w:p>
        </w:tc>
        <w:tc>
          <w:tcPr>
            <w:tcW w:w="2220" w:type="dxa"/>
            <w:vAlign w:val="bottom"/>
            <w:tcBorders>
              <w:bottom w:val="single" w:sz="8" w:color="auto"/>
            </w:tcBorders>
            <w:shd w:val="clear" w:color="auto" w:fill="CCEEFF"/>
          </w:tcPr>
          <w:p>
            <w:pPr>
              <w:jc w:val="right"/>
              <w:ind w:right="204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2,614</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2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3,361</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4900" w:type="dxa"/>
            <w:vAlign w:val="bottom"/>
          </w:tcPr>
          <w:p>
            <w:pPr>
              <w:spacing w:after="0"/>
              <w:rPr>
                <w:sz w:val="4"/>
                <w:szCs w:val="4"/>
                <w:color w:val="auto"/>
              </w:rPr>
            </w:pPr>
          </w:p>
        </w:tc>
        <w:tc>
          <w:tcPr>
            <w:tcW w:w="2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40" w:type="dxa"/>
            <w:vAlign w:val="bottom"/>
          </w:tcPr>
          <w:p>
            <w:pPr>
              <w:spacing w:after="0"/>
              <w:rPr>
                <w:sz w:val="4"/>
                <w:szCs w:val="4"/>
                <w:color w:val="auto"/>
              </w:rPr>
            </w:pPr>
          </w:p>
        </w:tc>
      </w:tr>
      <w:tr>
        <w:trPr>
          <w:trHeight w:val="216"/>
        </w:trPr>
        <w:tc>
          <w:tcPr>
            <w:tcW w:w="4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Weighted-average common shares outstanding</w:t>
            </w:r>
          </w:p>
        </w:tc>
        <w:tc>
          <w:tcPr>
            <w:tcW w:w="2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911</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988</w:t>
            </w:r>
          </w:p>
        </w:tc>
      </w:tr>
      <w:tr>
        <w:trPr>
          <w:trHeight w:val="108"/>
        </w:trPr>
        <w:tc>
          <w:tcPr>
            <w:tcW w:w="4900" w:type="dxa"/>
            <w:vAlign w:val="bottom"/>
          </w:tcPr>
          <w:p>
            <w:pPr>
              <w:spacing w:after="0"/>
              <w:rPr>
                <w:sz w:val="9"/>
                <w:szCs w:val="9"/>
                <w:color w:val="auto"/>
              </w:rPr>
            </w:pPr>
          </w:p>
        </w:tc>
        <w:tc>
          <w:tcPr>
            <w:tcW w:w="2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40" w:type="dxa"/>
            <w:vAlign w:val="bottom"/>
          </w:tcPr>
          <w:p>
            <w:pPr>
              <w:spacing w:after="0"/>
              <w:rPr>
                <w:sz w:val="9"/>
                <w:szCs w:val="9"/>
                <w:color w:val="auto"/>
              </w:rPr>
            </w:pPr>
          </w:p>
        </w:tc>
      </w:tr>
      <w:tr>
        <w:trPr>
          <w:trHeight w:val="216"/>
        </w:trPr>
        <w:tc>
          <w:tcPr>
            <w:tcW w:w="4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Basic earnings per common share</w:t>
            </w:r>
          </w:p>
        </w:tc>
        <w:tc>
          <w:tcPr>
            <w:tcW w:w="2220" w:type="dxa"/>
            <w:vAlign w:val="bottom"/>
            <w:shd w:val="clear" w:color="auto" w:fill="CCEEFF"/>
          </w:tcPr>
          <w:p>
            <w:pPr>
              <w:jc w:val="right"/>
              <w:ind w:right="2042"/>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2.87</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2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3.40</w:t>
            </w:r>
          </w:p>
        </w:tc>
      </w:tr>
      <w:tr>
        <w:trPr>
          <w:trHeight w:val="202"/>
        </w:trPr>
        <w:tc>
          <w:tcPr>
            <w:tcW w:w="4900" w:type="dxa"/>
            <w:vAlign w:val="bottom"/>
          </w:tcPr>
          <w:p>
            <w:pPr>
              <w:spacing w:after="0"/>
              <w:rPr>
                <w:sz w:val="20"/>
                <w:szCs w:val="20"/>
                <w:color w:val="auto"/>
              </w:rPr>
            </w:pPr>
            <w:r>
              <w:rPr>
                <w:rFonts w:ascii="Arial" w:cs="Arial" w:eastAsia="Arial" w:hAnsi="Arial"/>
                <w:sz w:val="14"/>
                <w:szCs w:val="14"/>
                <w:b w:val="1"/>
                <w:bCs w:val="1"/>
                <w:color w:val="auto"/>
              </w:rPr>
              <w:t>Diluted earnings per share</w:t>
            </w:r>
          </w:p>
        </w:tc>
        <w:tc>
          <w:tcPr>
            <w:tcW w:w="2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17"/>
        </w:trPr>
        <w:tc>
          <w:tcPr>
            <w:tcW w:w="4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income (loss) attributable to common stockholders – diluted</w:t>
            </w:r>
          </w:p>
        </w:tc>
        <w:tc>
          <w:tcPr>
            <w:tcW w:w="2220" w:type="dxa"/>
            <w:vAlign w:val="bottom"/>
            <w:shd w:val="clear" w:color="auto" w:fill="CCEEFF"/>
          </w:tcPr>
          <w:p>
            <w:pPr>
              <w:jc w:val="right"/>
              <w:ind w:right="2042"/>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2,614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2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3,361</w:t>
            </w:r>
          </w:p>
        </w:tc>
      </w:tr>
      <w:tr>
        <w:trPr>
          <w:trHeight w:val="108"/>
        </w:trPr>
        <w:tc>
          <w:tcPr>
            <w:tcW w:w="4900" w:type="dxa"/>
            <w:vAlign w:val="bottom"/>
          </w:tcPr>
          <w:p>
            <w:pPr>
              <w:spacing w:after="0"/>
              <w:rPr>
                <w:sz w:val="9"/>
                <w:szCs w:val="9"/>
                <w:color w:val="auto"/>
              </w:rPr>
            </w:pPr>
          </w:p>
        </w:tc>
        <w:tc>
          <w:tcPr>
            <w:tcW w:w="2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40" w:type="dxa"/>
            <w:vAlign w:val="bottom"/>
          </w:tcPr>
          <w:p>
            <w:pPr>
              <w:spacing w:after="0"/>
              <w:rPr>
                <w:sz w:val="9"/>
                <w:szCs w:val="9"/>
                <w:color w:val="auto"/>
              </w:rPr>
            </w:pPr>
          </w:p>
        </w:tc>
      </w:tr>
      <w:tr>
        <w:trPr>
          <w:trHeight w:val="216"/>
        </w:trPr>
        <w:tc>
          <w:tcPr>
            <w:tcW w:w="4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Weighted-average common shares outstanding – diluted</w:t>
            </w:r>
          </w:p>
        </w:tc>
        <w:tc>
          <w:tcPr>
            <w:tcW w:w="2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926</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1,002</w:t>
            </w:r>
          </w:p>
        </w:tc>
      </w:tr>
      <w:tr>
        <w:trPr>
          <w:trHeight w:val="108"/>
        </w:trPr>
        <w:tc>
          <w:tcPr>
            <w:tcW w:w="4900" w:type="dxa"/>
            <w:vAlign w:val="bottom"/>
          </w:tcPr>
          <w:p>
            <w:pPr>
              <w:spacing w:after="0"/>
              <w:rPr>
                <w:sz w:val="9"/>
                <w:szCs w:val="9"/>
                <w:color w:val="auto"/>
              </w:rPr>
            </w:pPr>
          </w:p>
        </w:tc>
        <w:tc>
          <w:tcPr>
            <w:tcW w:w="2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40" w:type="dxa"/>
            <w:vAlign w:val="bottom"/>
          </w:tcPr>
          <w:p>
            <w:pPr>
              <w:spacing w:after="0"/>
              <w:rPr>
                <w:sz w:val="9"/>
                <w:szCs w:val="9"/>
                <w:color w:val="auto"/>
              </w:rPr>
            </w:pPr>
          </w:p>
        </w:tc>
      </w:tr>
      <w:tr>
        <w:trPr>
          <w:trHeight w:val="216"/>
        </w:trPr>
        <w:tc>
          <w:tcPr>
            <w:tcW w:w="4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Diluted earnings per common share</w:t>
            </w:r>
          </w:p>
        </w:tc>
        <w:tc>
          <w:tcPr>
            <w:tcW w:w="2220" w:type="dxa"/>
            <w:vAlign w:val="bottom"/>
            <w:shd w:val="clear" w:color="auto" w:fill="CCEEFF"/>
          </w:tcPr>
          <w:p>
            <w:pPr>
              <w:jc w:val="right"/>
              <w:ind w:right="2042"/>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2.82</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2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3.35</w:t>
            </w:r>
          </w:p>
        </w:tc>
      </w:tr>
      <w:tr>
        <w:trPr>
          <w:trHeight w:val="215"/>
        </w:trPr>
        <w:tc>
          <w:tcPr>
            <w:tcW w:w="4900" w:type="dxa"/>
            <w:vAlign w:val="bottom"/>
          </w:tcPr>
          <w:p>
            <w:pPr>
              <w:ind w:left="120"/>
              <w:spacing w:after="0"/>
              <w:rPr>
                <w:sz w:val="20"/>
                <w:szCs w:val="20"/>
                <w:color w:val="auto"/>
              </w:rPr>
            </w:pPr>
            <w:r>
              <w:rPr>
                <w:rFonts w:ascii="Arial" w:cs="Arial" w:eastAsia="Arial" w:hAnsi="Arial"/>
                <w:sz w:val="14"/>
                <w:szCs w:val="14"/>
                <w:color w:val="auto"/>
              </w:rPr>
              <w:t>Potentially dilutive securities(b)</w:t>
            </w:r>
          </w:p>
        </w:tc>
        <w:tc>
          <w:tcPr>
            <w:tcW w:w="222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40" w:type="dxa"/>
            <w:vAlign w:val="bottom"/>
          </w:tcPr>
          <w:p>
            <w:pPr>
              <w:jc w:val="right"/>
              <w:ind w:right="1"/>
              <w:spacing w:after="0"/>
              <w:rPr>
                <w:sz w:val="20"/>
                <w:szCs w:val="20"/>
                <w:color w:val="auto"/>
              </w:rPr>
            </w:pPr>
            <w:r>
              <w:rPr>
                <w:rFonts w:ascii="Arial" w:cs="Arial" w:eastAsia="Arial" w:hAnsi="Arial"/>
                <w:sz w:val="16"/>
                <w:szCs w:val="16"/>
                <w:color w:val="auto"/>
              </w:rPr>
              <w:t>4</w:t>
            </w:r>
          </w:p>
        </w:tc>
      </w:tr>
    </w:tbl>
    <w:p>
      <w:pPr>
        <w:spacing w:after="0" w:line="73" w:lineRule="exact"/>
        <w:rPr>
          <w:sz w:val="20"/>
          <w:szCs w:val="20"/>
          <w:color w:val="auto"/>
        </w:rPr>
      </w:pPr>
    </w:p>
    <w:p>
      <w:pPr>
        <w:ind w:left="40"/>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380" w:hanging="332"/>
        <w:spacing w:after="0" w:line="261" w:lineRule="auto"/>
        <w:tabs>
          <w:tab w:leader="none" w:pos="367"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a $593 million return from the preferred shareholders related to the redemption of Cruise preferred shares from noncontrolling interest holders in the three months ended March 31, 2025.</w:t>
      </w:r>
    </w:p>
    <w:p>
      <w:pPr>
        <w:ind w:left="380" w:hanging="332"/>
        <w:spacing w:after="0" w:line="284" w:lineRule="auto"/>
        <w:tabs>
          <w:tab w:leader="none" w:pos="367" w:val="left"/>
        </w:tabs>
        <w:numPr>
          <w:ilvl w:val="0"/>
          <w:numId w:val="7"/>
        </w:numPr>
        <w:rPr>
          <w:rFonts w:ascii="Arial" w:cs="Arial" w:eastAsia="Arial" w:hAnsi="Arial"/>
          <w:sz w:val="14"/>
          <w:szCs w:val="14"/>
          <w:color w:val="auto"/>
        </w:rPr>
      </w:pPr>
      <w:r>
        <w:rPr>
          <w:rFonts w:ascii="Arial" w:cs="Arial" w:eastAsia="Arial" w:hAnsi="Arial"/>
          <w:sz w:val="14"/>
          <w:szCs w:val="14"/>
          <w:color w:val="auto"/>
        </w:rPr>
        <w:t>Potentially dilutive securities attributable to Performance Stock Units (PSUs) and Restricted Stock Units (RSUs) at March 31, 2026 and outstanding stock options, PSUs, and RSUs at March 31, 2025 were excluded from the computation of diluted earnings per share (EPS) because the securities would have had an antidilutive effect.</w:t>
      </w:r>
    </w:p>
    <w:p>
      <w:pPr>
        <w:spacing w:after="0" w:line="200" w:lineRule="exact"/>
        <w:rPr>
          <w:sz w:val="20"/>
          <w:szCs w:val="20"/>
          <w:color w:val="auto"/>
        </w:rPr>
      </w:pPr>
    </w:p>
    <w:p>
      <w:pPr>
        <w:spacing w:after="0" w:line="359"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80"/>
          </w:cols>
          <w:pgMar w:left="280" w:top="854" w:right="339" w:bottom="1440" w:gutter="0" w:footer="0" w:header="0"/>
        </w:sectPr>
      </w:pPr>
    </w:p>
    <w:bookmarkStart w:id="9" w:name="page10"/>
    <w:bookmarkEnd w:id="9"/>
    <w:p>
      <w:pPr>
        <w:ind w:left="3940"/>
        <w:spacing w:after="0"/>
        <w:rPr>
          <w:sz w:val="20"/>
          <w:szCs w:val="20"/>
          <w:color w:val="auto"/>
        </w:rPr>
      </w:pPr>
      <w:r>
        <w:rPr>
          <w:rFonts w:ascii="Arial" w:cs="Arial" w:eastAsia="Arial" w:hAnsi="Arial"/>
          <w:sz w:val="16"/>
          <w:szCs w:val="16"/>
          <w:b w:val="1"/>
          <w:bCs w:val="1"/>
          <w:color w:val="auto"/>
        </w:rPr>
        <w:t>General Motors Company and Subsidiaries</w:t>
      </w:r>
      <w:r>
        <w:rPr>
          <w:rFonts w:ascii="Arial" w:cs="Arial" w:eastAsia="Arial" w:hAnsi="Arial"/>
          <w:sz w:val="21"/>
          <w:szCs w:val="21"/>
          <w:b w:val="1"/>
          <w:bCs w:val="1"/>
          <w:color w:val="auto"/>
          <w:vertAlign w:val="superscript"/>
        </w:rPr>
        <w:t>1</w:t>
      </w:r>
    </w:p>
    <w:p>
      <w:pPr>
        <w:spacing w:after="0" w:line="83" w:lineRule="exact"/>
        <w:rPr>
          <w:sz w:val="20"/>
          <w:szCs w:val="20"/>
          <w:color w:val="auto"/>
        </w:rPr>
      </w:pPr>
    </w:p>
    <w:p>
      <w:pPr>
        <w:ind w:left="4160"/>
        <w:spacing w:after="0"/>
        <w:rPr>
          <w:sz w:val="20"/>
          <w:szCs w:val="20"/>
          <w:color w:val="auto"/>
        </w:rPr>
      </w:pPr>
      <w:r>
        <w:rPr>
          <w:rFonts w:ascii="Arial" w:cs="Arial" w:eastAsia="Arial" w:hAnsi="Arial"/>
          <w:sz w:val="16"/>
          <w:szCs w:val="16"/>
          <w:b w:val="1"/>
          <w:bCs w:val="1"/>
          <w:color w:val="auto"/>
        </w:rPr>
        <w:t>Combining Balance Sheet Information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millions, except per share amounts) (Unaudited)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9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March 31, 2026</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ind w:left="180"/>
              <w:spacing w:after="0"/>
              <w:rPr>
                <w:sz w:val="20"/>
                <w:szCs w:val="20"/>
                <w:color w:val="auto"/>
              </w:rPr>
            </w:pPr>
            <w:r>
              <w:rPr>
                <w:rFonts w:ascii="Arial" w:cs="Arial" w:eastAsia="Arial" w:hAnsi="Arial"/>
                <w:sz w:val="13"/>
                <w:szCs w:val="13"/>
                <w:b w:val="1"/>
                <w:bCs w:val="1"/>
                <w:color w:val="auto"/>
              </w:rPr>
              <w:t>December 31, 2025</w:t>
            </w: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960" w:type="dxa"/>
            <w:vAlign w:val="bottom"/>
          </w:tcPr>
          <w:p>
            <w:pPr>
              <w:spacing w:after="0"/>
              <w:rPr>
                <w:sz w:val="9"/>
                <w:szCs w:val="9"/>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9"/>
                <w:szCs w:val="9"/>
                <w:color w:val="auto"/>
              </w:rPr>
            </w:pPr>
          </w:p>
        </w:tc>
        <w:tc>
          <w:tcPr>
            <w:tcW w:w="540" w:type="dxa"/>
            <w:vAlign w:val="bottom"/>
          </w:tcPr>
          <w:p>
            <w:pPr>
              <w:jc w:val="right"/>
              <w:ind w:right="157"/>
              <w:spacing w:after="0" w:line="106" w:lineRule="exact"/>
              <w:rPr>
                <w:sz w:val="20"/>
                <w:szCs w:val="20"/>
                <w:color w:val="auto"/>
              </w:rPr>
            </w:pPr>
            <w:r>
              <w:rPr>
                <w:rFonts w:ascii="Arial" w:cs="Arial" w:eastAsia="Arial" w:hAnsi="Arial"/>
                <w:sz w:val="11"/>
                <w:szCs w:val="11"/>
                <w:b w:val="1"/>
                <w:bCs w:val="1"/>
                <w:color w:val="auto"/>
              </w:rPr>
              <w:t>GM</w:t>
            </w:r>
          </w:p>
        </w:tc>
        <w:tc>
          <w:tcPr>
            <w:tcW w:w="100" w:type="dxa"/>
            <w:vAlign w:val="bottom"/>
          </w:tcPr>
          <w:p>
            <w:pPr>
              <w:spacing w:after="0"/>
              <w:rPr>
                <w:sz w:val="9"/>
                <w:szCs w:val="9"/>
                <w:color w:val="auto"/>
              </w:rPr>
            </w:pPr>
          </w:p>
        </w:tc>
        <w:tc>
          <w:tcPr>
            <w:tcW w:w="17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78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Combined</w:t>
            </w:r>
          </w:p>
        </w:tc>
        <w:tc>
          <w:tcPr>
            <w:tcW w:w="80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Automotive</w:t>
            </w:r>
          </w:p>
        </w:tc>
        <w:tc>
          <w:tcPr>
            <w:tcW w:w="80" w:type="dxa"/>
            <w:vAlign w:val="bottom"/>
          </w:tcPr>
          <w:p>
            <w:pPr>
              <w:spacing w:after="0"/>
              <w:rPr>
                <w:sz w:val="9"/>
                <w:szCs w:val="9"/>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Cruise</w:t>
            </w:r>
          </w:p>
        </w:tc>
        <w:tc>
          <w:tcPr>
            <w:tcW w:w="100" w:type="dxa"/>
            <w:vAlign w:val="bottom"/>
          </w:tcPr>
          <w:p>
            <w:pPr>
              <w:spacing w:after="0"/>
              <w:rPr>
                <w:sz w:val="9"/>
                <w:szCs w:val="9"/>
                <w:color w:val="auto"/>
              </w:rPr>
            </w:pPr>
          </w:p>
        </w:tc>
        <w:tc>
          <w:tcPr>
            <w:tcW w:w="640" w:type="dxa"/>
            <w:vAlign w:val="bottom"/>
            <w:gridSpan w:val="2"/>
          </w:tcPr>
          <w:p>
            <w:pPr>
              <w:jc w:val="center"/>
              <w:ind w:right="180"/>
              <w:spacing w:after="0" w:line="106" w:lineRule="exact"/>
              <w:rPr>
                <w:sz w:val="20"/>
                <w:szCs w:val="20"/>
                <w:color w:val="auto"/>
              </w:rPr>
            </w:pPr>
            <w:r>
              <w:rPr>
                <w:rFonts w:ascii="Arial" w:cs="Arial" w:eastAsia="Arial" w:hAnsi="Arial"/>
                <w:sz w:val="11"/>
                <w:szCs w:val="11"/>
                <w:b w:val="1"/>
                <w:bCs w:val="1"/>
                <w:color w:val="auto"/>
              </w:rPr>
              <w:t>GM</w:t>
            </w:r>
          </w:p>
        </w:tc>
        <w:tc>
          <w:tcPr>
            <w:tcW w:w="17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80" w:type="dxa"/>
            <w:vAlign w:val="bottom"/>
          </w:tcPr>
          <w:p>
            <w:pPr>
              <w:spacing w:after="0"/>
              <w:rPr>
                <w:sz w:val="9"/>
                <w:szCs w:val="9"/>
                <w:color w:val="auto"/>
              </w:rPr>
            </w:pPr>
          </w:p>
        </w:tc>
        <w:tc>
          <w:tcPr>
            <w:tcW w:w="620" w:type="dxa"/>
            <w:vAlign w:val="bottom"/>
            <w:vMerge w:val="restart"/>
          </w:tcPr>
          <w:p>
            <w:pPr>
              <w:jc w:val="right"/>
              <w:ind w:right="17"/>
              <w:spacing w:after="0"/>
              <w:rPr>
                <w:sz w:val="20"/>
                <w:szCs w:val="20"/>
                <w:color w:val="auto"/>
              </w:rPr>
            </w:pPr>
            <w:r>
              <w:rPr>
                <w:rFonts w:ascii="Arial" w:cs="Arial" w:eastAsia="Arial" w:hAnsi="Arial"/>
                <w:sz w:val="11"/>
                <w:szCs w:val="11"/>
                <w:b w:val="1"/>
                <w:bCs w:val="1"/>
                <w:color w:val="auto"/>
                <w:w w:val="96"/>
              </w:rPr>
              <w:t>Combined</w:t>
            </w:r>
          </w:p>
        </w:tc>
        <w:tc>
          <w:tcPr>
            <w:tcW w:w="0" w:type="dxa"/>
            <w:vAlign w:val="bottom"/>
          </w:tcPr>
          <w:p>
            <w:pPr>
              <w:spacing w:after="0"/>
              <w:rPr>
                <w:sz w:val="1"/>
                <w:szCs w:val="1"/>
                <w:color w:val="auto"/>
              </w:rPr>
            </w:pPr>
          </w:p>
        </w:tc>
      </w:tr>
      <w:tr>
        <w:trPr>
          <w:trHeight w:val="155"/>
        </w:trPr>
        <w:tc>
          <w:tcPr>
            <w:tcW w:w="1960" w:type="dxa"/>
            <w:vAlign w:val="bottom"/>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17"/>
              <w:spacing w:after="0"/>
              <w:rPr>
                <w:sz w:val="20"/>
                <w:szCs w:val="20"/>
                <w:color w:val="auto"/>
              </w:rPr>
            </w:pPr>
            <w:r>
              <w:rPr>
                <w:rFonts w:ascii="Arial" w:cs="Arial" w:eastAsia="Arial" w:hAnsi="Arial"/>
                <w:sz w:val="11"/>
                <w:szCs w:val="11"/>
                <w:b w:val="1"/>
                <w:bCs w:val="1"/>
                <w:color w:val="auto"/>
                <w:w w:val="92"/>
              </w:rPr>
              <w:t>Financial</w:t>
            </w:r>
          </w:p>
        </w:tc>
        <w:tc>
          <w:tcPr>
            <w:tcW w:w="100" w:type="dxa"/>
            <w:vAlign w:val="bottom"/>
          </w:tcPr>
          <w:p>
            <w:pPr>
              <w:spacing w:after="0"/>
              <w:rPr>
                <w:sz w:val="13"/>
                <w:szCs w:val="13"/>
                <w:color w:val="auto"/>
              </w:rPr>
            </w:pPr>
          </w:p>
        </w:tc>
        <w:tc>
          <w:tcPr>
            <w:tcW w:w="1700" w:type="dxa"/>
            <w:vAlign w:val="bottom"/>
            <w:gridSpan w:val="3"/>
            <w:vMerge w:val="continue"/>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6"/>
              </w:rPr>
              <w:t>Financial</w:t>
            </w:r>
          </w:p>
        </w:tc>
        <w:tc>
          <w:tcPr>
            <w:tcW w:w="170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960" w:type="dxa"/>
            <w:vAlign w:val="bottom"/>
          </w:tcPr>
          <w:p>
            <w:pPr>
              <w:ind w:left="740"/>
              <w:spacing w:after="0"/>
              <w:rPr>
                <w:sz w:val="20"/>
                <w:szCs w:val="20"/>
                <w:color w:val="auto"/>
              </w:rPr>
            </w:pPr>
            <w:r>
              <w:rPr>
                <w:rFonts w:ascii="Arial" w:cs="Arial" w:eastAsia="Arial" w:hAnsi="Arial"/>
                <w:sz w:val="13"/>
                <w:szCs w:val="13"/>
                <w:b w:val="1"/>
                <w:bCs w:val="1"/>
                <w:color w:val="auto"/>
              </w:rPr>
              <w:t>ASSETS</w:t>
            </w: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960" w:type="dxa"/>
            <w:vAlign w:val="bottom"/>
          </w:tcPr>
          <w:p>
            <w:pPr>
              <w:ind w:left="20"/>
              <w:spacing w:after="0"/>
              <w:rPr>
                <w:sz w:val="20"/>
                <w:szCs w:val="20"/>
                <w:color w:val="auto"/>
              </w:rPr>
            </w:pPr>
            <w:r>
              <w:rPr>
                <w:rFonts w:ascii="Arial" w:cs="Arial" w:eastAsia="Arial" w:hAnsi="Arial"/>
                <w:sz w:val="13"/>
                <w:szCs w:val="13"/>
                <w:b w:val="1"/>
                <w:bCs w:val="1"/>
                <w:color w:val="auto"/>
              </w:rPr>
              <w:t>Current Assets</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14,670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5,130</w:t>
            </w:r>
          </w:p>
        </w:tc>
        <w:tc>
          <w:tcPr>
            <w:tcW w:w="11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19,800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15,062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5,826</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20,945</w:t>
            </w:r>
          </w:p>
        </w:tc>
        <w:tc>
          <w:tcPr>
            <w:tcW w:w="0" w:type="dxa"/>
            <w:vAlign w:val="bottom"/>
          </w:tcPr>
          <w:p>
            <w:pPr>
              <w:spacing w:after="0"/>
              <w:rPr>
                <w:sz w:val="1"/>
                <w:szCs w:val="1"/>
                <w:color w:val="auto"/>
              </w:rPr>
            </w:pPr>
          </w:p>
        </w:tc>
      </w:tr>
      <w:tr>
        <w:trPr>
          <w:trHeight w:val="171"/>
        </w:trPr>
        <w:tc>
          <w:tcPr>
            <w:tcW w:w="1960" w:type="dxa"/>
            <w:vAlign w:val="bottom"/>
          </w:tcPr>
          <w:p>
            <w:pPr>
              <w:ind w:left="140"/>
              <w:spacing w:after="0"/>
              <w:rPr>
                <w:sz w:val="20"/>
                <w:szCs w:val="20"/>
                <w:color w:val="auto"/>
              </w:rPr>
            </w:pPr>
            <w:r>
              <w:rPr>
                <w:rFonts w:ascii="Arial" w:cs="Arial" w:eastAsia="Arial" w:hAnsi="Arial"/>
                <w:sz w:val="13"/>
                <w:szCs w:val="13"/>
                <w:color w:val="auto"/>
              </w:rPr>
              <w:t>Marketable debt securities</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4,558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59</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4,618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6,685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39</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6,724</w:t>
            </w:r>
          </w:p>
        </w:tc>
        <w:tc>
          <w:tcPr>
            <w:tcW w:w="0" w:type="dxa"/>
            <w:vAlign w:val="bottom"/>
          </w:tcPr>
          <w:p>
            <w:pPr>
              <w:spacing w:after="0"/>
              <w:rPr>
                <w:sz w:val="1"/>
                <w:szCs w:val="1"/>
                <w:color w:val="auto"/>
              </w:rPr>
            </w:pPr>
          </w:p>
        </w:tc>
      </w:tr>
      <w:tr>
        <w:trPr>
          <w:trHeight w:val="126"/>
        </w:trPr>
        <w:tc>
          <w:tcPr>
            <w:tcW w:w="1960" w:type="dxa"/>
            <w:vAlign w:val="bottom"/>
            <w:shd w:val="clear" w:color="auto" w:fill="CCEEFF"/>
          </w:tcPr>
          <w:p>
            <w:pPr>
              <w:ind w:left="140"/>
              <w:spacing w:after="0" w:line="126" w:lineRule="exact"/>
              <w:rPr>
                <w:sz w:val="20"/>
                <w:szCs w:val="20"/>
                <w:color w:val="auto"/>
              </w:rPr>
            </w:pPr>
            <w:r>
              <w:rPr>
                <w:rFonts w:ascii="Arial" w:cs="Arial" w:eastAsia="Arial" w:hAnsi="Arial"/>
                <w:sz w:val="13"/>
                <w:szCs w:val="13"/>
                <w:color w:val="auto"/>
                <w:w w:val="99"/>
              </w:rPr>
              <w:t>Accounts and notes receivable,</w:t>
            </w: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net(a)</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15,501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1,560</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16,381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12,199</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1,506</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(727)</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13,054</w:t>
            </w:r>
          </w:p>
        </w:tc>
        <w:tc>
          <w:tcPr>
            <w:tcW w:w="0" w:type="dxa"/>
            <w:vAlign w:val="bottom"/>
          </w:tcPr>
          <w:p>
            <w:pPr>
              <w:spacing w:after="0"/>
              <w:rPr>
                <w:sz w:val="1"/>
                <w:szCs w:val="1"/>
                <w:color w:val="auto"/>
              </w:rPr>
            </w:pPr>
          </w:p>
        </w:tc>
      </w:tr>
      <w:tr>
        <w:trPr>
          <w:trHeight w:val="122"/>
        </w:trPr>
        <w:tc>
          <w:tcPr>
            <w:tcW w:w="1960" w:type="dxa"/>
            <w:vAlign w:val="bottom"/>
          </w:tcPr>
          <w:p>
            <w:pPr>
              <w:ind w:left="140"/>
              <w:spacing w:after="0" w:line="122" w:lineRule="exact"/>
              <w:rPr>
                <w:sz w:val="20"/>
                <w:szCs w:val="20"/>
                <w:color w:val="auto"/>
              </w:rPr>
            </w:pPr>
            <w:r>
              <w:rPr>
                <w:rFonts w:ascii="Arial" w:cs="Arial" w:eastAsia="Arial" w:hAnsi="Arial"/>
                <w:sz w:val="13"/>
                <w:szCs w:val="13"/>
                <w:color w:val="auto"/>
              </w:rPr>
              <w:t>GM Financial receivables,</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60" w:type="dxa"/>
            <w:vAlign w:val="bottom"/>
          </w:tcPr>
          <w:p>
            <w:pPr>
              <w:ind w:left="140"/>
              <w:spacing w:after="0"/>
              <w:rPr>
                <w:sz w:val="20"/>
                <w:szCs w:val="20"/>
                <w:color w:val="auto"/>
              </w:rPr>
            </w:pPr>
            <w:r>
              <w:rPr>
                <w:rFonts w:ascii="Arial" w:cs="Arial" w:eastAsia="Arial" w:hAnsi="Arial"/>
                <w:sz w:val="13"/>
                <w:szCs w:val="13"/>
                <w:color w:val="auto"/>
              </w:rPr>
              <w:t>net(b)</w:t>
            </w:r>
          </w:p>
        </w:tc>
        <w:tc>
          <w:tcPr>
            <w:tcW w:w="14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44,130</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(379)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43,751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45,661</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(395)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45,266</w:t>
            </w:r>
          </w:p>
        </w:tc>
        <w:tc>
          <w:tcPr>
            <w:tcW w:w="0" w:type="dxa"/>
            <w:vAlign w:val="bottom"/>
          </w:tcPr>
          <w:p>
            <w:pPr>
              <w:spacing w:after="0"/>
              <w:rPr>
                <w:sz w:val="1"/>
                <w:szCs w:val="1"/>
                <w:color w:val="auto"/>
              </w:rPr>
            </w:pPr>
          </w:p>
        </w:tc>
      </w:tr>
      <w:tr>
        <w:trPr>
          <w:trHeight w:val="183"/>
        </w:trPr>
        <w:tc>
          <w:tcPr>
            <w:tcW w:w="1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Inventories</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15,593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15,590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14,472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14,467</w:t>
            </w:r>
          </w:p>
        </w:tc>
        <w:tc>
          <w:tcPr>
            <w:tcW w:w="0" w:type="dxa"/>
            <w:vAlign w:val="bottom"/>
          </w:tcPr>
          <w:p>
            <w:pPr>
              <w:spacing w:after="0"/>
              <w:rPr>
                <w:sz w:val="1"/>
                <w:szCs w:val="1"/>
                <w:color w:val="auto"/>
              </w:rPr>
            </w:pPr>
          </w:p>
        </w:tc>
      </w:tr>
      <w:tr>
        <w:trPr>
          <w:trHeight w:val="171"/>
        </w:trPr>
        <w:tc>
          <w:tcPr>
            <w:tcW w:w="196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Other current assets</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3,239</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5,734</w:t>
            </w:r>
          </w:p>
        </w:tc>
        <w:tc>
          <w:tcPr>
            <w:tcW w:w="1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8,981</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3,167</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9</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5,130</w:t>
            </w:r>
          </w:p>
        </w:tc>
        <w:tc>
          <w:tcPr>
            <w:tcW w:w="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8,312</w:t>
            </w:r>
          </w:p>
        </w:tc>
        <w:tc>
          <w:tcPr>
            <w:tcW w:w="0" w:type="dxa"/>
            <w:vAlign w:val="bottom"/>
          </w:tcPr>
          <w:p>
            <w:pPr>
              <w:spacing w:after="0"/>
              <w:rPr>
                <w:sz w:val="1"/>
                <w:szCs w:val="1"/>
                <w:color w:val="auto"/>
              </w:rPr>
            </w:pPr>
          </w:p>
        </w:tc>
      </w:tr>
      <w:tr>
        <w:trPr>
          <w:trHeight w:val="174"/>
        </w:trPr>
        <w:tc>
          <w:tcPr>
            <w:tcW w:w="1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current assets</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53,562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56,613</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109,121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51,585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58,162</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108,767</w:t>
            </w:r>
          </w:p>
        </w:tc>
        <w:tc>
          <w:tcPr>
            <w:tcW w:w="0" w:type="dxa"/>
            <w:vAlign w:val="bottom"/>
          </w:tcPr>
          <w:p>
            <w:pPr>
              <w:spacing w:after="0"/>
              <w:rPr>
                <w:sz w:val="1"/>
                <w:szCs w:val="1"/>
                <w:color w:val="auto"/>
              </w:rPr>
            </w:pPr>
          </w:p>
        </w:tc>
      </w:tr>
      <w:tr>
        <w:trPr>
          <w:trHeight w:val="174"/>
        </w:trPr>
        <w:tc>
          <w:tcPr>
            <w:tcW w:w="1960" w:type="dxa"/>
            <w:vAlign w:val="bottom"/>
          </w:tcPr>
          <w:p>
            <w:pPr>
              <w:ind w:left="20"/>
              <w:spacing w:after="0"/>
              <w:rPr>
                <w:sz w:val="20"/>
                <w:szCs w:val="20"/>
                <w:color w:val="auto"/>
              </w:rPr>
            </w:pPr>
            <w:r>
              <w:rPr>
                <w:rFonts w:ascii="Arial" w:cs="Arial" w:eastAsia="Arial" w:hAnsi="Arial"/>
                <w:sz w:val="13"/>
                <w:szCs w:val="13"/>
                <w:b w:val="1"/>
                <w:bCs w:val="1"/>
                <w:color w:val="auto"/>
              </w:rPr>
              <w:t>Non-current Assets</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GM Financial receivables, net</w:t>
            </w:r>
          </w:p>
        </w:tc>
        <w:tc>
          <w:tcPr>
            <w:tcW w:w="1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43,724</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43,724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44,384</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44,384</w:t>
            </w:r>
          </w:p>
        </w:tc>
        <w:tc>
          <w:tcPr>
            <w:tcW w:w="0" w:type="dxa"/>
            <w:vAlign w:val="bottom"/>
          </w:tcPr>
          <w:p>
            <w:pPr>
              <w:spacing w:after="0"/>
              <w:rPr>
                <w:sz w:val="1"/>
                <w:szCs w:val="1"/>
                <w:color w:val="auto"/>
              </w:rPr>
            </w:pPr>
          </w:p>
        </w:tc>
      </w:tr>
      <w:tr>
        <w:trPr>
          <w:trHeight w:val="121"/>
        </w:trPr>
        <w:tc>
          <w:tcPr>
            <w:tcW w:w="1960" w:type="dxa"/>
            <w:vAlign w:val="bottom"/>
          </w:tcPr>
          <w:p>
            <w:pPr>
              <w:ind w:left="140"/>
              <w:spacing w:after="0" w:line="122" w:lineRule="exact"/>
              <w:rPr>
                <w:sz w:val="20"/>
                <w:szCs w:val="20"/>
                <w:color w:val="auto"/>
              </w:rPr>
            </w:pPr>
            <w:r>
              <w:rPr>
                <w:rFonts w:ascii="Arial" w:cs="Arial" w:eastAsia="Arial" w:hAnsi="Arial"/>
                <w:sz w:val="13"/>
                <w:szCs w:val="13"/>
                <w:color w:val="auto"/>
              </w:rPr>
              <w:t>Equity in net assets of</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60" w:type="dxa"/>
            <w:vAlign w:val="bottom"/>
          </w:tcPr>
          <w:p>
            <w:pPr>
              <w:ind w:left="300"/>
              <w:spacing w:after="0"/>
              <w:rPr>
                <w:sz w:val="20"/>
                <w:szCs w:val="20"/>
                <w:color w:val="auto"/>
              </w:rPr>
            </w:pPr>
            <w:r>
              <w:rPr>
                <w:rFonts w:ascii="Arial" w:cs="Arial" w:eastAsia="Arial" w:hAnsi="Arial"/>
                <w:sz w:val="13"/>
                <w:szCs w:val="13"/>
                <w:color w:val="auto"/>
              </w:rPr>
              <w:t>nonconsolidated affiliates</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4,833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1,144</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5,978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4,564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1,117</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5,681</w:t>
            </w:r>
          </w:p>
        </w:tc>
        <w:tc>
          <w:tcPr>
            <w:tcW w:w="0" w:type="dxa"/>
            <w:vAlign w:val="bottom"/>
          </w:tcPr>
          <w:p>
            <w:pPr>
              <w:spacing w:after="0"/>
              <w:rPr>
                <w:sz w:val="1"/>
                <w:szCs w:val="1"/>
                <w:color w:val="auto"/>
              </w:rPr>
            </w:pPr>
          </w:p>
        </w:tc>
      </w:tr>
      <w:tr>
        <w:trPr>
          <w:trHeight w:val="183"/>
        </w:trPr>
        <w:tc>
          <w:tcPr>
            <w:tcW w:w="1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Property, net</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52,038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52,166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51,458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51,683</w:t>
            </w:r>
          </w:p>
        </w:tc>
        <w:tc>
          <w:tcPr>
            <w:tcW w:w="0" w:type="dxa"/>
            <w:vAlign w:val="bottom"/>
          </w:tcPr>
          <w:p>
            <w:pPr>
              <w:spacing w:after="0"/>
              <w:rPr>
                <w:sz w:val="1"/>
                <w:szCs w:val="1"/>
                <w:color w:val="auto"/>
              </w:rPr>
            </w:pPr>
          </w:p>
        </w:tc>
      </w:tr>
      <w:tr>
        <w:trPr>
          <w:trHeight w:val="122"/>
        </w:trPr>
        <w:tc>
          <w:tcPr>
            <w:tcW w:w="1960" w:type="dxa"/>
            <w:vAlign w:val="bottom"/>
          </w:tcPr>
          <w:p>
            <w:pPr>
              <w:ind w:left="140"/>
              <w:spacing w:after="0" w:line="122" w:lineRule="exact"/>
              <w:rPr>
                <w:sz w:val="20"/>
                <w:szCs w:val="20"/>
                <w:color w:val="auto"/>
              </w:rPr>
            </w:pPr>
            <w:r>
              <w:rPr>
                <w:rFonts w:ascii="Arial" w:cs="Arial" w:eastAsia="Arial" w:hAnsi="Arial"/>
                <w:sz w:val="13"/>
                <w:szCs w:val="13"/>
                <w:color w:val="auto"/>
              </w:rPr>
              <w:t>Goodwill and intangible assets,</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60" w:type="dxa"/>
            <w:vAlign w:val="bottom"/>
          </w:tcPr>
          <w:p>
            <w:pPr>
              <w:ind w:left="300"/>
              <w:spacing w:after="0"/>
              <w:rPr>
                <w:sz w:val="20"/>
                <w:szCs w:val="20"/>
                <w:color w:val="auto"/>
              </w:rPr>
            </w:pPr>
            <w:r>
              <w:rPr>
                <w:rFonts w:ascii="Arial" w:cs="Arial" w:eastAsia="Arial" w:hAnsi="Arial"/>
                <w:sz w:val="13"/>
                <w:szCs w:val="13"/>
                <w:color w:val="auto"/>
              </w:rPr>
              <w:t>net</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2,986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1,349</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4,336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3,018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1,348</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4,366</w:t>
            </w:r>
          </w:p>
        </w:tc>
        <w:tc>
          <w:tcPr>
            <w:tcW w:w="0" w:type="dxa"/>
            <w:vAlign w:val="bottom"/>
          </w:tcPr>
          <w:p>
            <w:pPr>
              <w:spacing w:after="0"/>
              <w:rPr>
                <w:sz w:val="1"/>
                <w:szCs w:val="1"/>
                <w:color w:val="auto"/>
              </w:rPr>
            </w:pPr>
          </w:p>
        </w:tc>
      </w:tr>
      <w:tr>
        <w:trPr>
          <w:trHeight w:val="128"/>
        </w:trPr>
        <w:tc>
          <w:tcPr>
            <w:tcW w:w="196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w w:val="98"/>
              </w:rPr>
              <w:t>Equipment on operating leases,</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net</w:t>
            </w: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33,344</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33,344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33,686</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33,686</w:t>
            </w:r>
          </w:p>
        </w:tc>
        <w:tc>
          <w:tcPr>
            <w:tcW w:w="0" w:type="dxa"/>
            <w:vAlign w:val="bottom"/>
          </w:tcPr>
          <w:p>
            <w:pPr>
              <w:spacing w:after="0"/>
              <w:rPr>
                <w:sz w:val="1"/>
                <w:szCs w:val="1"/>
                <w:color w:val="auto"/>
              </w:rPr>
            </w:pPr>
          </w:p>
        </w:tc>
      </w:tr>
      <w:tr>
        <w:trPr>
          <w:trHeight w:val="171"/>
        </w:trPr>
        <w:tc>
          <w:tcPr>
            <w:tcW w:w="1960" w:type="dxa"/>
            <w:vAlign w:val="bottom"/>
          </w:tcPr>
          <w:p>
            <w:pPr>
              <w:ind w:left="140"/>
              <w:spacing w:after="0"/>
              <w:rPr>
                <w:sz w:val="20"/>
                <w:szCs w:val="20"/>
                <w:color w:val="auto"/>
              </w:rPr>
            </w:pPr>
            <w:r>
              <w:rPr>
                <w:rFonts w:ascii="Arial" w:cs="Arial" w:eastAsia="Arial" w:hAnsi="Arial"/>
                <w:sz w:val="13"/>
                <w:szCs w:val="13"/>
                <w:color w:val="auto"/>
              </w:rPr>
              <w:t>Deferred income taxes</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24,254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(1,571)</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22,682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24,446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(1,486)</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22,960</w:t>
            </w:r>
          </w:p>
        </w:tc>
        <w:tc>
          <w:tcPr>
            <w:tcW w:w="0" w:type="dxa"/>
            <w:vAlign w:val="bottom"/>
          </w:tcPr>
          <w:p>
            <w:pPr>
              <w:spacing w:after="0"/>
              <w:rPr>
                <w:sz w:val="1"/>
                <w:szCs w:val="1"/>
                <w:color w:val="auto"/>
              </w:rPr>
            </w:pPr>
          </w:p>
        </w:tc>
      </w:tr>
      <w:tr>
        <w:trPr>
          <w:trHeight w:val="180"/>
        </w:trPr>
        <w:tc>
          <w:tcPr>
            <w:tcW w:w="1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assets</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8,035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1,587</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9,622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8,226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1,483</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9,756</w:t>
            </w:r>
          </w:p>
        </w:tc>
        <w:tc>
          <w:tcPr>
            <w:tcW w:w="0" w:type="dxa"/>
            <w:vAlign w:val="bottom"/>
          </w:tcPr>
          <w:p>
            <w:pPr>
              <w:spacing w:after="0"/>
              <w:rPr>
                <w:sz w:val="1"/>
                <w:szCs w:val="1"/>
                <w:color w:val="auto"/>
              </w:rPr>
            </w:pPr>
          </w:p>
        </w:tc>
      </w:tr>
      <w:tr>
        <w:trPr>
          <w:trHeight w:val="164"/>
        </w:trPr>
        <w:tc>
          <w:tcPr>
            <w:tcW w:w="196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Total non-current assets</w:t>
            </w:r>
          </w:p>
        </w:tc>
        <w:tc>
          <w:tcPr>
            <w:tcW w:w="14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92,147</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79,706</w:t>
            </w:r>
          </w:p>
        </w:tc>
        <w:tc>
          <w:tcPr>
            <w:tcW w:w="100" w:type="dxa"/>
            <w:vAlign w:val="bottom"/>
            <w:tcBorders>
              <w:bottom w:val="single" w:sz="8" w:color="CCEEFF"/>
            </w:tcBorders>
          </w:tcPr>
          <w:p>
            <w:pPr>
              <w:spacing w:after="0"/>
              <w:rPr>
                <w:sz w:val="14"/>
                <w:szCs w:val="14"/>
                <w:color w:val="auto"/>
              </w:rPr>
            </w:pPr>
          </w:p>
        </w:tc>
        <w:tc>
          <w:tcPr>
            <w:tcW w:w="10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171,853</w:t>
            </w:r>
          </w:p>
        </w:tc>
        <w:tc>
          <w:tcPr>
            <w:tcW w:w="10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91,712</w:t>
            </w:r>
          </w:p>
        </w:tc>
        <w:tc>
          <w:tcPr>
            <w:tcW w:w="10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147</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80,658</w:t>
            </w:r>
          </w:p>
        </w:tc>
        <w:tc>
          <w:tcPr>
            <w:tcW w:w="80" w:type="dxa"/>
            <w:vAlign w:val="bottom"/>
            <w:tcBorders>
              <w:bottom w:val="single" w:sz="8" w:color="CCEEFF"/>
            </w:tcBorders>
          </w:tcPr>
          <w:p>
            <w:pPr>
              <w:spacing w:after="0"/>
              <w:rPr>
                <w:sz w:val="14"/>
                <w:szCs w:val="14"/>
                <w:color w:val="auto"/>
              </w:rPr>
            </w:pPr>
          </w:p>
        </w:tc>
        <w:tc>
          <w:tcPr>
            <w:tcW w:w="9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172,517</w:t>
            </w:r>
          </w:p>
        </w:tc>
        <w:tc>
          <w:tcPr>
            <w:tcW w:w="0" w:type="dxa"/>
            <w:vAlign w:val="bottom"/>
          </w:tcPr>
          <w:p>
            <w:pPr>
              <w:spacing w:after="0"/>
              <w:rPr>
                <w:sz w:val="1"/>
                <w:szCs w:val="1"/>
                <w:color w:val="auto"/>
              </w:rPr>
            </w:pPr>
          </w:p>
        </w:tc>
      </w:tr>
      <w:tr>
        <w:trPr>
          <w:trHeight w:val="199"/>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145,709</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7"/>
              </w:rPr>
              <w:t>136,319</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(1,054)</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280,974</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143,297</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288</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138,820</w:t>
            </w: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(1,120)</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281,284</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3"/>
                <w:szCs w:val="13"/>
                <w:b w:val="1"/>
                <w:bCs w:val="1"/>
                <w:color w:val="auto"/>
              </w:rPr>
              <w:t>LIABILITIES AND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9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960" w:type="dxa"/>
            <w:vAlign w:val="bottom"/>
          </w:tcPr>
          <w:p>
            <w:pPr>
              <w:ind w:left="20"/>
              <w:spacing w:after="0"/>
              <w:rPr>
                <w:sz w:val="20"/>
                <w:szCs w:val="20"/>
                <w:color w:val="auto"/>
              </w:rPr>
            </w:pPr>
            <w:r>
              <w:rPr>
                <w:rFonts w:ascii="Arial" w:cs="Arial" w:eastAsia="Arial" w:hAnsi="Arial"/>
                <w:sz w:val="13"/>
                <w:szCs w:val="13"/>
                <w:b w:val="1"/>
                <w:bCs w:val="1"/>
                <w:color w:val="auto"/>
              </w:rPr>
              <w:t>Current Liabilities</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960" w:type="dxa"/>
            <w:vAlign w:val="bottom"/>
            <w:shd w:val="clear" w:color="auto" w:fill="CCEEFF"/>
          </w:tcPr>
          <w:p>
            <w:pPr>
              <w:ind w:left="140"/>
              <w:spacing w:after="0" w:line="126" w:lineRule="exact"/>
              <w:rPr>
                <w:sz w:val="20"/>
                <w:szCs w:val="20"/>
                <w:color w:val="auto"/>
              </w:rPr>
            </w:pPr>
            <w:r>
              <w:rPr>
                <w:rFonts w:ascii="Arial" w:cs="Arial" w:eastAsia="Arial" w:hAnsi="Arial"/>
                <w:sz w:val="13"/>
                <w:szCs w:val="13"/>
                <w:color w:val="auto"/>
              </w:rPr>
              <w:t>Accounts payable (principally</w:t>
            </w: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trade)(a)</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28,071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516</w:t>
            </w:r>
          </w:p>
        </w:tc>
        <w:tc>
          <w:tcPr>
            <w:tcW w:w="11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27,912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24,075</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491</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(649)</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23,919</w:t>
            </w:r>
          </w:p>
        </w:tc>
        <w:tc>
          <w:tcPr>
            <w:tcW w:w="0" w:type="dxa"/>
            <w:vAlign w:val="bottom"/>
          </w:tcPr>
          <w:p>
            <w:pPr>
              <w:spacing w:after="0"/>
              <w:rPr>
                <w:sz w:val="1"/>
                <w:szCs w:val="1"/>
                <w:color w:val="auto"/>
              </w:rPr>
            </w:pPr>
          </w:p>
        </w:tc>
      </w:tr>
      <w:tr>
        <w:trPr>
          <w:trHeight w:val="121"/>
        </w:trPr>
        <w:tc>
          <w:tcPr>
            <w:tcW w:w="1960" w:type="dxa"/>
            <w:vAlign w:val="bottom"/>
          </w:tcPr>
          <w:p>
            <w:pPr>
              <w:ind w:left="140"/>
              <w:spacing w:after="0" w:line="122" w:lineRule="exact"/>
              <w:rPr>
                <w:sz w:val="20"/>
                <w:szCs w:val="20"/>
                <w:color w:val="auto"/>
              </w:rPr>
            </w:pPr>
            <w:r>
              <w:rPr>
                <w:rFonts w:ascii="Arial" w:cs="Arial" w:eastAsia="Arial" w:hAnsi="Arial"/>
                <w:sz w:val="13"/>
                <w:szCs w:val="13"/>
                <w:color w:val="auto"/>
              </w:rPr>
              <w:t>Short-term debt and current</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960" w:type="dxa"/>
            <w:vAlign w:val="bottom"/>
          </w:tcPr>
          <w:p>
            <w:pPr>
              <w:ind w:left="300"/>
              <w:spacing w:after="0"/>
              <w:rPr>
                <w:sz w:val="20"/>
                <w:szCs w:val="20"/>
                <w:color w:val="auto"/>
              </w:rPr>
            </w:pPr>
            <w:r>
              <w:rPr>
                <w:rFonts w:ascii="Arial" w:cs="Arial" w:eastAsia="Arial" w:hAnsi="Arial"/>
                <w:sz w:val="13"/>
                <w:szCs w:val="13"/>
                <w:color w:val="auto"/>
              </w:rPr>
              <w:t>portion of long-term debt</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9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Automotive(b)</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656</w:t>
            </w:r>
          </w:p>
        </w:tc>
        <w:tc>
          <w:tcPr>
            <w:tcW w:w="0" w:type="dxa"/>
            <w:vAlign w:val="bottom"/>
          </w:tcPr>
          <w:p>
            <w:pPr>
              <w:spacing w:after="0"/>
              <w:rPr>
                <w:sz w:val="1"/>
                <w:szCs w:val="1"/>
                <w:color w:val="auto"/>
              </w:rPr>
            </w:pPr>
          </w:p>
        </w:tc>
      </w:tr>
      <w:tr>
        <w:trPr>
          <w:trHeight w:val="171"/>
        </w:trPr>
        <w:tc>
          <w:tcPr>
            <w:tcW w:w="1960" w:type="dxa"/>
            <w:vAlign w:val="bottom"/>
          </w:tcPr>
          <w:p>
            <w:pPr>
              <w:ind w:left="300"/>
              <w:spacing w:after="0"/>
              <w:rPr>
                <w:sz w:val="20"/>
                <w:szCs w:val="20"/>
                <w:color w:val="auto"/>
              </w:rPr>
            </w:pPr>
            <w:r>
              <w:rPr>
                <w:rFonts w:ascii="Arial" w:cs="Arial" w:eastAsia="Arial" w:hAnsi="Arial"/>
                <w:sz w:val="13"/>
                <w:szCs w:val="13"/>
                <w:color w:val="auto"/>
              </w:rPr>
              <w:t>GM Financial</w:t>
            </w:r>
          </w:p>
        </w:tc>
        <w:tc>
          <w:tcPr>
            <w:tcW w:w="14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35,888</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35,888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35,012</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35,012</w:t>
            </w:r>
          </w:p>
        </w:tc>
        <w:tc>
          <w:tcPr>
            <w:tcW w:w="0" w:type="dxa"/>
            <w:vAlign w:val="bottom"/>
          </w:tcPr>
          <w:p>
            <w:pPr>
              <w:spacing w:after="0"/>
              <w:rPr>
                <w:sz w:val="1"/>
                <w:szCs w:val="1"/>
                <w:color w:val="auto"/>
              </w:rPr>
            </w:pPr>
          </w:p>
        </w:tc>
      </w:tr>
      <w:tr>
        <w:trPr>
          <w:trHeight w:val="180"/>
        </w:trPr>
        <w:tc>
          <w:tcPr>
            <w:tcW w:w="19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Cruise</w:t>
            </w:r>
          </w:p>
        </w:tc>
        <w:tc>
          <w:tcPr>
            <w:tcW w:w="1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1960" w:type="dxa"/>
            <w:vAlign w:val="bottom"/>
          </w:tcPr>
          <w:p>
            <w:pPr>
              <w:ind w:left="140"/>
              <w:spacing w:after="0"/>
              <w:rPr>
                <w:sz w:val="20"/>
                <w:szCs w:val="20"/>
                <w:color w:val="auto"/>
              </w:rPr>
            </w:pPr>
            <w:r>
              <w:rPr>
                <w:rFonts w:ascii="Arial" w:cs="Arial" w:eastAsia="Arial" w:hAnsi="Arial"/>
                <w:sz w:val="13"/>
                <w:szCs w:val="13"/>
                <w:color w:val="auto"/>
              </w:rPr>
              <w:t>Accrued liabilities</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26,071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4,443</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30,514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28,956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17"/>
              <w:spacing w:after="0"/>
              <w:rPr>
                <w:sz w:val="20"/>
                <w:szCs w:val="20"/>
                <w:color w:val="auto"/>
              </w:rPr>
            </w:pPr>
            <w:r>
              <w:rPr>
                <w:rFonts w:ascii="Arial" w:cs="Arial" w:eastAsia="Arial" w:hAnsi="Arial"/>
                <w:sz w:val="13"/>
                <w:szCs w:val="13"/>
                <w:color w:val="auto"/>
              </w:rPr>
              <w:t>54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4,744</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33,754</w:t>
            </w:r>
          </w:p>
        </w:tc>
        <w:tc>
          <w:tcPr>
            <w:tcW w:w="0" w:type="dxa"/>
            <w:vAlign w:val="bottom"/>
          </w:tcPr>
          <w:p>
            <w:pPr>
              <w:spacing w:after="0"/>
              <w:rPr>
                <w:sz w:val="1"/>
                <w:szCs w:val="1"/>
                <w:color w:val="auto"/>
              </w:rPr>
            </w:pPr>
          </w:p>
        </w:tc>
      </w:tr>
      <w:tr>
        <w:trPr>
          <w:trHeight w:val="174"/>
        </w:trPr>
        <w:tc>
          <w:tcPr>
            <w:tcW w:w="19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Total current liabilities</w:t>
            </w:r>
          </w:p>
        </w:tc>
        <w:tc>
          <w:tcPr>
            <w:tcW w:w="1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54,927</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40,847</w:t>
            </w:r>
          </w:p>
        </w:tc>
        <w:tc>
          <w:tcPr>
            <w:tcW w:w="10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94,720</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54,151</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63</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40,248</w:t>
            </w:r>
          </w:p>
        </w:tc>
        <w:tc>
          <w:tcPr>
            <w:tcW w:w="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(1,120)</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93,342</w:t>
            </w:r>
          </w:p>
        </w:tc>
        <w:tc>
          <w:tcPr>
            <w:tcW w:w="0" w:type="dxa"/>
            <w:vAlign w:val="bottom"/>
          </w:tcPr>
          <w:p>
            <w:pPr>
              <w:spacing w:after="0"/>
              <w:rPr>
                <w:sz w:val="1"/>
                <w:szCs w:val="1"/>
                <w:color w:val="auto"/>
              </w:rPr>
            </w:pPr>
          </w:p>
        </w:tc>
      </w:tr>
      <w:tr>
        <w:trPr>
          <w:trHeight w:val="174"/>
        </w:trPr>
        <w:tc>
          <w:tcPr>
            <w:tcW w:w="1960" w:type="dxa"/>
            <w:vAlign w:val="bottom"/>
          </w:tcPr>
          <w:p>
            <w:pPr>
              <w:ind w:left="20"/>
              <w:spacing w:after="0"/>
              <w:rPr>
                <w:sz w:val="20"/>
                <w:szCs w:val="20"/>
                <w:color w:val="auto"/>
              </w:rPr>
            </w:pPr>
            <w:r>
              <w:rPr>
                <w:rFonts w:ascii="Arial" w:cs="Arial" w:eastAsia="Arial" w:hAnsi="Arial"/>
                <w:sz w:val="13"/>
                <w:szCs w:val="13"/>
                <w:b w:val="1"/>
                <w:bCs w:val="1"/>
                <w:color w:val="auto"/>
              </w:rPr>
              <w:t>Non-current Liabilities</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Long-term debt</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960" w:type="dxa"/>
            <w:vAlign w:val="bottom"/>
          </w:tcPr>
          <w:p>
            <w:pPr>
              <w:ind w:left="300"/>
              <w:spacing w:after="0"/>
              <w:rPr>
                <w:sz w:val="20"/>
                <w:szCs w:val="20"/>
                <w:color w:val="auto"/>
              </w:rPr>
            </w:pPr>
            <w:r>
              <w:rPr>
                <w:rFonts w:ascii="Arial" w:cs="Arial" w:eastAsia="Arial" w:hAnsi="Arial"/>
                <w:sz w:val="13"/>
                <w:szCs w:val="13"/>
                <w:color w:val="auto"/>
              </w:rPr>
              <w:t>Automotive</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15,522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15,522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15,522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17"/>
              <w:spacing w:after="0"/>
              <w:rPr>
                <w:sz w:val="20"/>
                <w:szCs w:val="20"/>
                <w:color w:val="auto"/>
              </w:rPr>
            </w:pPr>
            <w:r>
              <w:rPr>
                <w:rFonts w:ascii="Arial" w:cs="Arial" w:eastAsia="Arial" w:hAnsi="Arial"/>
                <w:sz w:val="13"/>
                <w:szCs w:val="13"/>
                <w:color w:val="auto"/>
              </w:rPr>
              <w:t>70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15,591</w:t>
            </w:r>
          </w:p>
        </w:tc>
        <w:tc>
          <w:tcPr>
            <w:tcW w:w="0" w:type="dxa"/>
            <w:vAlign w:val="bottom"/>
          </w:tcPr>
          <w:p>
            <w:pPr>
              <w:spacing w:after="0"/>
              <w:rPr>
                <w:sz w:val="1"/>
                <w:szCs w:val="1"/>
                <w:color w:val="auto"/>
              </w:rPr>
            </w:pPr>
          </w:p>
        </w:tc>
      </w:tr>
      <w:tr>
        <w:trPr>
          <w:trHeight w:val="180"/>
        </w:trPr>
        <w:tc>
          <w:tcPr>
            <w:tcW w:w="19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GM Financial</w:t>
            </w:r>
          </w:p>
        </w:tc>
        <w:tc>
          <w:tcPr>
            <w:tcW w:w="1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75,940</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75,940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79,018</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79,018</w:t>
            </w:r>
          </w:p>
        </w:tc>
        <w:tc>
          <w:tcPr>
            <w:tcW w:w="0" w:type="dxa"/>
            <w:vAlign w:val="bottom"/>
          </w:tcPr>
          <w:p>
            <w:pPr>
              <w:spacing w:after="0"/>
              <w:rPr>
                <w:sz w:val="1"/>
                <w:szCs w:val="1"/>
                <w:color w:val="auto"/>
              </w:rPr>
            </w:pPr>
          </w:p>
        </w:tc>
      </w:tr>
      <w:tr>
        <w:trPr>
          <w:trHeight w:val="171"/>
        </w:trPr>
        <w:tc>
          <w:tcPr>
            <w:tcW w:w="1960" w:type="dxa"/>
            <w:vAlign w:val="bottom"/>
          </w:tcPr>
          <w:p>
            <w:pPr>
              <w:ind w:left="300"/>
              <w:spacing w:after="0"/>
              <w:rPr>
                <w:sz w:val="20"/>
                <w:szCs w:val="20"/>
                <w:color w:val="auto"/>
              </w:rPr>
            </w:pPr>
            <w:r>
              <w:rPr>
                <w:rFonts w:ascii="Arial" w:cs="Arial" w:eastAsia="Arial" w:hAnsi="Arial"/>
                <w:sz w:val="13"/>
                <w:szCs w:val="13"/>
                <w:color w:val="auto"/>
              </w:rPr>
              <w:t>Cruise</w:t>
            </w:r>
          </w:p>
        </w:tc>
        <w:tc>
          <w:tcPr>
            <w:tcW w:w="14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6"/>
        </w:trPr>
        <w:tc>
          <w:tcPr>
            <w:tcW w:w="1960" w:type="dxa"/>
            <w:vAlign w:val="bottom"/>
            <w:shd w:val="clear" w:color="auto" w:fill="CCEEFF"/>
          </w:tcPr>
          <w:p>
            <w:pPr>
              <w:ind w:left="140"/>
              <w:spacing w:after="0" w:line="126" w:lineRule="exact"/>
              <w:rPr>
                <w:sz w:val="20"/>
                <w:szCs w:val="20"/>
                <w:color w:val="auto"/>
              </w:rPr>
            </w:pPr>
            <w:r>
              <w:rPr>
                <w:rFonts w:ascii="Arial" w:cs="Arial" w:eastAsia="Arial" w:hAnsi="Arial"/>
                <w:sz w:val="13"/>
                <w:szCs w:val="13"/>
                <w:color w:val="auto"/>
              </w:rPr>
              <w:t>Postretirement benefits other</w:t>
            </w: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than pensions</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3,982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3,982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4,025</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4,025</w:t>
            </w:r>
          </w:p>
        </w:tc>
        <w:tc>
          <w:tcPr>
            <w:tcW w:w="0" w:type="dxa"/>
            <w:vAlign w:val="bottom"/>
          </w:tcPr>
          <w:p>
            <w:pPr>
              <w:spacing w:after="0"/>
              <w:rPr>
                <w:sz w:val="1"/>
                <w:szCs w:val="1"/>
                <w:color w:val="auto"/>
              </w:rPr>
            </w:pPr>
          </w:p>
        </w:tc>
      </w:tr>
      <w:tr>
        <w:trPr>
          <w:trHeight w:val="171"/>
        </w:trPr>
        <w:tc>
          <w:tcPr>
            <w:tcW w:w="1960" w:type="dxa"/>
            <w:vAlign w:val="bottom"/>
          </w:tcPr>
          <w:p>
            <w:pPr>
              <w:ind w:left="140"/>
              <w:spacing w:after="0"/>
              <w:rPr>
                <w:sz w:val="20"/>
                <w:szCs w:val="20"/>
                <w:color w:val="auto"/>
              </w:rPr>
            </w:pPr>
            <w:r>
              <w:rPr>
                <w:rFonts w:ascii="Arial" w:cs="Arial" w:eastAsia="Arial" w:hAnsi="Arial"/>
                <w:sz w:val="13"/>
                <w:szCs w:val="13"/>
                <w:color w:val="auto"/>
              </w:rPr>
              <w:t>Pensions</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4,701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4,712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4,977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4,988</w:t>
            </w:r>
          </w:p>
        </w:tc>
        <w:tc>
          <w:tcPr>
            <w:tcW w:w="0" w:type="dxa"/>
            <w:vAlign w:val="bottom"/>
          </w:tcPr>
          <w:p>
            <w:pPr>
              <w:spacing w:after="0"/>
              <w:rPr>
                <w:sz w:val="1"/>
                <w:szCs w:val="1"/>
                <w:color w:val="auto"/>
              </w:rPr>
            </w:pPr>
          </w:p>
        </w:tc>
      </w:tr>
      <w:tr>
        <w:trPr>
          <w:trHeight w:val="180"/>
        </w:trPr>
        <w:tc>
          <w:tcPr>
            <w:tcW w:w="1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liabilities</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17,926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3,478</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21,405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17,495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281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3,375</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21,151</w:t>
            </w:r>
          </w:p>
        </w:tc>
        <w:tc>
          <w:tcPr>
            <w:tcW w:w="0" w:type="dxa"/>
            <w:vAlign w:val="bottom"/>
          </w:tcPr>
          <w:p>
            <w:pPr>
              <w:spacing w:after="0"/>
              <w:rPr>
                <w:sz w:val="1"/>
                <w:szCs w:val="1"/>
                <w:color w:val="auto"/>
              </w:rPr>
            </w:pPr>
          </w:p>
        </w:tc>
      </w:tr>
      <w:tr>
        <w:trPr>
          <w:trHeight w:val="164"/>
        </w:trPr>
        <w:tc>
          <w:tcPr>
            <w:tcW w:w="196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Total non-current liabilities</w:t>
            </w:r>
          </w:p>
        </w:tc>
        <w:tc>
          <w:tcPr>
            <w:tcW w:w="14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42,132</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79,428</w:t>
            </w:r>
          </w:p>
        </w:tc>
        <w:tc>
          <w:tcPr>
            <w:tcW w:w="100" w:type="dxa"/>
            <w:vAlign w:val="bottom"/>
            <w:tcBorders>
              <w:bottom w:val="single" w:sz="8" w:color="CCEEFF"/>
            </w:tcBorders>
          </w:tcPr>
          <w:p>
            <w:pPr>
              <w:spacing w:after="0"/>
              <w:rPr>
                <w:sz w:val="14"/>
                <w:szCs w:val="14"/>
                <w:color w:val="auto"/>
              </w:rPr>
            </w:pPr>
          </w:p>
        </w:tc>
        <w:tc>
          <w:tcPr>
            <w:tcW w:w="10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121,560</w:t>
            </w:r>
          </w:p>
        </w:tc>
        <w:tc>
          <w:tcPr>
            <w:tcW w:w="10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42,019</w:t>
            </w:r>
          </w:p>
        </w:tc>
        <w:tc>
          <w:tcPr>
            <w:tcW w:w="10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351</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82,404</w:t>
            </w:r>
          </w:p>
        </w:tc>
        <w:tc>
          <w:tcPr>
            <w:tcW w:w="80" w:type="dxa"/>
            <w:vAlign w:val="bottom"/>
            <w:tcBorders>
              <w:bottom w:val="single" w:sz="8" w:color="CCEEFF"/>
            </w:tcBorders>
          </w:tcPr>
          <w:p>
            <w:pPr>
              <w:spacing w:after="0"/>
              <w:rPr>
                <w:sz w:val="14"/>
                <w:szCs w:val="14"/>
                <w:color w:val="auto"/>
              </w:rPr>
            </w:pPr>
          </w:p>
        </w:tc>
        <w:tc>
          <w:tcPr>
            <w:tcW w:w="9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124,775</w:t>
            </w:r>
          </w:p>
        </w:tc>
        <w:tc>
          <w:tcPr>
            <w:tcW w:w="0" w:type="dxa"/>
            <w:vAlign w:val="bottom"/>
          </w:tcPr>
          <w:p>
            <w:pPr>
              <w:spacing w:after="0"/>
              <w:rPr>
                <w:sz w:val="1"/>
                <w:szCs w:val="1"/>
                <w:color w:val="auto"/>
              </w:rPr>
            </w:pPr>
          </w:p>
        </w:tc>
      </w:tr>
      <w:tr>
        <w:trPr>
          <w:trHeight w:val="174"/>
        </w:trPr>
        <w:tc>
          <w:tcPr>
            <w:tcW w:w="19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 Liabilities</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97,059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120,275</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216,280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96,170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414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122,652</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218,116</w:t>
            </w:r>
          </w:p>
        </w:tc>
        <w:tc>
          <w:tcPr>
            <w:tcW w:w="0" w:type="dxa"/>
            <w:vAlign w:val="bottom"/>
          </w:tcPr>
          <w:p>
            <w:pPr>
              <w:spacing w:after="0"/>
              <w:rPr>
                <w:sz w:val="1"/>
                <w:szCs w:val="1"/>
                <w:color w:val="auto"/>
              </w:rPr>
            </w:pPr>
          </w:p>
        </w:tc>
      </w:tr>
      <w:tr>
        <w:trPr>
          <w:trHeight w:val="174"/>
        </w:trPr>
        <w:tc>
          <w:tcPr>
            <w:tcW w:w="1960" w:type="dxa"/>
            <w:vAlign w:val="bottom"/>
          </w:tcPr>
          <w:p>
            <w:pPr>
              <w:ind w:left="20"/>
              <w:spacing w:after="0"/>
              <w:rPr>
                <w:sz w:val="20"/>
                <w:szCs w:val="20"/>
                <w:color w:val="auto"/>
              </w:rPr>
            </w:pPr>
            <w:r>
              <w:rPr>
                <w:rFonts w:ascii="Arial" w:cs="Arial" w:eastAsia="Arial" w:hAnsi="Arial"/>
                <w:sz w:val="13"/>
                <w:szCs w:val="13"/>
                <w:b w:val="1"/>
                <w:bCs w:val="1"/>
                <w:color w:val="auto"/>
              </w:rPr>
              <w:t>Equity</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Common stock, $0.01 par value</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71"/>
        </w:trPr>
        <w:tc>
          <w:tcPr>
            <w:tcW w:w="1960" w:type="dxa"/>
            <w:vAlign w:val="bottom"/>
          </w:tcPr>
          <w:p>
            <w:pPr>
              <w:ind w:left="100"/>
              <w:spacing w:after="0"/>
              <w:rPr>
                <w:sz w:val="20"/>
                <w:szCs w:val="20"/>
                <w:color w:val="auto"/>
              </w:rPr>
            </w:pPr>
            <w:r>
              <w:rPr>
                <w:rFonts w:ascii="Arial" w:cs="Arial" w:eastAsia="Arial" w:hAnsi="Arial"/>
                <w:sz w:val="13"/>
                <w:szCs w:val="13"/>
                <w:color w:val="auto"/>
              </w:rPr>
              <w:t>Additional paid-in capital(c)</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19,540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1,077</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(1,076)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19,541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18,086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17"/>
              <w:spacing w:after="0"/>
              <w:rPr>
                <w:sz w:val="20"/>
                <w:szCs w:val="20"/>
                <w:color w:val="auto"/>
              </w:rPr>
            </w:pPr>
            <w:r>
              <w:rPr>
                <w:rFonts w:ascii="Arial" w:cs="Arial" w:eastAsia="Arial" w:hAnsi="Arial"/>
                <w:sz w:val="13"/>
                <w:szCs w:val="13"/>
                <w:color w:val="auto"/>
              </w:rPr>
              <w:t>1,842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1,077</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(1,076)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19,928</w:t>
            </w:r>
          </w:p>
        </w:tc>
        <w:tc>
          <w:tcPr>
            <w:tcW w:w="0" w:type="dxa"/>
            <w:vAlign w:val="bottom"/>
          </w:tcPr>
          <w:p>
            <w:pPr>
              <w:spacing w:after="0"/>
              <w:rPr>
                <w:sz w:val="1"/>
                <w:szCs w:val="1"/>
                <w:color w:val="auto"/>
              </w:rPr>
            </w:pPr>
          </w:p>
        </w:tc>
      </w:tr>
      <w:tr>
        <w:trPr>
          <w:trHeight w:val="180"/>
        </w:trPr>
        <w:tc>
          <w:tcPr>
            <w:tcW w:w="19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Retained earnings</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37,043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16,341</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53,386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37,024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(1,968)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16,467</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51,524</w:t>
            </w:r>
          </w:p>
        </w:tc>
        <w:tc>
          <w:tcPr>
            <w:tcW w:w="0" w:type="dxa"/>
            <w:vAlign w:val="bottom"/>
          </w:tcPr>
          <w:p>
            <w:pPr>
              <w:spacing w:after="0"/>
              <w:rPr>
                <w:sz w:val="1"/>
                <w:szCs w:val="1"/>
                <w:color w:val="auto"/>
              </w:rPr>
            </w:pPr>
          </w:p>
        </w:tc>
      </w:tr>
      <w:tr>
        <w:trPr>
          <w:trHeight w:val="122"/>
        </w:trPr>
        <w:tc>
          <w:tcPr>
            <w:tcW w:w="1960" w:type="dxa"/>
            <w:vAlign w:val="bottom"/>
          </w:tcPr>
          <w:p>
            <w:pPr>
              <w:ind w:left="100"/>
              <w:spacing w:after="0" w:line="122" w:lineRule="exact"/>
              <w:rPr>
                <w:sz w:val="20"/>
                <w:szCs w:val="20"/>
                <w:color w:val="auto"/>
              </w:rPr>
            </w:pPr>
            <w:r>
              <w:rPr>
                <w:rFonts w:ascii="Arial" w:cs="Arial" w:eastAsia="Arial" w:hAnsi="Arial"/>
                <w:sz w:val="13"/>
                <w:szCs w:val="13"/>
                <w:color w:val="auto"/>
              </w:rPr>
              <w:t>Accumulated other</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960" w:type="dxa"/>
            <w:vAlign w:val="bottom"/>
          </w:tcPr>
          <w:p>
            <w:pPr>
              <w:ind w:left="180"/>
              <w:spacing w:after="0"/>
              <w:rPr>
                <w:sz w:val="20"/>
                <w:szCs w:val="20"/>
                <w:color w:val="auto"/>
              </w:rPr>
            </w:pPr>
            <w:r>
              <w:rPr>
                <w:rFonts w:ascii="Arial" w:cs="Arial" w:eastAsia="Arial" w:hAnsi="Arial"/>
                <w:sz w:val="13"/>
                <w:szCs w:val="13"/>
                <w:color w:val="auto"/>
              </w:rPr>
              <w:t>comprehensive loss</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(8,903)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(1,374)</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(10,277)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(8,966)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(1,377)</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(10,343)</w:t>
            </w:r>
          </w:p>
        </w:tc>
        <w:tc>
          <w:tcPr>
            <w:tcW w:w="0" w:type="dxa"/>
            <w:vAlign w:val="bottom"/>
          </w:tcPr>
          <w:p>
            <w:pPr>
              <w:spacing w:after="0"/>
              <w:rPr>
                <w:sz w:val="1"/>
                <w:szCs w:val="1"/>
                <w:color w:val="auto"/>
              </w:rPr>
            </w:pPr>
          </w:p>
        </w:tc>
      </w:tr>
      <w:tr>
        <w:trPr>
          <w:trHeight w:val="175"/>
        </w:trPr>
        <w:tc>
          <w:tcPr>
            <w:tcW w:w="196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Total stockholders’ equity</w:t>
            </w:r>
          </w:p>
        </w:tc>
        <w:tc>
          <w:tcPr>
            <w:tcW w:w="1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47,690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16,044</w:t>
            </w:r>
          </w:p>
        </w:tc>
        <w:tc>
          <w:tcPr>
            <w:tcW w:w="10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62,659</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46,153</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16,167</w:t>
            </w:r>
          </w:p>
        </w:tc>
        <w:tc>
          <w:tcPr>
            <w:tcW w:w="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(1,075)</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61,119</w:t>
            </w:r>
          </w:p>
        </w:tc>
        <w:tc>
          <w:tcPr>
            <w:tcW w:w="0" w:type="dxa"/>
            <w:vAlign w:val="bottom"/>
          </w:tcPr>
          <w:p>
            <w:pPr>
              <w:spacing w:after="0"/>
              <w:rPr>
                <w:sz w:val="1"/>
                <w:szCs w:val="1"/>
                <w:color w:val="auto"/>
              </w:rPr>
            </w:pPr>
          </w:p>
        </w:tc>
      </w:tr>
      <w:tr>
        <w:trPr>
          <w:trHeight w:val="171"/>
        </w:trPr>
        <w:tc>
          <w:tcPr>
            <w:tcW w:w="1960" w:type="dxa"/>
            <w:vAlign w:val="bottom"/>
          </w:tcPr>
          <w:p>
            <w:pPr>
              <w:ind w:left="100"/>
              <w:spacing w:after="0"/>
              <w:rPr>
                <w:sz w:val="20"/>
                <w:szCs w:val="20"/>
                <w:color w:val="auto"/>
              </w:rPr>
            </w:pPr>
            <w:r>
              <w:rPr>
                <w:rFonts w:ascii="Arial" w:cs="Arial" w:eastAsia="Arial" w:hAnsi="Arial"/>
                <w:sz w:val="13"/>
                <w:szCs w:val="13"/>
                <w:color w:val="auto"/>
              </w:rPr>
              <w:t>Noncontrolling interests(c)</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961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1,075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2,036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974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1,075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2,049</w:t>
            </w:r>
          </w:p>
        </w:tc>
        <w:tc>
          <w:tcPr>
            <w:tcW w:w="0" w:type="dxa"/>
            <w:vAlign w:val="bottom"/>
          </w:tcPr>
          <w:p>
            <w:pPr>
              <w:spacing w:after="0"/>
              <w:rPr>
                <w:sz w:val="1"/>
                <w:szCs w:val="1"/>
                <w:color w:val="auto"/>
              </w:rPr>
            </w:pPr>
          </w:p>
        </w:tc>
      </w:tr>
      <w:tr>
        <w:trPr>
          <w:trHeight w:val="174"/>
        </w:trPr>
        <w:tc>
          <w:tcPr>
            <w:tcW w:w="1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Equity</w:t>
            </w: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48,650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16,044</w:t>
            </w:r>
          </w:p>
        </w:tc>
        <w:tc>
          <w:tcPr>
            <w:tcW w:w="10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64,694</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47,127</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16,167</w:t>
            </w:r>
          </w:p>
        </w:tc>
        <w:tc>
          <w:tcPr>
            <w:tcW w:w="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63,168</w:t>
            </w:r>
          </w:p>
        </w:tc>
        <w:tc>
          <w:tcPr>
            <w:tcW w:w="0" w:type="dxa"/>
            <w:vAlign w:val="bottom"/>
          </w:tcPr>
          <w:p>
            <w:pPr>
              <w:spacing w:after="0"/>
              <w:rPr>
                <w:sz w:val="1"/>
                <w:szCs w:val="1"/>
                <w:color w:val="auto"/>
              </w:rPr>
            </w:pPr>
          </w:p>
        </w:tc>
      </w:tr>
      <w:tr>
        <w:trPr>
          <w:trHeight w:val="169"/>
        </w:trPr>
        <w:tc>
          <w:tcPr>
            <w:tcW w:w="1960" w:type="dxa"/>
            <w:vAlign w:val="bottom"/>
          </w:tcPr>
          <w:p>
            <w:pPr>
              <w:ind w:left="20"/>
              <w:spacing w:after="0"/>
              <w:rPr>
                <w:sz w:val="20"/>
                <w:szCs w:val="20"/>
                <w:color w:val="auto"/>
              </w:rPr>
            </w:pPr>
            <w:r>
              <w:rPr>
                <w:rFonts w:ascii="Arial" w:cs="Arial" w:eastAsia="Arial" w:hAnsi="Arial"/>
                <w:sz w:val="13"/>
                <w:szCs w:val="13"/>
                <w:b w:val="1"/>
                <w:bCs w:val="1"/>
                <w:color w:val="auto"/>
              </w:rPr>
              <w:t>Total Liabilities and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145,709</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7"/>
              </w:rPr>
              <w:t>136,319</w:t>
            </w:r>
          </w:p>
        </w:tc>
        <w:tc>
          <w:tcPr>
            <w:tcW w:w="100" w:type="dxa"/>
            <w:vAlign w:val="bottom"/>
          </w:tcPr>
          <w:p>
            <w:pPr>
              <w:spacing w:after="0"/>
              <w:rPr>
                <w:sz w:val="14"/>
                <w:szCs w:val="14"/>
                <w:color w:val="auto"/>
              </w:rPr>
            </w:pPr>
          </w:p>
        </w:tc>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(1,054)</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280,974</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143,297</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288</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138,820</w:t>
            </w:r>
          </w:p>
        </w:tc>
        <w:tc>
          <w:tcPr>
            <w:tcW w:w="80" w:type="dxa"/>
            <w:vAlign w:val="bottom"/>
          </w:tcPr>
          <w:p>
            <w:pPr>
              <w:spacing w:after="0"/>
              <w:rPr>
                <w:sz w:val="14"/>
                <w:szCs w:val="14"/>
                <w:color w:val="auto"/>
              </w:rPr>
            </w:pPr>
          </w:p>
        </w:tc>
        <w:tc>
          <w:tcPr>
            <w:tcW w:w="9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(1,120)</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281,284</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15" w:lineRule="exact"/>
        <w:rPr>
          <w:sz w:val="20"/>
          <w:szCs w:val="20"/>
          <w:color w:val="auto"/>
        </w:rPr>
      </w:pPr>
    </w:p>
    <w:p>
      <w:pPr>
        <w:ind w:left="340" w:hanging="332"/>
        <w:spacing w:after="0" w:line="246" w:lineRule="auto"/>
        <w:tabs>
          <w:tab w:leader="none" w:pos="337" w:val="left"/>
        </w:tabs>
        <w:numPr>
          <w:ilvl w:val="0"/>
          <w:numId w:val="8"/>
        </w:numPr>
        <w:rPr>
          <w:rFonts w:ascii="Arial" w:cs="Arial" w:eastAsia="Arial" w:hAnsi="Arial"/>
          <w:sz w:val="11"/>
          <w:szCs w:val="11"/>
          <w:color w:val="auto"/>
        </w:rPr>
      </w:pPr>
      <w:r>
        <w:rPr>
          <w:rFonts w:ascii="Arial" w:cs="Arial" w:eastAsia="Arial" w:hAnsi="Arial"/>
          <w:sz w:val="11"/>
          <w:szCs w:val="11"/>
          <w:color w:val="auto"/>
        </w:rPr>
        <w:t>Eliminations primarily include GM Financial accounts and notes receivable of $0.6 billion due from Automotive; and Automotive accounts receivable of $0.1 billion due from GM Financial at March 31, 2026; and GM Financial accounts and notes receivable of $0.5 billion due from Automotive; and Automotive accounts receivable of $0.1 billion primarily due from GM Financial at December 31, 2025.</w:t>
      </w:r>
    </w:p>
    <w:p>
      <w:pPr>
        <w:ind w:left="320" w:hanging="312"/>
        <w:spacing w:after="0"/>
        <w:tabs>
          <w:tab w:leader="none" w:pos="320" w:val="left"/>
        </w:tabs>
        <w:numPr>
          <w:ilvl w:val="0"/>
          <w:numId w:val="8"/>
        </w:numPr>
        <w:rPr>
          <w:rFonts w:ascii="Arial" w:cs="Arial" w:eastAsia="Arial" w:hAnsi="Arial"/>
          <w:sz w:val="11"/>
          <w:szCs w:val="11"/>
          <w:color w:val="auto"/>
        </w:rPr>
      </w:pPr>
      <w:r>
        <w:rPr>
          <w:rFonts w:ascii="Arial" w:cs="Arial" w:eastAsia="Arial" w:hAnsi="Arial"/>
          <w:sz w:val="11"/>
          <w:szCs w:val="11"/>
          <w:color w:val="auto"/>
        </w:rPr>
        <w:t>Eliminations primarily related to GM Financial accounts receivable due from Automotive.</w:t>
      </w:r>
    </w:p>
    <w:p>
      <w:pPr>
        <w:spacing w:after="0" w:line="5" w:lineRule="exact"/>
        <w:rPr>
          <w:rFonts w:ascii="Arial" w:cs="Arial" w:eastAsia="Arial" w:hAnsi="Arial"/>
          <w:sz w:val="11"/>
          <w:szCs w:val="11"/>
          <w:color w:val="auto"/>
        </w:rPr>
      </w:pPr>
    </w:p>
    <w:p>
      <w:pPr>
        <w:ind w:left="320" w:hanging="312"/>
        <w:spacing w:after="0"/>
        <w:tabs>
          <w:tab w:leader="none" w:pos="320" w:val="left"/>
        </w:tabs>
        <w:numPr>
          <w:ilvl w:val="0"/>
          <w:numId w:val="8"/>
        </w:numPr>
        <w:rPr>
          <w:rFonts w:ascii="Arial" w:cs="Arial" w:eastAsia="Arial" w:hAnsi="Arial"/>
          <w:sz w:val="11"/>
          <w:szCs w:val="11"/>
          <w:color w:val="auto"/>
        </w:rPr>
      </w:pPr>
      <w:r>
        <w:rPr>
          <w:rFonts w:ascii="Arial" w:cs="Arial" w:eastAsia="Arial" w:hAnsi="Arial"/>
          <w:sz w:val="11"/>
          <w:szCs w:val="11"/>
          <w:color w:val="auto"/>
        </w:rPr>
        <w:t>Primarily reclassification of GM Financial Cumulative Perpetual Preferred Stock, Series A, B, and C. The preferred stock is classified as noncontrolling interests in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854" w:right="339" w:bottom="1440" w:gutter="0" w:footer="0" w:header="0"/>
        </w:sectPr>
      </w:pPr>
    </w:p>
    <w:bookmarkStart w:id="10" w:name="page11"/>
    <w:bookmarkEnd w:id="10"/>
    <w:p>
      <w:pPr>
        <w:jc w:val="right"/>
        <w:ind w:right="3920"/>
        <w:spacing w:after="0"/>
        <w:rPr>
          <w:sz w:val="20"/>
          <w:szCs w:val="20"/>
          <w:color w:val="auto"/>
        </w:rPr>
      </w:pPr>
      <w:r>
        <w:rPr>
          <w:rFonts w:ascii="Arial" w:cs="Arial" w:eastAsia="Arial" w:hAnsi="Arial"/>
          <w:sz w:val="16"/>
          <w:szCs w:val="16"/>
          <w:b w:val="1"/>
          <w:bCs w:val="1"/>
          <w:color w:val="auto"/>
        </w:rPr>
        <w:t>General Motors Company and Subsidiaries</w:t>
      </w:r>
      <w:r>
        <w:rPr>
          <w:rFonts w:ascii="Arial" w:cs="Arial" w:eastAsia="Arial" w:hAnsi="Arial"/>
          <w:sz w:val="21"/>
          <w:szCs w:val="21"/>
          <w:b w:val="1"/>
          <w:bCs w:val="1"/>
          <w:color w:val="auto"/>
          <w:vertAlign w:val="superscript"/>
        </w:rPr>
        <w:t>1</w:t>
      </w:r>
    </w:p>
    <w:p>
      <w:pPr>
        <w:spacing w:after="0" w:line="83" w:lineRule="exact"/>
        <w:rPr>
          <w:sz w:val="20"/>
          <w:szCs w:val="20"/>
          <w:color w:val="auto"/>
        </w:rPr>
      </w:pPr>
    </w:p>
    <w:p>
      <w:pPr>
        <w:ind w:left="4300"/>
        <w:spacing w:after="0"/>
        <w:rPr>
          <w:sz w:val="20"/>
          <w:szCs w:val="20"/>
          <w:color w:val="auto"/>
        </w:rPr>
      </w:pPr>
      <w:r>
        <w:rPr>
          <w:rFonts w:ascii="Arial" w:cs="Arial" w:eastAsia="Arial" w:hAnsi="Arial"/>
          <w:sz w:val="16"/>
          <w:szCs w:val="16"/>
          <w:b w:val="1"/>
          <w:bCs w:val="1"/>
          <w:color w:val="auto"/>
        </w:rPr>
        <w:t>Combining Cash Flow Information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millions) (Unaudited)</w:t>
      </w:r>
    </w:p>
    <w:p>
      <w:pPr>
        <w:spacing w:after="0" w:line="39" w:lineRule="exact"/>
        <w:rPr>
          <w:sz w:val="20"/>
          <w:szCs w:val="20"/>
          <w:color w:val="auto"/>
        </w:rPr>
      </w:pPr>
    </w:p>
    <w:tbl>
      <w:tblPr>
        <w:tblLayout w:type="fixed"/>
        <w:tblInd w:w="2000" w:type="dxa"/>
        <w:tblCellMar>
          <w:top w:w="0" w:type="dxa"/>
          <w:left w:w="0" w:type="dxa"/>
          <w:bottom w:w="0" w:type="dxa"/>
          <w:right w:w="0" w:type="dxa"/>
        </w:tblCellMar>
      </w:tblPr>
      <w:tr>
        <w:trPr>
          <w:trHeight w:val="176"/>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Three Months Ended March 31, 2026</w:t>
            </w:r>
          </w:p>
        </w:tc>
        <w:tc>
          <w:tcPr>
            <w:tcW w:w="1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gridSpan w:val="2"/>
          </w:tcPr>
          <w:p>
            <w:pPr>
              <w:ind w:left="400"/>
              <w:spacing w:after="0"/>
              <w:rPr>
                <w:sz w:val="20"/>
                <w:szCs w:val="20"/>
                <w:color w:val="auto"/>
              </w:rPr>
            </w:pPr>
            <w:r>
              <w:rPr>
                <w:rFonts w:ascii="Arial" w:cs="Arial" w:eastAsia="Arial" w:hAnsi="Arial"/>
                <w:sz w:val="13"/>
                <w:szCs w:val="13"/>
                <w:b w:val="1"/>
                <w:bCs w:val="1"/>
                <w:color w:val="auto"/>
              </w:rPr>
              <w:t>Three Months Ended March 31, 2025</w:t>
            </w:r>
          </w:p>
        </w:tc>
        <w:tc>
          <w:tcPr>
            <w:tcW w:w="0" w:type="dxa"/>
            <w:vAlign w:val="bottom"/>
          </w:tcPr>
          <w:p>
            <w:pPr>
              <w:spacing w:after="0"/>
              <w:rPr>
                <w:sz w:val="1"/>
                <w:szCs w:val="1"/>
                <w:color w:val="auto"/>
              </w:rPr>
            </w:pPr>
          </w:p>
        </w:tc>
      </w:tr>
      <w:tr>
        <w:trPr>
          <w:trHeight w:val="106"/>
        </w:trPr>
        <w:tc>
          <w:tcPr>
            <w:tcW w:w="3980" w:type="dxa"/>
            <w:vAlign w:val="bottom"/>
            <w:gridSpan w:val="2"/>
          </w:tcPr>
          <w:p>
            <w:pPr>
              <w:ind w:left="1000"/>
              <w:spacing w:after="0" w:line="106" w:lineRule="exact"/>
              <w:rPr>
                <w:sz w:val="20"/>
                <w:szCs w:val="20"/>
                <w:color w:val="auto"/>
              </w:rPr>
            </w:pPr>
            <w:r>
              <w:rPr>
                <w:rFonts w:ascii="Arial" w:cs="Arial" w:eastAsia="Arial" w:hAnsi="Arial"/>
                <w:sz w:val="11"/>
                <w:szCs w:val="11"/>
                <w:b w:val="1"/>
                <w:bCs w:val="1"/>
                <w:color w:val="auto"/>
              </w:rPr>
              <w:t>GM</w:t>
            </w: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Automotive</w:t>
            </w:r>
          </w:p>
        </w:tc>
        <w:tc>
          <w:tcPr>
            <w:tcW w:w="60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Cruise</w:t>
            </w:r>
          </w:p>
        </w:tc>
        <w:tc>
          <w:tcPr>
            <w:tcW w:w="3180" w:type="dxa"/>
            <w:vAlign w:val="bottom"/>
          </w:tcPr>
          <w:p>
            <w:pPr>
              <w:ind w:left="280"/>
              <w:spacing w:after="0" w:line="106" w:lineRule="exact"/>
              <w:rPr>
                <w:sz w:val="20"/>
                <w:szCs w:val="20"/>
                <w:color w:val="auto"/>
              </w:rPr>
            </w:pPr>
            <w:r>
              <w:rPr>
                <w:rFonts w:ascii="Arial" w:cs="Arial" w:eastAsia="Arial" w:hAnsi="Arial"/>
                <w:sz w:val="11"/>
                <w:szCs w:val="11"/>
                <w:b w:val="1"/>
                <w:bCs w:val="1"/>
                <w:color w:val="auto"/>
              </w:rPr>
              <w:t>GM</w:t>
            </w:r>
          </w:p>
        </w:tc>
        <w:tc>
          <w:tcPr>
            <w:tcW w:w="0" w:type="dxa"/>
            <w:vAlign w:val="bottom"/>
          </w:tcPr>
          <w:p>
            <w:pPr>
              <w:spacing w:after="0"/>
              <w:rPr>
                <w:sz w:val="1"/>
                <w:szCs w:val="1"/>
                <w:color w:val="auto"/>
              </w:rPr>
            </w:pPr>
          </w:p>
        </w:tc>
      </w:tr>
      <w:tr>
        <w:trPr>
          <w:trHeight w:val="148"/>
        </w:trPr>
        <w:tc>
          <w:tcPr>
            <w:tcW w:w="39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rPr>
              <w:t>AutomotiveFinancial   Reclassifications/Eliminations   Combined</w:t>
            </w:r>
          </w:p>
        </w:tc>
        <w:tc>
          <w:tcPr>
            <w:tcW w:w="7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3180" w:type="dxa"/>
            <w:vAlign w:val="bottom"/>
          </w:tcPr>
          <w:p>
            <w:pPr>
              <w:ind w:left="140"/>
              <w:spacing w:after="0"/>
              <w:rPr>
                <w:sz w:val="20"/>
                <w:szCs w:val="20"/>
                <w:color w:val="auto"/>
              </w:rPr>
            </w:pPr>
            <w:r>
              <w:rPr>
                <w:rFonts w:ascii="Arial" w:cs="Arial" w:eastAsia="Arial" w:hAnsi="Arial"/>
                <w:sz w:val="11"/>
                <w:szCs w:val="11"/>
                <w:b w:val="1"/>
                <w:bCs w:val="1"/>
                <w:color w:val="auto"/>
              </w:rPr>
              <w:t>Financial   Reclassifications/Eliminations    Combined</w:t>
            </w:r>
          </w:p>
        </w:tc>
        <w:tc>
          <w:tcPr>
            <w:tcW w:w="0" w:type="dxa"/>
            <w:vAlign w:val="bottom"/>
          </w:tcPr>
          <w:p>
            <w:pPr>
              <w:spacing w:after="0"/>
              <w:rPr>
                <w:sz w:val="1"/>
                <w:szCs w:val="1"/>
                <w:color w:val="auto"/>
              </w:rPr>
            </w:pPr>
          </w:p>
        </w:tc>
      </w:tr>
    </w:tbl>
    <w:p>
      <w:pPr>
        <w:ind w:left="20"/>
        <w:spacing w:after="0" w:line="229" w:lineRule="auto"/>
        <w:rPr>
          <w:sz w:val="20"/>
          <w:szCs w:val="20"/>
          <w:color w:val="auto"/>
        </w:rPr>
      </w:pPr>
      <w:r>
        <w:rPr>
          <w:rFonts w:ascii="Arial" w:cs="Arial" w:eastAsia="Arial" w:hAnsi="Arial"/>
          <w:sz w:val="13"/>
          <w:szCs w:val="13"/>
          <w:b w:val="1"/>
          <w:bCs w:val="1"/>
          <w:color w:val="auto"/>
        </w:rPr>
        <w:t>Cash flows from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-81280</wp:posOffset>
            </wp:positionV>
            <wp:extent cx="54260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26075" cy="825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3"/>
          <w:szCs w:val="13"/>
          <w:b w:val="1"/>
          <w:bCs w:val="1"/>
          <w:color w:val="auto"/>
        </w:rPr>
        <w:t>activities</w:t>
      </w:r>
    </w:p>
    <w:p>
      <w:pPr>
        <w:sectPr>
          <w:pgSz w:w="11900" w:h="16838" w:orient="portrait"/>
          <w:cols w:equalWidth="0" w:num="1">
            <w:col w:w="11220"/>
          </w:cols>
          <w:pgMar w:left="320" w:top="854" w:right="359" w:bottom="804" w:gutter="0" w:footer="0" w:header="0"/>
        </w:sectPr>
      </w:pPr>
    </w:p>
    <w:p>
      <w:pPr>
        <w:spacing w:after="0" w:line="28" w:lineRule="exact"/>
        <w:rPr>
          <w:sz w:val="20"/>
          <w:szCs w:val="20"/>
          <w:color w:val="auto"/>
        </w:rPr>
      </w:pPr>
    </w:p>
    <w:p>
      <w:pPr>
        <w:ind w:left="140"/>
        <w:spacing w:after="0"/>
        <w:tabs>
          <w:tab w:leader="none" w:pos="2000" w:val="left"/>
        </w:tabs>
        <w:rPr>
          <w:sz w:val="20"/>
          <w:szCs w:val="20"/>
          <w:color w:val="auto"/>
        </w:rPr>
      </w:pPr>
      <w:r>
        <w:rPr>
          <w:rFonts w:ascii="Arial" w:cs="Arial" w:eastAsia="Arial" w:hAnsi="Arial"/>
          <w:sz w:val="13"/>
          <w:szCs w:val="13"/>
          <w:color w:val="auto"/>
        </w:rPr>
        <w:t>Net income (loss)</w:t>
      </w:r>
      <w:r>
        <w:rPr>
          <w:sz w:val="20"/>
          <w:szCs w:val="20"/>
          <w:color w:val="auto"/>
        </w:rPr>
        <w:tab/>
      </w:r>
      <w:r>
        <w:rPr>
          <w:rFonts w:ascii="Arial" w:cs="Arial" w:eastAsia="Arial" w:hAnsi="Arial"/>
          <w:sz w:val="10"/>
          <w:szCs w:val="10"/>
          <w:color w:val="auto"/>
        </w:rPr>
        <w:t>$</w:t>
      </w:r>
    </w:p>
    <w:p>
      <w:pPr>
        <w:spacing w:after="0" w:line="26" w:lineRule="exact"/>
        <w:rPr>
          <w:sz w:val="20"/>
          <w:szCs w:val="20"/>
          <w:color w:val="auto"/>
        </w:rPr>
      </w:pPr>
    </w:p>
    <w:p>
      <w:pPr>
        <w:ind w:left="300" w:right="180" w:hanging="161"/>
        <w:spacing w:after="0" w:line="218" w:lineRule="auto"/>
        <w:rPr>
          <w:sz w:val="20"/>
          <w:szCs w:val="20"/>
          <w:color w:val="auto"/>
        </w:rPr>
      </w:pPr>
      <w:r>
        <w:rPr>
          <w:rFonts w:ascii="Arial" w:cs="Arial" w:eastAsia="Arial" w:hAnsi="Arial"/>
          <w:sz w:val="13"/>
          <w:szCs w:val="13"/>
          <w:color w:val="auto"/>
        </w:rPr>
        <w:t>Depreciation and impairment of Equipment on operating leases, net</w:t>
      </w:r>
    </w:p>
    <w:p>
      <w:pPr>
        <w:spacing w:after="0" w:line="25" w:lineRule="exact"/>
        <w:rPr>
          <w:sz w:val="20"/>
          <w:szCs w:val="20"/>
          <w:color w:val="auto"/>
        </w:rPr>
      </w:pPr>
    </w:p>
    <w:p>
      <w:pPr>
        <w:ind w:left="300" w:right="180" w:hanging="161"/>
        <w:spacing w:after="0" w:line="218" w:lineRule="auto"/>
        <w:rPr>
          <w:sz w:val="20"/>
          <w:szCs w:val="20"/>
          <w:color w:val="auto"/>
        </w:rPr>
      </w:pPr>
      <w:r>
        <w:rPr>
          <w:rFonts w:ascii="Arial" w:cs="Arial" w:eastAsia="Arial" w:hAnsi="Arial"/>
          <w:sz w:val="13"/>
          <w:szCs w:val="13"/>
          <w:color w:val="auto"/>
        </w:rPr>
        <w:t>Depreciation, amortization, and impairment charges on Property, net</w:t>
      </w:r>
    </w:p>
    <w:p>
      <w:pPr>
        <w:spacing w:after="0" w:line="25" w:lineRule="exact"/>
        <w:rPr>
          <w:sz w:val="20"/>
          <w:szCs w:val="20"/>
          <w:color w:val="auto"/>
        </w:rPr>
      </w:pPr>
    </w:p>
    <w:p>
      <w:pPr>
        <w:ind w:left="300" w:right="340" w:hanging="161"/>
        <w:spacing w:after="0" w:line="237" w:lineRule="auto"/>
        <w:rPr>
          <w:sz w:val="20"/>
          <w:szCs w:val="20"/>
          <w:color w:val="auto"/>
        </w:rPr>
      </w:pPr>
      <w:r>
        <w:rPr>
          <w:rFonts w:ascii="Arial" w:cs="Arial" w:eastAsia="Arial" w:hAnsi="Arial"/>
          <w:sz w:val="12"/>
          <w:szCs w:val="12"/>
          <w:color w:val="auto"/>
        </w:rPr>
        <w:t>Foreign currency remeasurement and transaction (gains) losses</w:t>
      </w:r>
    </w:p>
    <w:p>
      <w:pPr>
        <w:spacing w:after="0" w:line="23" w:lineRule="exact"/>
        <w:rPr>
          <w:sz w:val="20"/>
          <w:szCs w:val="20"/>
          <w:color w:val="auto"/>
        </w:rPr>
      </w:pPr>
    </w:p>
    <w:p>
      <w:pPr>
        <w:ind w:left="300" w:right="120" w:hanging="161"/>
        <w:spacing w:after="0" w:line="260" w:lineRule="auto"/>
        <w:rPr>
          <w:sz w:val="20"/>
          <w:szCs w:val="20"/>
          <w:color w:val="auto"/>
        </w:rPr>
      </w:pPr>
      <w:r>
        <w:rPr>
          <w:rFonts w:ascii="Arial" w:cs="Arial" w:eastAsia="Arial" w:hAnsi="Arial"/>
          <w:sz w:val="12"/>
          <w:szCs w:val="12"/>
          <w:color w:val="auto"/>
        </w:rPr>
        <w:t>Undistributed earnings of nonconsolidated affiliates, net</w:t>
      </w:r>
    </w:p>
    <w:p>
      <w:pPr>
        <w:ind w:left="140"/>
        <w:spacing w:after="0" w:line="232" w:lineRule="auto"/>
        <w:rPr>
          <w:sz w:val="20"/>
          <w:szCs w:val="20"/>
          <w:color w:val="auto"/>
        </w:rPr>
      </w:pPr>
      <w:r>
        <w:rPr>
          <w:rFonts w:ascii="Arial" w:cs="Arial" w:eastAsia="Arial" w:hAnsi="Arial"/>
          <w:sz w:val="13"/>
          <w:szCs w:val="13"/>
          <w:color w:val="auto"/>
        </w:rPr>
        <w:t>Pension contributions and</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3"/>
          <w:szCs w:val="13"/>
          <w:color w:val="auto"/>
        </w:rPr>
        <w:t>OPEB payments</w:t>
      </w:r>
    </w:p>
    <w:p>
      <w:pPr>
        <w:spacing w:after="0" w:line="12" w:lineRule="exact"/>
        <w:rPr>
          <w:sz w:val="20"/>
          <w:szCs w:val="20"/>
          <w:color w:val="auto"/>
        </w:rPr>
      </w:pPr>
    </w:p>
    <w:p>
      <w:pPr>
        <w:ind w:left="140"/>
        <w:spacing w:after="0"/>
        <w:rPr>
          <w:sz w:val="20"/>
          <w:szCs w:val="20"/>
          <w:color w:val="auto"/>
        </w:rPr>
      </w:pPr>
      <w:r>
        <w:rPr>
          <w:rFonts w:ascii="Arial" w:cs="Arial" w:eastAsia="Arial" w:hAnsi="Arial"/>
          <w:sz w:val="13"/>
          <w:szCs w:val="13"/>
          <w:color w:val="auto"/>
        </w:rPr>
        <w:t>Pension and OPEB (income)</w:t>
      </w:r>
    </w:p>
    <w:p>
      <w:pPr>
        <w:ind w:left="300"/>
        <w:spacing w:after="0"/>
        <w:rPr>
          <w:sz w:val="20"/>
          <w:szCs w:val="20"/>
          <w:color w:val="auto"/>
        </w:rPr>
      </w:pPr>
      <w:r>
        <w:rPr>
          <w:rFonts w:ascii="Arial" w:cs="Arial" w:eastAsia="Arial" w:hAnsi="Arial"/>
          <w:sz w:val="13"/>
          <w:szCs w:val="13"/>
          <w:color w:val="auto"/>
        </w:rPr>
        <w:t>expense, net</w:t>
      </w:r>
    </w:p>
    <w:p>
      <w:pPr>
        <w:spacing w:after="0" w:line="28" w:lineRule="exact"/>
        <w:rPr>
          <w:sz w:val="20"/>
          <w:szCs w:val="20"/>
          <w:color w:val="auto"/>
        </w:rPr>
      </w:pPr>
    </w:p>
    <w:p>
      <w:pPr>
        <w:ind w:left="300" w:right="240" w:hanging="161"/>
        <w:spacing w:after="0" w:line="230" w:lineRule="auto"/>
        <w:rPr>
          <w:sz w:val="20"/>
          <w:szCs w:val="20"/>
          <w:color w:val="auto"/>
        </w:rPr>
      </w:pPr>
      <w:r>
        <w:rPr>
          <w:rFonts w:ascii="Arial" w:cs="Arial" w:eastAsia="Arial" w:hAnsi="Arial"/>
          <w:sz w:val="13"/>
          <w:szCs w:val="13"/>
          <w:color w:val="auto"/>
        </w:rPr>
        <w:t>Provision (benefit) for deferred taxes</w:t>
      </w:r>
    </w:p>
    <w:p>
      <w:pPr>
        <w:spacing w:after="0" w:line="24" w:lineRule="exact"/>
        <w:rPr>
          <w:sz w:val="20"/>
          <w:szCs w:val="20"/>
          <w:color w:val="auto"/>
        </w:rPr>
      </w:pPr>
    </w:p>
    <w:p>
      <w:pPr>
        <w:ind w:left="300" w:right="340" w:hanging="161"/>
        <w:spacing w:after="0" w:line="260" w:lineRule="auto"/>
        <w:rPr>
          <w:sz w:val="20"/>
          <w:szCs w:val="20"/>
          <w:color w:val="auto"/>
        </w:rPr>
      </w:pPr>
      <w:r>
        <w:rPr>
          <w:rFonts w:ascii="Arial" w:cs="Arial" w:eastAsia="Arial" w:hAnsi="Arial"/>
          <w:sz w:val="12"/>
          <w:szCs w:val="12"/>
          <w:color w:val="auto"/>
        </w:rPr>
        <w:t>Change in other operating assets and liabilities(a)(c)</w:t>
      </w:r>
    </w:p>
    <w:p>
      <w:pPr>
        <w:spacing w:after="0" w:line="12" w:lineRule="exact"/>
        <w:rPr>
          <w:sz w:val="20"/>
          <w:szCs w:val="20"/>
          <w:color w:val="auto"/>
        </w:rPr>
      </w:pPr>
    </w:p>
    <w:p>
      <w:pPr>
        <w:ind w:left="180" w:right="220" w:hanging="161"/>
        <w:spacing w:after="0" w:line="235" w:lineRule="auto"/>
        <w:rPr>
          <w:sz w:val="20"/>
          <w:szCs w:val="20"/>
          <w:color w:val="auto"/>
        </w:rPr>
      </w:pPr>
      <w:r>
        <w:rPr>
          <w:rFonts w:ascii="Arial" w:cs="Arial" w:eastAsia="Arial" w:hAnsi="Arial"/>
          <w:sz w:val="13"/>
          <w:szCs w:val="13"/>
          <w:b w:val="1"/>
          <w:bCs w:val="1"/>
          <w:color w:val="auto"/>
        </w:rPr>
        <w:t>Net cash provided by (used in) operating activities</w:t>
      </w:r>
    </w:p>
    <w:p>
      <w:pPr>
        <w:spacing w:after="0" w:line="18" w:lineRule="exact"/>
        <w:rPr>
          <w:sz w:val="20"/>
          <w:szCs w:val="20"/>
          <w:color w:val="auto"/>
        </w:rPr>
      </w:pPr>
    </w:p>
    <w:p>
      <w:pPr>
        <w:ind w:left="180" w:right="480" w:hanging="161"/>
        <w:spacing w:after="0" w:line="235" w:lineRule="auto"/>
        <w:rPr>
          <w:sz w:val="20"/>
          <w:szCs w:val="20"/>
          <w:color w:val="auto"/>
        </w:rPr>
      </w:pPr>
      <w:r>
        <w:rPr>
          <w:rFonts w:ascii="Arial" w:cs="Arial" w:eastAsia="Arial" w:hAnsi="Arial"/>
          <w:sz w:val="13"/>
          <w:szCs w:val="13"/>
          <w:b w:val="1"/>
          <w:bCs w:val="1"/>
          <w:color w:val="auto"/>
        </w:rPr>
        <w:t>Cash flows from investing activities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520" w:type="dxa"/>
            <w:vAlign w:val="bottom"/>
          </w:tcPr>
          <w:p>
            <w:pPr>
              <w:jc w:val="right"/>
              <w:ind w:right="77"/>
              <w:spacing w:after="0"/>
              <w:rPr>
                <w:sz w:val="20"/>
                <w:szCs w:val="20"/>
                <w:color w:val="auto"/>
              </w:rPr>
            </w:pPr>
            <w:r>
              <w:rPr>
                <w:rFonts w:ascii="Arial" w:cs="Arial" w:eastAsia="Arial" w:hAnsi="Arial"/>
                <w:sz w:val="13"/>
                <w:szCs w:val="13"/>
                <w:color w:val="auto"/>
              </w:rPr>
              <w:t>2,188</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517</w:t>
            </w:r>
          </w:p>
        </w:tc>
        <w:tc>
          <w:tcPr>
            <w:tcW w:w="100" w:type="dxa"/>
            <w:vAlign w:val="bottom"/>
          </w:tcPr>
          <w:p>
            <w:pPr>
              <w:spacing w:after="0"/>
              <w:rPr>
                <w:sz w:val="14"/>
                <w:szCs w:val="14"/>
                <w:color w:val="auto"/>
              </w:rPr>
            </w:pPr>
          </w:p>
        </w:tc>
        <w:tc>
          <w:tcPr>
            <w:tcW w:w="700" w:type="dxa"/>
            <w:vAlign w:val="bottom"/>
          </w:tcPr>
          <w:p>
            <w:pPr>
              <w:jc w:val="right"/>
              <w:ind w:right="557"/>
              <w:spacing w:after="0"/>
              <w:rPr>
                <w:sz w:val="20"/>
                <w:szCs w:val="20"/>
                <w:color w:val="auto"/>
              </w:rPr>
            </w:pPr>
            <w:r>
              <w:rPr>
                <w:rFonts w:ascii="Arial" w:cs="Arial" w:eastAsia="Arial" w:hAnsi="Arial"/>
                <w:sz w:val="13"/>
                <w:szCs w:val="13"/>
                <w:color w:val="auto"/>
                <w:w w:val="82"/>
              </w:rPr>
              <w:t>$</w:t>
            </w:r>
          </w:p>
        </w:tc>
        <w:tc>
          <w:tcPr>
            <w:tcW w:w="1160" w:type="dxa"/>
            <w:vAlign w:val="bottom"/>
            <w:gridSpan w:val="3"/>
          </w:tcPr>
          <w:p>
            <w:pPr>
              <w:ind w:left="700"/>
              <w:spacing w:after="0"/>
              <w:rPr>
                <w:sz w:val="20"/>
                <w:szCs w:val="20"/>
                <w:color w:val="auto"/>
              </w:rPr>
            </w:pPr>
            <w:r>
              <w:rPr>
                <w:rFonts w:ascii="Arial" w:cs="Arial" w:eastAsia="Arial" w:hAnsi="Arial"/>
                <w:sz w:val="13"/>
                <w:szCs w:val="13"/>
                <w:color w:val="auto"/>
              </w:rPr>
              <w:t>—   $</w:t>
            </w:r>
          </w:p>
        </w:tc>
        <w:tc>
          <w:tcPr>
            <w:tcW w:w="500" w:type="dxa"/>
            <w:vAlign w:val="bottom"/>
          </w:tcPr>
          <w:p>
            <w:pPr>
              <w:jc w:val="right"/>
              <w:spacing w:after="0"/>
              <w:rPr>
                <w:sz w:val="20"/>
                <w:szCs w:val="20"/>
                <w:color w:val="auto"/>
              </w:rPr>
            </w:pPr>
            <w:r>
              <w:rPr>
                <w:rFonts w:ascii="Arial" w:cs="Arial" w:eastAsia="Arial" w:hAnsi="Arial"/>
                <w:sz w:val="13"/>
                <w:szCs w:val="13"/>
                <w:color w:val="auto"/>
              </w:rPr>
              <w:t>2,705</w:t>
            </w:r>
          </w:p>
        </w:tc>
        <w:tc>
          <w:tcPr>
            <w:tcW w:w="120" w:type="dxa"/>
            <w:vAlign w:val="bottom"/>
          </w:tcPr>
          <w:p>
            <w:pPr>
              <w:spacing w:after="0"/>
              <w:rPr>
                <w:sz w:val="14"/>
                <w:szCs w:val="14"/>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2,659</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  (302)</w:t>
            </w: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496</w:t>
            </w:r>
          </w:p>
        </w:tc>
        <w:tc>
          <w:tcPr>
            <w:tcW w:w="100" w:type="dxa"/>
            <w:vAlign w:val="bottom"/>
          </w:tcPr>
          <w:p>
            <w:pPr>
              <w:spacing w:after="0"/>
              <w:rPr>
                <w:sz w:val="14"/>
                <w:szCs w:val="14"/>
                <w:color w:val="auto"/>
              </w:rPr>
            </w:pPr>
          </w:p>
        </w:tc>
        <w:tc>
          <w:tcPr>
            <w:tcW w:w="660" w:type="dxa"/>
            <w:vAlign w:val="bottom"/>
          </w:tcPr>
          <w:p>
            <w:pPr>
              <w:jc w:val="right"/>
              <w:ind w:right="497"/>
              <w:spacing w:after="0"/>
              <w:rPr>
                <w:sz w:val="20"/>
                <w:szCs w:val="20"/>
                <w:color w:val="auto"/>
              </w:rPr>
            </w:pPr>
            <w:r>
              <w:rPr>
                <w:rFonts w:ascii="Arial" w:cs="Arial" w:eastAsia="Arial" w:hAnsi="Arial"/>
                <w:sz w:val="13"/>
                <w:szCs w:val="13"/>
                <w:color w:val="auto"/>
              </w:rPr>
              <w:t>$</w:t>
            </w:r>
          </w:p>
        </w:tc>
        <w:tc>
          <w:tcPr>
            <w:tcW w:w="1240" w:type="dxa"/>
            <w:vAlign w:val="bottom"/>
            <w:gridSpan w:val="3"/>
          </w:tcPr>
          <w:p>
            <w:pPr>
              <w:ind w:left="760"/>
              <w:spacing w:after="0"/>
              <w:rPr>
                <w:sz w:val="20"/>
                <w:szCs w:val="20"/>
                <w:color w:val="auto"/>
              </w:rPr>
            </w:pPr>
            <w:r>
              <w:rPr>
                <w:rFonts w:ascii="Arial" w:cs="Arial" w:eastAsia="Arial" w:hAnsi="Arial"/>
                <w:sz w:val="13"/>
                <w:szCs w:val="13"/>
                <w:color w:val="auto"/>
              </w:rPr>
              <w:t>—   $</w:t>
            </w:r>
          </w:p>
        </w:tc>
        <w:tc>
          <w:tcPr>
            <w:tcW w:w="500" w:type="dxa"/>
            <w:vAlign w:val="bottom"/>
          </w:tcPr>
          <w:p>
            <w:pPr>
              <w:jc w:val="right"/>
              <w:spacing w:after="0"/>
              <w:rPr>
                <w:sz w:val="20"/>
                <w:szCs w:val="20"/>
                <w:color w:val="auto"/>
              </w:rPr>
            </w:pPr>
            <w:r>
              <w:rPr>
                <w:rFonts w:ascii="Arial" w:cs="Arial" w:eastAsia="Arial" w:hAnsi="Arial"/>
                <w:sz w:val="13"/>
                <w:szCs w:val="13"/>
                <w:color w:val="auto"/>
              </w:rPr>
              <w:t>2,853</w:t>
            </w:r>
          </w:p>
        </w:tc>
      </w:tr>
      <w:tr>
        <w:trPr>
          <w:trHeight w:val="432"/>
        </w:trPr>
        <w:tc>
          <w:tcPr>
            <w:tcW w:w="5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1,331</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gridSpan w:val="3"/>
          </w:tcPr>
          <w:p>
            <w:pPr>
              <w:jc w:val="right"/>
              <w:ind w:right="34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1,331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1,203</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gridSpan w:val="3"/>
          </w:tcPr>
          <w:p>
            <w:pPr>
              <w:jc w:val="right"/>
              <w:ind w:right="36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1,203</w:t>
            </w:r>
          </w:p>
        </w:tc>
      </w:tr>
      <w:tr>
        <w:trPr>
          <w:trHeight w:val="432"/>
        </w:trPr>
        <w:tc>
          <w:tcPr>
            <w:tcW w:w="520" w:type="dxa"/>
            <w:vAlign w:val="bottom"/>
          </w:tcPr>
          <w:p>
            <w:pPr>
              <w:jc w:val="right"/>
              <w:ind w:right="77"/>
              <w:spacing w:after="0"/>
              <w:rPr>
                <w:sz w:val="20"/>
                <w:szCs w:val="20"/>
                <w:color w:val="auto"/>
              </w:rPr>
            </w:pPr>
            <w:r>
              <w:rPr>
                <w:rFonts w:ascii="Arial" w:cs="Arial" w:eastAsia="Arial" w:hAnsi="Arial"/>
                <w:sz w:val="13"/>
                <w:szCs w:val="13"/>
                <w:color w:val="auto"/>
              </w:rPr>
              <w:t>1,689</w:t>
            </w:r>
          </w:p>
        </w:tc>
        <w:tc>
          <w:tcPr>
            <w:tcW w:w="1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gridSpan w:val="3"/>
          </w:tcPr>
          <w:p>
            <w:pPr>
              <w:jc w:val="right"/>
              <w:ind w:right="34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1,699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1,716</w:t>
            </w: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gridSpan w:val="3"/>
          </w:tcPr>
          <w:p>
            <w:pPr>
              <w:jc w:val="right"/>
              <w:ind w:right="36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1,731</w:t>
            </w:r>
          </w:p>
        </w:tc>
      </w:tr>
      <w:tr>
        <w:trPr>
          <w:trHeight w:val="432"/>
        </w:trPr>
        <w:tc>
          <w:tcPr>
            <w:tcW w:w="520" w:type="dxa"/>
            <w:vAlign w:val="bottom"/>
          </w:tcPr>
          <w:p>
            <w:pPr>
              <w:jc w:val="right"/>
              <w:ind w:right="57"/>
              <w:spacing w:after="0"/>
              <w:rPr>
                <w:sz w:val="20"/>
                <w:szCs w:val="20"/>
                <w:color w:val="auto"/>
              </w:rPr>
            </w:pPr>
            <w:r>
              <w:rPr>
                <w:rFonts w:ascii="Arial" w:cs="Arial" w:eastAsia="Arial" w:hAnsi="Arial"/>
                <w:sz w:val="13"/>
                <w:szCs w:val="13"/>
                <w:color w:val="auto"/>
              </w:rPr>
              <w:t>(60)</w:t>
            </w:r>
          </w:p>
        </w:tc>
        <w:tc>
          <w:tcPr>
            <w:tcW w:w="1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gridSpan w:val="3"/>
          </w:tcPr>
          <w:p>
            <w:pPr>
              <w:jc w:val="right"/>
              <w:ind w:right="34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(64)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149</w:t>
            </w:r>
          </w:p>
        </w:tc>
        <w:tc>
          <w:tcPr>
            <w:tcW w:w="100" w:type="dxa"/>
            <w:vAlign w:val="bottom"/>
          </w:tcPr>
          <w:p>
            <w:pPr>
              <w:spacing w:after="0"/>
              <w:rPr>
                <w:sz w:val="24"/>
                <w:szCs w:val="2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gridSpan w:val="3"/>
          </w:tcPr>
          <w:p>
            <w:pPr>
              <w:jc w:val="right"/>
              <w:ind w:right="36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152</w:t>
            </w:r>
          </w:p>
        </w:tc>
      </w:tr>
      <w:tr>
        <w:trPr>
          <w:trHeight w:val="311"/>
        </w:trPr>
        <w:tc>
          <w:tcPr>
            <w:tcW w:w="520" w:type="dxa"/>
            <w:vAlign w:val="bottom"/>
          </w:tcPr>
          <w:p>
            <w:pPr>
              <w:jc w:val="right"/>
              <w:ind w:right="57"/>
              <w:spacing w:after="0"/>
              <w:rPr>
                <w:sz w:val="20"/>
                <w:szCs w:val="20"/>
                <w:color w:val="auto"/>
              </w:rPr>
            </w:pPr>
            <w:r>
              <w:rPr>
                <w:rFonts w:ascii="Arial" w:cs="Arial" w:eastAsia="Arial" w:hAnsi="Arial"/>
                <w:sz w:val="13"/>
                <w:szCs w:val="13"/>
                <w:color w:val="auto"/>
              </w:rPr>
              <w:t>(252)</w:t>
            </w:r>
          </w:p>
        </w:tc>
        <w:tc>
          <w:tcPr>
            <w:tcW w:w="1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gridSpan w:val="3"/>
          </w:tcPr>
          <w:p>
            <w:pPr>
              <w:jc w:val="right"/>
              <w:ind w:right="34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(266)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497</w:t>
            </w:r>
          </w:p>
        </w:tc>
        <w:tc>
          <w:tcPr>
            <w:tcW w:w="100" w:type="dxa"/>
            <w:vAlign w:val="bottom"/>
          </w:tcPr>
          <w:p>
            <w:pPr>
              <w:spacing w:after="0"/>
              <w:rPr>
                <w:sz w:val="24"/>
                <w:szCs w:val="2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gridSpan w:val="3"/>
          </w:tcPr>
          <w:p>
            <w:pPr>
              <w:jc w:val="right"/>
              <w:ind w:right="36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485</w:t>
            </w:r>
          </w:p>
        </w:tc>
      </w:tr>
      <w:tr>
        <w:trPr>
          <w:trHeight w:val="310"/>
        </w:trPr>
        <w:tc>
          <w:tcPr>
            <w:tcW w:w="520" w:type="dxa"/>
            <w:vAlign w:val="bottom"/>
          </w:tcPr>
          <w:p>
            <w:pPr>
              <w:jc w:val="right"/>
              <w:ind w:right="57"/>
              <w:spacing w:after="0"/>
              <w:rPr>
                <w:sz w:val="20"/>
                <w:szCs w:val="20"/>
                <w:color w:val="auto"/>
              </w:rPr>
            </w:pPr>
            <w:r>
              <w:rPr>
                <w:rFonts w:ascii="Arial" w:cs="Arial" w:eastAsia="Arial" w:hAnsi="Arial"/>
                <w:sz w:val="13"/>
                <w:szCs w:val="13"/>
                <w:color w:val="auto"/>
              </w:rPr>
              <w:t>(230)</w:t>
            </w:r>
          </w:p>
        </w:tc>
        <w:tc>
          <w:tcPr>
            <w:tcW w:w="1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gridSpan w:val="3"/>
          </w:tcPr>
          <w:p>
            <w:pPr>
              <w:jc w:val="right"/>
              <w:ind w:right="34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(231)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(194)</w:t>
            </w:r>
          </w:p>
        </w:tc>
        <w:tc>
          <w:tcPr>
            <w:tcW w:w="100" w:type="dxa"/>
            <w:vAlign w:val="bottom"/>
          </w:tcPr>
          <w:p>
            <w:pPr>
              <w:spacing w:after="0"/>
              <w:rPr>
                <w:sz w:val="24"/>
                <w:szCs w:val="2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gridSpan w:val="3"/>
          </w:tcPr>
          <w:p>
            <w:pPr>
              <w:jc w:val="right"/>
              <w:ind w:right="36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(195)</w:t>
            </w:r>
          </w:p>
        </w:tc>
      </w:tr>
      <w:tr>
        <w:trPr>
          <w:trHeight w:val="311"/>
        </w:trPr>
        <w:tc>
          <w:tcPr>
            <w:tcW w:w="520" w:type="dxa"/>
            <w:vAlign w:val="bottom"/>
          </w:tcPr>
          <w:p>
            <w:pPr>
              <w:jc w:val="right"/>
              <w:ind w:right="77"/>
              <w:spacing w:after="0"/>
              <w:rPr>
                <w:sz w:val="20"/>
                <w:szCs w:val="20"/>
                <w:color w:val="auto"/>
              </w:rPr>
            </w:pPr>
            <w:r>
              <w:rPr>
                <w:rFonts w:ascii="Arial" w:cs="Arial" w:eastAsia="Arial" w:hAnsi="Arial"/>
                <w:sz w:val="13"/>
                <w:szCs w:val="13"/>
                <w:color w:val="auto"/>
              </w:rPr>
              <w:t>10</w:t>
            </w:r>
          </w:p>
        </w:tc>
        <w:tc>
          <w:tcPr>
            <w:tcW w:w="1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gridSpan w:val="3"/>
          </w:tcPr>
          <w:p>
            <w:pPr>
              <w:jc w:val="right"/>
              <w:ind w:right="34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4"/>
                <w:szCs w:val="2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24"/>
                <w:szCs w:val="24"/>
                <w:color w:val="auto"/>
              </w:rPr>
            </w:pPr>
          </w:p>
        </w:tc>
        <w:tc>
          <w:tcPr>
            <w:tcW w:w="1240" w:type="dxa"/>
            <w:vAlign w:val="bottom"/>
            <w:gridSpan w:val="3"/>
          </w:tcPr>
          <w:p>
            <w:pPr>
              <w:jc w:val="right"/>
              <w:ind w:right="36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311"/>
        </w:trPr>
        <w:tc>
          <w:tcPr>
            <w:tcW w:w="520" w:type="dxa"/>
            <w:vAlign w:val="bottom"/>
          </w:tcPr>
          <w:p>
            <w:pPr>
              <w:jc w:val="right"/>
              <w:ind w:right="77"/>
              <w:spacing w:after="0"/>
              <w:rPr>
                <w:sz w:val="20"/>
                <w:szCs w:val="20"/>
                <w:color w:val="auto"/>
              </w:rPr>
            </w:pPr>
            <w:r>
              <w:rPr>
                <w:rFonts w:ascii="Arial" w:cs="Arial" w:eastAsia="Arial" w:hAnsi="Arial"/>
                <w:sz w:val="13"/>
                <w:szCs w:val="13"/>
                <w:color w:val="auto"/>
              </w:rPr>
              <w:t>117</w:t>
            </w:r>
          </w:p>
        </w:tc>
        <w:tc>
          <w:tcPr>
            <w:tcW w:w="1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105</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gridSpan w:val="3"/>
          </w:tcPr>
          <w:p>
            <w:pPr>
              <w:jc w:val="right"/>
              <w:ind w:right="34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222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39</w:t>
            </w:r>
          </w:p>
        </w:tc>
        <w:tc>
          <w:tcPr>
            <w:tcW w:w="100" w:type="dxa"/>
            <w:vAlign w:val="bottom"/>
          </w:tcPr>
          <w:p>
            <w:pPr>
              <w:spacing w:after="0"/>
              <w:rPr>
                <w:sz w:val="24"/>
                <w:szCs w:val="2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104</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gridSpan w:val="3"/>
          </w:tcPr>
          <w:p>
            <w:pPr>
              <w:jc w:val="right"/>
              <w:ind w:right="36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143</w:t>
            </w:r>
          </w:p>
        </w:tc>
      </w:tr>
      <w:tr>
        <w:trPr>
          <w:trHeight w:val="318"/>
        </w:trPr>
        <w:tc>
          <w:tcPr>
            <w:tcW w:w="520" w:type="dxa"/>
            <w:vAlign w:val="bottom"/>
          </w:tcPr>
          <w:p>
            <w:pPr>
              <w:jc w:val="right"/>
              <w:ind w:right="57"/>
              <w:spacing w:after="0"/>
              <w:rPr>
                <w:sz w:val="20"/>
                <w:szCs w:val="20"/>
                <w:color w:val="auto"/>
              </w:rPr>
            </w:pPr>
            <w:r>
              <w:rPr>
                <w:rFonts w:ascii="Arial" w:cs="Arial" w:eastAsia="Arial" w:hAnsi="Arial"/>
                <w:sz w:val="13"/>
                <w:szCs w:val="13"/>
                <w:color w:val="auto"/>
                <w:w w:val="92"/>
              </w:rPr>
              <w:t>(2,929)</w:t>
            </w: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(312)</w:t>
            </w:r>
          </w:p>
        </w:tc>
        <w:tc>
          <w:tcPr>
            <w:tcW w:w="10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784</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(2,456)</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(2,463)</w:t>
            </w:r>
          </w:p>
        </w:tc>
        <w:tc>
          <w:tcPr>
            <w:tcW w:w="10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(237)</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w:t>
            </w:r>
          </w:p>
        </w:tc>
        <w:tc>
          <w:tcPr>
            <w:tcW w:w="1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2,313</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(311)</w:t>
            </w:r>
          </w:p>
        </w:tc>
      </w:tr>
      <w:tr>
        <w:trPr>
          <w:trHeight w:val="283"/>
        </w:trPr>
        <w:tc>
          <w:tcPr>
            <w:tcW w:w="520" w:type="dxa"/>
            <w:vAlign w:val="bottom"/>
          </w:tcPr>
          <w:p>
            <w:pPr>
              <w:jc w:val="right"/>
              <w:ind w:right="77"/>
              <w:spacing w:after="0"/>
              <w:rPr>
                <w:sz w:val="20"/>
                <w:szCs w:val="20"/>
                <w:color w:val="auto"/>
              </w:rPr>
            </w:pPr>
            <w:r>
              <w:rPr>
                <w:rFonts w:ascii="Arial" w:cs="Arial" w:eastAsia="Arial" w:hAnsi="Arial"/>
                <w:sz w:val="13"/>
                <w:szCs w:val="13"/>
                <w:color w:val="auto"/>
              </w:rPr>
              <w:t>533</w:t>
            </w:r>
          </w:p>
        </w:tc>
        <w:tc>
          <w:tcPr>
            <w:tcW w:w="1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1,633</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784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2,950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2,404</w:t>
            </w: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(533)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1,877</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2,313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6,061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-1429385</wp:posOffset>
            </wp:positionH>
            <wp:positionV relativeFrom="paragraph">
              <wp:posOffset>-2108200</wp:posOffset>
            </wp:positionV>
            <wp:extent cx="6686550" cy="1117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86550" cy="111760"/>
                    </a:xfrm>
                    <a:prstGeom prst="rect">
                      <a:avLst/>
                    </a:prstGeom>
                    <a:noFill/>
                  </pic:spPr>
                </pic:pic>
              </a:graphicData>
            </a:graphic>
          </wp:anchor>
        </w:drawing>
        <w:drawing>
          <wp:anchor simplePos="0" relativeHeight="251657728" behindDoc="1" locked="0" layoutInCell="0" allowOverlap="1">
            <wp:simplePos x="0" y="0"/>
            <wp:positionH relativeFrom="column">
              <wp:posOffset>-1429385</wp:posOffset>
            </wp:positionH>
            <wp:positionV relativeFrom="paragraph">
              <wp:posOffset>-1722120</wp:posOffset>
            </wp:positionV>
            <wp:extent cx="6686550" cy="274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86550" cy="274320"/>
                    </a:xfrm>
                    <a:prstGeom prst="rect">
                      <a:avLst/>
                    </a:prstGeom>
                    <a:noFill/>
                  </pic:spPr>
                </pic:pic>
              </a:graphicData>
            </a:graphic>
          </wp:anchor>
        </w:drawing>
        <w:drawing>
          <wp:anchor simplePos="0" relativeHeight="251657728" behindDoc="1" locked="0" layoutInCell="0" allowOverlap="1">
            <wp:simplePos x="0" y="0"/>
            <wp:positionH relativeFrom="column">
              <wp:posOffset>-1429385</wp:posOffset>
            </wp:positionH>
            <wp:positionV relativeFrom="paragraph">
              <wp:posOffset>-1173480</wp:posOffset>
            </wp:positionV>
            <wp:extent cx="6686550" cy="1974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86550" cy="197485"/>
                    </a:xfrm>
                    <a:prstGeom prst="rect">
                      <a:avLst/>
                    </a:prstGeom>
                    <a:noFill/>
                  </pic:spPr>
                </pic:pic>
              </a:graphicData>
            </a:graphic>
          </wp:anchor>
        </w:drawing>
        <w:drawing>
          <wp:anchor simplePos="0" relativeHeight="251657728" behindDoc="1" locked="0" layoutInCell="0" allowOverlap="1">
            <wp:simplePos x="0" y="0"/>
            <wp:positionH relativeFrom="column">
              <wp:posOffset>-1429385</wp:posOffset>
            </wp:positionH>
            <wp:positionV relativeFrom="paragraph">
              <wp:posOffset>-779145</wp:posOffset>
            </wp:positionV>
            <wp:extent cx="6686550" cy="1974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86550" cy="197485"/>
                    </a:xfrm>
                    <a:prstGeom prst="rect">
                      <a:avLst/>
                    </a:prstGeom>
                    <a:noFill/>
                  </pic:spPr>
                </pic:pic>
              </a:graphicData>
            </a:graphic>
          </wp:anchor>
        </w:drawing>
        <w:drawing>
          <wp:anchor simplePos="0" relativeHeight="251657728" behindDoc="1" locked="0" layoutInCell="0" allowOverlap="1">
            <wp:simplePos x="0" y="0"/>
            <wp:positionH relativeFrom="column">
              <wp:posOffset>-1429385</wp:posOffset>
            </wp:positionH>
            <wp:positionV relativeFrom="paragraph">
              <wp:posOffset>-384810</wp:posOffset>
            </wp:positionV>
            <wp:extent cx="6686550" cy="5918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86550" cy="591820"/>
                    </a:xfrm>
                    <a:prstGeom prst="rect">
                      <a:avLst/>
                    </a:prstGeom>
                    <a:noFill/>
                  </pic:spPr>
                </pic:pic>
              </a:graphicData>
            </a:graphic>
          </wp:anchor>
        </w:drawing>
      </w:r>
    </w:p>
    <w:p>
      <w:pPr>
        <w:spacing w:after="0" w:line="320" w:lineRule="exact"/>
        <w:rPr>
          <w:sz w:val="20"/>
          <w:szCs w:val="20"/>
          <w:color w:val="auto"/>
        </w:rPr>
      </w:pPr>
    </w:p>
    <w:p>
      <w:pPr>
        <w:sectPr>
          <w:pgSz w:w="11900" w:h="16838" w:orient="portrait"/>
          <w:cols w:equalWidth="0" w:num="2">
            <w:col w:w="2080" w:space="180"/>
            <w:col w:w="8960"/>
          </w:cols>
          <w:pgMar w:left="320" w:top="854" w:right="359" w:bottom="804"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00" w:type="dxa"/>
            <w:vAlign w:val="bottom"/>
          </w:tcPr>
          <w:p>
            <w:pPr>
              <w:ind w:left="140"/>
              <w:spacing w:after="0"/>
              <w:rPr>
                <w:sz w:val="20"/>
                <w:szCs w:val="20"/>
                <w:color w:val="auto"/>
              </w:rPr>
            </w:pPr>
            <w:r>
              <w:rPr>
                <w:rFonts w:ascii="Arial" w:cs="Arial" w:eastAsia="Arial" w:hAnsi="Arial"/>
                <w:sz w:val="13"/>
                <w:szCs w:val="13"/>
                <w:color w:val="auto"/>
              </w:rPr>
              <w:t>Expenditures for property</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(1,500)</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(1,512)</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(1,809)</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(1,816)</w:t>
            </w:r>
          </w:p>
        </w:tc>
        <w:tc>
          <w:tcPr>
            <w:tcW w:w="0" w:type="dxa"/>
            <w:vAlign w:val="bottom"/>
          </w:tcPr>
          <w:p>
            <w:pPr>
              <w:spacing w:after="0"/>
              <w:rPr>
                <w:sz w:val="1"/>
                <w:szCs w:val="1"/>
                <w:color w:val="auto"/>
              </w:rPr>
            </w:pPr>
          </w:p>
        </w:tc>
      </w:tr>
      <w:tr>
        <w:trPr>
          <w:trHeight w:val="128"/>
        </w:trPr>
        <w:tc>
          <w:tcPr>
            <w:tcW w:w="200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Available-for-sale marketable</w:t>
            </w: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securities, acquisitions</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(682)</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(734)</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(645)</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(645)</w:t>
            </w:r>
          </w:p>
        </w:tc>
        <w:tc>
          <w:tcPr>
            <w:tcW w:w="0" w:type="dxa"/>
            <w:vAlign w:val="bottom"/>
          </w:tcPr>
          <w:p>
            <w:pPr>
              <w:spacing w:after="0"/>
              <w:rPr>
                <w:sz w:val="1"/>
                <w:szCs w:val="1"/>
                <w:color w:val="auto"/>
              </w:rPr>
            </w:pPr>
          </w:p>
        </w:tc>
      </w:tr>
      <w:tr>
        <w:trPr>
          <w:trHeight w:val="122"/>
        </w:trPr>
        <w:tc>
          <w:tcPr>
            <w:tcW w:w="2000" w:type="dxa"/>
            <w:vAlign w:val="bottom"/>
          </w:tcPr>
          <w:p>
            <w:pPr>
              <w:ind w:left="140"/>
              <w:spacing w:after="0" w:line="122" w:lineRule="exact"/>
              <w:rPr>
                <w:sz w:val="20"/>
                <w:szCs w:val="20"/>
                <w:color w:val="auto"/>
              </w:rPr>
            </w:pPr>
            <w:r>
              <w:rPr>
                <w:rFonts w:ascii="Arial" w:cs="Arial" w:eastAsia="Arial" w:hAnsi="Arial"/>
                <w:sz w:val="13"/>
                <w:szCs w:val="13"/>
                <w:color w:val="auto"/>
              </w:rPr>
              <w:t>Available-for-sale marketable</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000" w:type="dxa"/>
            <w:vAlign w:val="bottom"/>
          </w:tcPr>
          <w:p>
            <w:pPr>
              <w:ind w:left="300"/>
              <w:spacing w:after="0"/>
              <w:rPr>
                <w:sz w:val="20"/>
                <w:szCs w:val="20"/>
                <w:color w:val="auto"/>
              </w:rPr>
            </w:pPr>
            <w:r>
              <w:rPr>
                <w:rFonts w:ascii="Arial" w:cs="Arial" w:eastAsia="Arial" w:hAnsi="Arial"/>
                <w:sz w:val="13"/>
                <w:szCs w:val="13"/>
                <w:color w:val="auto"/>
              </w:rPr>
              <w:t>securities, liquidations</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2,812</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33</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2,845</w:t>
            </w:r>
          </w:p>
        </w:tc>
        <w:tc>
          <w:tcPr>
            <w:tcW w:w="120" w:type="dxa"/>
            <w:vAlign w:val="bottom"/>
          </w:tcPr>
          <w:p>
            <w:pPr>
              <w:spacing w:after="0"/>
              <w:rPr>
                <w:sz w:val="15"/>
                <w:szCs w:val="15"/>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1,065</w:t>
            </w:r>
          </w:p>
        </w:tc>
        <w:tc>
          <w:tcPr>
            <w:tcW w:w="10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1,065</w:t>
            </w:r>
          </w:p>
        </w:tc>
        <w:tc>
          <w:tcPr>
            <w:tcW w:w="0" w:type="dxa"/>
            <w:vAlign w:val="bottom"/>
          </w:tcPr>
          <w:p>
            <w:pPr>
              <w:spacing w:after="0"/>
              <w:rPr>
                <w:sz w:val="1"/>
                <w:szCs w:val="1"/>
                <w:color w:val="auto"/>
              </w:rPr>
            </w:pPr>
          </w:p>
        </w:tc>
      </w:tr>
      <w:tr>
        <w:trPr>
          <w:trHeight w:val="129"/>
        </w:trPr>
        <w:tc>
          <w:tcPr>
            <w:tcW w:w="200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Purchases of finance</w:t>
            </w: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receivables(b)</w:t>
            </w:r>
          </w:p>
        </w:tc>
        <w:tc>
          <w:tcPr>
            <w:tcW w:w="1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(8,402)</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(8,407)</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(9,668)</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(10,058)</w:t>
            </w:r>
          </w:p>
        </w:tc>
        <w:tc>
          <w:tcPr>
            <w:tcW w:w="0" w:type="dxa"/>
            <w:vAlign w:val="bottom"/>
          </w:tcPr>
          <w:p>
            <w:pPr>
              <w:spacing w:after="0"/>
              <w:rPr>
                <w:sz w:val="1"/>
                <w:szCs w:val="1"/>
                <w:color w:val="auto"/>
              </w:rPr>
            </w:pPr>
          </w:p>
        </w:tc>
      </w:tr>
      <w:tr>
        <w:trPr>
          <w:trHeight w:val="121"/>
        </w:trPr>
        <w:tc>
          <w:tcPr>
            <w:tcW w:w="2000" w:type="dxa"/>
            <w:vAlign w:val="bottom"/>
          </w:tcPr>
          <w:p>
            <w:pPr>
              <w:ind w:left="140"/>
              <w:spacing w:after="0" w:line="122" w:lineRule="exact"/>
              <w:rPr>
                <w:sz w:val="20"/>
                <w:szCs w:val="20"/>
                <w:color w:val="auto"/>
              </w:rPr>
            </w:pPr>
            <w:r>
              <w:rPr>
                <w:rFonts w:ascii="Arial" w:cs="Arial" w:eastAsia="Arial" w:hAnsi="Arial"/>
                <w:sz w:val="13"/>
                <w:szCs w:val="13"/>
                <w:color w:val="auto"/>
              </w:rPr>
              <w:t>Principal collections and</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00" w:type="dxa"/>
            <w:vAlign w:val="bottom"/>
          </w:tcPr>
          <w:p>
            <w:pPr>
              <w:ind w:left="300"/>
              <w:spacing w:after="0" w:line="122" w:lineRule="exact"/>
              <w:rPr>
                <w:sz w:val="20"/>
                <w:szCs w:val="20"/>
                <w:color w:val="auto"/>
              </w:rPr>
            </w:pPr>
            <w:r>
              <w:rPr>
                <w:rFonts w:ascii="Arial" w:cs="Arial" w:eastAsia="Arial" w:hAnsi="Arial"/>
                <w:sz w:val="13"/>
                <w:szCs w:val="13"/>
                <w:color w:val="auto"/>
              </w:rPr>
              <w:t>recoveries on finance</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000" w:type="dxa"/>
            <w:vAlign w:val="bottom"/>
          </w:tcPr>
          <w:p>
            <w:pPr>
              <w:ind w:left="300"/>
              <w:spacing w:after="0"/>
              <w:rPr>
                <w:sz w:val="20"/>
                <w:szCs w:val="20"/>
                <w:color w:val="auto"/>
              </w:rPr>
            </w:pPr>
            <w:r>
              <w:rPr>
                <w:rFonts w:ascii="Arial" w:cs="Arial" w:eastAsia="Arial" w:hAnsi="Arial"/>
                <w:sz w:val="13"/>
                <w:szCs w:val="13"/>
                <w:color w:val="auto"/>
              </w:rPr>
              <w:t>receivables(a)</w:t>
            </w:r>
          </w:p>
        </w:tc>
        <w:tc>
          <w:tcPr>
            <w:tcW w:w="16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10,545</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(1,445)</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9,100</w:t>
            </w:r>
          </w:p>
        </w:tc>
        <w:tc>
          <w:tcPr>
            <w:tcW w:w="12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11,642</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(2,685)</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8,956</w:t>
            </w:r>
          </w:p>
        </w:tc>
        <w:tc>
          <w:tcPr>
            <w:tcW w:w="0" w:type="dxa"/>
            <w:vAlign w:val="bottom"/>
          </w:tcPr>
          <w:p>
            <w:pPr>
              <w:spacing w:after="0"/>
              <w:rPr>
                <w:sz w:val="1"/>
                <w:szCs w:val="1"/>
                <w:color w:val="auto"/>
              </w:rPr>
            </w:pPr>
          </w:p>
        </w:tc>
      </w:tr>
      <w:tr>
        <w:trPr>
          <w:trHeight w:val="129"/>
        </w:trPr>
        <w:tc>
          <w:tcPr>
            <w:tcW w:w="200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Proceeds from sale of finance</w:t>
            </w: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receivables</w:t>
            </w:r>
          </w:p>
        </w:tc>
        <w:tc>
          <w:tcPr>
            <w:tcW w:w="1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2000" w:type="dxa"/>
            <w:vAlign w:val="bottom"/>
          </w:tcPr>
          <w:p>
            <w:pPr>
              <w:ind w:left="140"/>
              <w:spacing w:after="0"/>
              <w:rPr>
                <w:sz w:val="20"/>
                <w:szCs w:val="20"/>
                <w:color w:val="auto"/>
              </w:rPr>
            </w:pPr>
            <w:r>
              <w:rPr>
                <w:rFonts w:ascii="Arial" w:cs="Arial" w:eastAsia="Arial" w:hAnsi="Arial"/>
                <w:sz w:val="13"/>
                <w:szCs w:val="13"/>
                <w:color w:val="auto"/>
              </w:rPr>
              <w:t>Purchases of leased vehicles</w:t>
            </w:r>
          </w:p>
        </w:tc>
        <w:tc>
          <w:tcPr>
            <w:tcW w:w="16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(3,274)</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(3,274)</w:t>
            </w:r>
          </w:p>
        </w:tc>
        <w:tc>
          <w:tcPr>
            <w:tcW w:w="12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(4,212)</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(4,212)</w:t>
            </w:r>
          </w:p>
        </w:tc>
        <w:tc>
          <w:tcPr>
            <w:tcW w:w="0" w:type="dxa"/>
            <w:vAlign w:val="bottom"/>
          </w:tcPr>
          <w:p>
            <w:pPr>
              <w:spacing w:after="0"/>
              <w:rPr>
                <w:sz w:val="1"/>
                <w:szCs w:val="1"/>
                <w:color w:val="auto"/>
              </w:rPr>
            </w:pPr>
          </w:p>
        </w:tc>
      </w:tr>
      <w:tr>
        <w:trPr>
          <w:trHeight w:val="126"/>
        </w:trPr>
        <w:tc>
          <w:tcPr>
            <w:tcW w:w="2000" w:type="dxa"/>
            <w:vAlign w:val="bottom"/>
            <w:shd w:val="clear" w:color="auto" w:fill="CCEEFF"/>
          </w:tcPr>
          <w:p>
            <w:pPr>
              <w:ind w:left="140"/>
              <w:spacing w:after="0" w:line="126" w:lineRule="exact"/>
              <w:rPr>
                <w:sz w:val="20"/>
                <w:szCs w:val="20"/>
                <w:color w:val="auto"/>
              </w:rPr>
            </w:pPr>
            <w:r>
              <w:rPr>
                <w:rFonts w:ascii="Arial" w:cs="Arial" w:eastAsia="Arial" w:hAnsi="Arial"/>
                <w:sz w:val="13"/>
                <w:szCs w:val="13"/>
                <w:color w:val="auto"/>
              </w:rPr>
              <w:t>Proceeds from termination of</w:t>
            </w: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leased vehicles</w:t>
            </w:r>
          </w:p>
        </w:tc>
        <w:tc>
          <w:tcPr>
            <w:tcW w:w="1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2,520</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2,520</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2,529</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2,529</w:t>
            </w:r>
          </w:p>
        </w:tc>
        <w:tc>
          <w:tcPr>
            <w:tcW w:w="0" w:type="dxa"/>
            <w:vAlign w:val="bottom"/>
          </w:tcPr>
          <w:p>
            <w:pPr>
              <w:spacing w:after="0"/>
              <w:rPr>
                <w:sz w:val="1"/>
                <w:szCs w:val="1"/>
                <w:color w:val="auto"/>
              </w:rPr>
            </w:pPr>
          </w:p>
        </w:tc>
      </w:tr>
      <w:tr>
        <w:trPr>
          <w:trHeight w:val="171"/>
        </w:trPr>
        <w:tc>
          <w:tcPr>
            <w:tcW w:w="2000" w:type="dxa"/>
            <w:vAlign w:val="bottom"/>
          </w:tcPr>
          <w:p>
            <w:pPr>
              <w:ind w:left="140"/>
              <w:spacing w:after="0"/>
              <w:rPr>
                <w:sz w:val="20"/>
                <w:szCs w:val="20"/>
                <w:color w:val="auto"/>
              </w:rPr>
            </w:pPr>
            <w:r>
              <w:rPr>
                <w:rFonts w:ascii="Arial" w:cs="Arial" w:eastAsia="Arial" w:hAnsi="Arial"/>
                <w:sz w:val="13"/>
                <w:szCs w:val="13"/>
                <w:color w:val="auto"/>
              </w:rPr>
              <w:t>Other investing activities(b)</w:t>
            </w: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95</w:t>
            </w:r>
          </w:p>
        </w:tc>
        <w:tc>
          <w:tcPr>
            <w:tcW w:w="8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94</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(1,059)</w:t>
            </w:r>
          </w:p>
        </w:tc>
        <w:tc>
          <w:tcPr>
            <w:tcW w:w="10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750</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(310)</w:t>
            </w:r>
          </w:p>
        </w:tc>
        <w:tc>
          <w:tcPr>
            <w:tcW w:w="0" w:type="dxa"/>
            <w:vAlign w:val="bottom"/>
          </w:tcPr>
          <w:p>
            <w:pPr>
              <w:spacing w:after="0"/>
              <w:rPr>
                <w:sz w:val="1"/>
                <w:szCs w:val="1"/>
                <w:color w:val="auto"/>
              </w:rPr>
            </w:pPr>
          </w:p>
        </w:tc>
      </w:tr>
      <w:tr>
        <w:trPr>
          <w:trHeight w:val="106"/>
        </w:trPr>
        <w:tc>
          <w:tcPr>
            <w:tcW w:w="2000" w:type="dxa"/>
            <w:vAlign w:val="bottom"/>
            <w:tcBorders>
              <w:top w:val="single" w:sz="8" w:color="CCEEFF"/>
            </w:tcBorders>
            <w:shd w:val="clear" w:color="auto" w:fill="CCEEFF"/>
          </w:tcPr>
          <w:p>
            <w:pPr>
              <w:ind w:left="20"/>
              <w:spacing w:after="0" w:line="106" w:lineRule="exact"/>
              <w:rPr>
                <w:sz w:val="20"/>
                <w:szCs w:val="20"/>
                <w:color w:val="auto"/>
              </w:rPr>
            </w:pPr>
            <w:r>
              <w:rPr>
                <w:rFonts w:ascii="Arial" w:cs="Arial" w:eastAsia="Arial" w:hAnsi="Arial"/>
                <w:sz w:val="12"/>
                <w:szCs w:val="12"/>
                <w:b w:val="1"/>
                <w:bCs w:val="1"/>
                <w:color w:val="auto"/>
              </w:rPr>
              <w:t>Net cash provided by (used in)</w:t>
            </w:r>
          </w:p>
        </w:tc>
        <w:tc>
          <w:tcPr>
            <w:tcW w:w="1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9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9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investing activities</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726</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1,357</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(1,451)</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632</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(2,448)</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(2,326)</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(4,490)</w:t>
            </w:r>
          </w:p>
        </w:tc>
        <w:tc>
          <w:tcPr>
            <w:tcW w:w="0" w:type="dxa"/>
            <w:vAlign w:val="bottom"/>
          </w:tcPr>
          <w:p>
            <w:pPr>
              <w:spacing w:after="0"/>
              <w:rPr>
                <w:sz w:val="1"/>
                <w:szCs w:val="1"/>
                <w:color w:val="auto"/>
              </w:rPr>
            </w:pPr>
          </w:p>
        </w:tc>
      </w:tr>
      <w:tr>
        <w:trPr>
          <w:trHeight w:val="122"/>
        </w:trPr>
        <w:tc>
          <w:tcPr>
            <w:tcW w:w="2000" w:type="dxa"/>
            <w:vAlign w:val="bottom"/>
          </w:tcPr>
          <w:p>
            <w:pPr>
              <w:ind w:left="20"/>
              <w:spacing w:after="0" w:line="122" w:lineRule="exact"/>
              <w:rPr>
                <w:sz w:val="20"/>
                <w:szCs w:val="20"/>
                <w:color w:val="auto"/>
              </w:rPr>
            </w:pPr>
            <w:r>
              <w:rPr>
                <w:rFonts w:ascii="Arial" w:cs="Arial" w:eastAsia="Arial" w:hAnsi="Arial"/>
                <w:sz w:val="13"/>
                <w:szCs w:val="13"/>
                <w:b w:val="1"/>
                <w:bCs w:val="1"/>
                <w:color w:val="auto"/>
              </w:rPr>
              <w:t>Cash flows from financing</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00" w:type="dxa"/>
            <w:vAlign w:val="bottom"/>
          </w:tcPr>
          <w:p>
            <w:pPr>
              <w:ind w:left="180"/>
              <w:spacing w:after="0"/>
              <w:rPr>
                <w:sz w:val="20"/>
                <w:szCs w:val="20"/>
                <w:color w:val="auto"/>
              </w:rPr>
            </w:pPr>
            <w:r>
              <w:rPr>
                <w:rFonts w:ascii="Arial" w:cs="Arial" w:eastAsia="Arial" w:hAnsi="Arial"/>
                <w:sz w:val="13"/>
                <w:szCs w:val="13"/>
                <w:b w:val="1"/>
                <w:bCs w:val="1"/>
                <w:color w:val="auto"/>
              </w:rPr>
              <w:t>activities</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00" w:type="dxa"/>
            <w:vAlign w:val="bottom"/>
            <w:shd w:val="clear" w:color="auto" w:fill="CCEEFF"/>
          </w:tcPr>
          <w:p>
            <w:pPr>
              <w:ind w:left="140"/>
              <w:spacing w:after="0" w:line="130" w:lineRule="exact"/>
              <w:rPr>
                <w:sz w:val="20"/>
                <w:szCs w:val="20"/>
                <w:color w:val="auto"/>
              </w:rPr>
            </w:pPr>
            <w:r>
              <w:rPr>
                <w:rFonts w:ascii="Arial" w:cs="Arial" w:eastAsia="Arial" w:hAnsi="Arial"/>
                <w:sz w:val="13"/>
                <w:szCs w:val="13"/>
                <w:color w:val="auto"/>
              </w:rPr>
              <w:t>Net increase (decrease) in</w:t>
            </w: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short-term debt</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w:t>
            </w:r>
          </w:p>
        </w:tc>
        <w:tc>
          <w:tcPr>
            <w:tcW w:w="0" w:type="dxa"/>
            <w:vAlign w:val="bottom"/>
          </w:tcPr>
          <w:p>
            <w:pPr>
              <w:spacing w:after="0"/>
              <w:rPr>
                <w:sz w:val="1"/>
                <w:szCs w:val="1"/>
                <w:color w:val="auto"/>
              </w:rPr>
            </w:pPr>
          </w:p>
        </w:tc>
      </w:tr>
      <w:tr>
        <w:trPr>
          <w:trHeight w:val="122"/>
        </w:trPr>
        <w:tc>
          <w:tcPr>
            <w:tcW w:w="2000" w:type="dxa"/>
            <w:vAlign w:val="bottom"/>
          </w:tcPr>
          <w:p>
            <w:pPr>
              <w:ind w:left="140"/>
              <w:spacing w:after="0" w:line="122" w:lineRule="exact"/>
              <w:rPr>
                <w:sz w:val="20"/>
                <w:szCs w:val="20"/>
                <w:color w:val="auto"/>
              </w:rPr>
            </w:pPr>
            <w:r>
              <w:rPr>
                <w:rFonts w:ascii="Arial" w:cs="Arial" w:eastAsia="Arial" w:hAnsi="Arial"/>
                <w:sz w:val="13"/>
                <w:szCs w:val="13"/>
                <w:color w:val="auto"/>
              </w:rPr>
              <w:t>Proceeds from issuance of debt</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00" w:type="dxa"/>
            <w:vAlign w:val="bottom"/>
          </w:tcPr>
          <w:p>
            <w:pPr>
              <w:ind w:left="300"/>
              <w:spacing w:after="0" w:line="122" w:lineRule="exact"/>
              <w:rPr>
                <w:sz w:val="20"/>
                <w:szCs w:val="20"/>
                <w:color w:val="auto"/>
              </w:rPr>
            </w:pPr>
            <w:r>
              <w:rPr>
                <w:rFonts w:ascii="Arial" w:cs="Arial" w:eastAsia="Arial" w:hAnsi="Arial"/>
                <w:sz w:val="13"/>
                <w:szCs w:val="13"/>
                <w:color w:val="auto"/>
              </w:rPr>
              <w:t>(original maturities greater</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000" w:type="dxa"/>
            <w:vAlign w:val="bottom"/>
          </w:tcPr>
          <w:p>
            <w:pPr>
              <w:ind w:left="300"/>
              <w:spacing w:after="0"/>
              <w:rPr>
                <w:sz w:val="20"/>
                <w:szCs w:val="20"/>
                <w:color w:val="auto"/>
              </w:rPr>
            </w:pPr>
            <w:r>
              <w:rPr>
                <w:rFonts w:ascii="Arial" w:cs="Arial" w:eastAsia="Arial" w:hAnsi="Arial"/>
                <w:sz w:val="13"/>
                <w:szCs w:val="13"/>
                <w:color w:val="auto"/>
              </w:rPr>
              <w:t>than three months)(b)</w:t>
            </w:r>
          </w:p>
        </w:tc>
        <w:tc>
          <w:tcPr>
            <w:tcW w:w="16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8,376</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8,376</w:t>
            </w:r>
          </w:p>
        </w:tc>
        <w:tc>
          <w:tcPr>
            <w:tcW w:w="120" w:type="dxa"/>
            <w:vAlign w:val="bottom"/>
          </w:tcPr>
          <w:p>
            <w:pPr>
              <w:spacing w:after="0"/>
              <w:rPr>
                <w:sz w:val="15"/>
                <w:szCs w:val="15"/>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334</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16,896</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(334)</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16,897</w:t>
            </w:r>
          </w:p>
        </w:tc>
        <w:tc>
          <w:tcPr>
            <w:tcW w:w="0" w:type="dxa"/>
            <w:vAlign w:val="bottom"/>
          </w:tcPr>
          <w:p>
            <w:pPr>
              <w:spacing w:after="0"/>
              <w:rPr>
                <w:sz w:val="1"/>
                <w:szCs w:val="1"/>
                <w:color w:val="auto"/>
              </w:rPr>
            </w:pPr>
          </w:p>
        </w:tc>
      </w:tr>
      <w:tr>
        <w:trPr>
          <w:trHeight w:val="128"/>
        </w:trPr>
        <w:tc>
          <w:tcPr>
            <w:tcW w:w="200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Payments on debt (original</w:t>
            </w: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00" w:type="dxa"/>
            <w:vAlign w:val="bottom"/>
            <w:shd w:val="clear" w:color="auto" w:fill="CCEEFF"/>
          </w:tcPr>
          <w:p>
            <w:pPr>
              <w:ind w:left="300"/>
              <w:spacing w:after="0" w:line="122" w:lineRule="exact"/>
              <w:rPr>
                <w:sz w:val="20"/>
                <w:szCs w:val="20"/>
                <w:color w:val="auto"/>
              </w:rPr>
            </w:pPr>
            <w:r>
              <w:rPr>
                <w:rFonts w:ascii="Arial" w:cs="Arial" w:eastAsia="Arial" w:hAnsi="Arial"/>
                <w:sz w:val="13"/>
                <w:szCs w:val="13"/>
                <w:color w:val="auto"/>
              </w:rPr>
              <w:t>maturities greater than three</w:t>
            </w: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months)</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(10,568)</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(10,813)</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(15,175)</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(15,216)</w:t>
            </w:r>
          </w:p>
        </w:tc>
        <w:tc>
          <w:tcPr>
            <w:tcW w:w="0" w:type="dxa"/>
            <w:vAlign w:val="bottom"/>
          </w:tcPr>
          <w:p>
            <w:pPr>
              <w:spacing w:after="0"/>
              <w:rPr>
                <w:sz w:val="1"/>
                <w:szCs w:val="1"/>
                <w:color w:val="auto"/>
              </w:rPr>
            </w:pPr>
          </w:p>
        </w:tc>
      </w:tr>
      <w:tr>
        <w:trPr>
          <w:trHeight w:val="121"/>
        </w:trPr>
        <w:tc>
          <w:tcPr>
            <w:tcW w:w="2000" w:type="dxa"/>
            <w:vAlign w:val="bottom"/>
          </w:tcPr>
          <w:p>
            <w:pPr>
              <w:ind w:left="140"/>
              <w:spacing w:after="0" w:line="122" w:lineRule="exact"/>
              <w:rPr>
                <w:sz w:val="20"/>
                <w:szCs w:val="20"/>
                <w:color w:val="auto"/>
              </w:rPr>
            </w:pPr>
            <w:r>
              <w:rPr>
                <w:rFonts w:ascii="Arial" w:cs="Arial" w:eastAsia="Arial" w:hAnsi="Arial"/>
                <w:sz w:val="13"/>
                <w:szCs w:val="13"/>
                <w:color w:val="auto"/>
              </w:rPr>
              <w:t>Payment to purchase common</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000" w:type="dxa"/>
            <w:vAlign w:val="bottom"/>
          </w:tcPr>
          <w:p>
            <w:pPr>
              <w:ind w:left="300"/>
              <w:spacing w:after="0"/>
              <w:rPr>
                <w:sz w:val="20"/>
                <w:szCs w:val="20"/>
                <w:color w:val="auto"/>
              </w:rPr>
            </w:pPr>
            <w:r>
              <w:rPr>
                <w:rFonts w:ascii="Arial" w:cs="Arial" w:eastAsia="Arial" w:hAnsi="Arial"/>
                <w:sz w:val="13"/>
                <w:szCs w:val="13"/>
                <w:color w:val="auto"/>
              </w:rPr>
              <w:t>stock</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(800)</w:t>
            </w:r>
          </w:p>
        </w:tc>
        <w:tc>
          <w:tcPr>
            <w:tcW w:w="8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(800)</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(2,012)</w:t>
            </w:r>
          </w:p>
        </w:tc>
        <w:tc>
          <w:tcPr>
            <w:tcW w:w="10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(2,012)</w:t>
            </w:r>
          </w:p>
        </w:tc>
        <w:tc>
          <w:tcPr>
            <w:tcW w:w="0" w:type="dxa"/>
            <w:vAlign w:val="bottom"/>
          </w:tcPr>
          <w:p>
            <w:pPr>
              <w:spacing w:after="0"/>
              <w:rPr>
                <w:sz w:val="1"/>
                <w:szCs w:val="1"/>
                <w:color w:val="auto"/>
              </w:rPr>
            </w:pPr>
          </w:p>
        </w:tc>
      </w:tr>
      <w:tr>
        <w:trPr>
          <w:trHeight w:val="129"/>
        </w:trPr>
        <w:tc>
          <w:tcPr>
            <w:tcW w:w="200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Issuance (redemption) of</w:t>
            </w: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subsidiary stock(b)</w:t>
            </w:r>
          </w:p>
        </w:tc>
        <w:tc>
          <w:tcPr>
            <w:tcW w:w="1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71"/>
        </w:trPr>
        <w:tc>
          <w:tcPr>
            <w:tcW w:w="2000" w:type="dxa"/>
            <w:vAlign w:val="bottom"/>
          </w:tcPr>
          <w:p>
            <w:pPr>
              <w:ind w:left="140"/>
              <w:spacing w:after="0"/>
              <w:rPr>
                <w:sz w:val="20"/>
                <w:szCs w:val="20"/>
                <w:color w:val="auto"/>
              </w:rPr>
            </w:pPr>
            <w:r>
              <w:rPr>
                <w:rFonts w:ascii="Arial" w:cs="Arial" w:eastAsia="Arial" w:hAnsi="Arial"/>
                <w:sz w:val="13"/>
                <w:szCs w:val="13"/>
                <w:color w:val="auto"/>
              </w:rPr>
              <w:t>Dividends paid(c)</w:t>
            </w: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(164)</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(709)</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650</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(223)</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(116)</w:t>
            </w:r>
          </w:p>
        </w:tc>
        <w:tc>
          <w:tcPr>
            <w:tcW w:w="10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(409)</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350</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(175)</w:t>
            </w:r>
          </w:p>
        </w:tc>
        <w:tc>
          <w:tcPr>
            <w:tcW w:w="0" w:type="dxa"/>
            <w:vAlign w:val="bottom"/>
          </w:tcPr>
          <w:p>
            <w:pPr>
              <w:spacing w:after="0"/>
              <w:rPr>
                <w:sz w:val="1"/>
                <w:szCs w:val="1"/>
                <w:color w:val="auto"/>
              </w:rPr>
            </w:pPr>
          </w:p>
        </w:tc>
      </w:tr>
      <w:tr>
        <w:trPr>
          <w:trHeight w:val="180"/>
        </w:trPr>
        <w:tc>
          <w:tcPr>
            <w:tcW w:w="2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financing activities</w:t>
            </w: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(321)</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w:t>
            </w:r>
          </w:p>
        </w:tc>
        <w:tc>
          <w:tcPr>
            <w:tcW w:w="0" w:type="dxa"/>
            <w:vAlign w:val="bottom"/>
          </w:tcPr>
          <w:p>
            <w:pPr>
              <w:spacing w:after="0"/>
              <w:rPr>
                <w:sz w:val="1"/>
                <w:szCs w:val="1"/>
                <w:color w:val="auto"/>
              </w:rPr>
            </w:pPr>
          </w:p>
        </w:tc>
      </w:tr>
      <w:tr>
        <w:trPr>
          <w:trHeight w:val="102"/>
        </w:trPr>
        <w:tc>
          <w:tcPr>
            <w:tcW w:w="2000" w:type="dxa"/>
            <w:vAlign w:val="bottom"/>
          </w:tcPr>
          <w:p>
            <w:pPr>
              <w:ind w:left="20"/>
              <w:spacing w:after="0" w:line="102" w:lineRule="exact"/>
              <w:rPr>
                <w:sz w:val="20"/>
                <w:szCs w:val="20"/>
                <w:color w:val="auto"/>
              </w:rPr>
            </w:pPr>
            <w:r>
              <w:rPr>
                <w:rFonts w:ascii="Arial" w:cs="Arial" w:eastAsia="Arial" w:hAnsi="Arial"/>
                <w:sz w:val="10"/>
                <w:szCs w:val="10"/>
                <w:b w:val="1"/>
                <w:bCs w:val="1"/>
                <w:color w:val="auto"/>
              </w:rPr>
              <w:t>Net cash provided by (used in)</w:t>
            </w:r>
          </w:p>
        </w:tc>
        <w:tc>
          <w:tcPr>
            <w:tcW w:w="16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2000" w:type="dxa"/>
            <w:vAlign w:val="bottom"/>
          </w:tcPr>
          <w:p>
            <w:pPr>
              <w:ind w:left="180"/>
              <w:spacing w:after="0"/>
              <w:rPr>
                <w:sz w:val="20"/>
                <w:szCs w:val="20"/>
                <w:color w:val="auto"/>
              </w:rPr>
            </w:pPr>
            <w:r>
              <w:rPr>
                <w:rFonts w:ascii="Arial" w:cs="Arial" w:eastAsia="Arial" w:hAnsi="Arial"/>
                <w:sz w:val="13"/>
                <w:szCs w:val="13"/>
                <w:b w:val="1"/>
                <w:bCs w:val="1"/>
                <w:color w:val="auto"/>
              </w:rPr>
              <w:t>financing activities</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(1,519)</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(2,837)</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667</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(3,689)</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(2,334)</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333</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1,444</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(543)</w:t>
            </w:r>
          </w:p>
        </w:tc>
        <w:tc>
          <w:tcPr>
            <w:tcW w:w="0" w:type="dxa"/>
            <w:vAlign w:val="bottom"/>
          </w:tcPr>
          <w:p>
            <w:pPr>
              <w:spacing w:after="0"/>
              <w:rPr>
                <w:sz w:val="1"/>
                <w:szCs w:val="1"/>
                <w:color w:val="auto"/>
              </w:rPr>
            </w:pPr>
          </w:p>
        </w:tc>
      </w:tr>
      <w:tr>
        <w:trPr>
          <w:trHeight w:val="128"/>
        </w:trPr>
        <w:tc>
          <w:tcPr>
            <w:tcW w:w="200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w w:val="98"/>
              </w:rPr>
              <w:t>Effect of exchange rate changes</w:t>
            </w: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00" w:type="dxa"/>
            <w:vAlign w:val="bottom"/>
            <w:shd w:val="clear" w:color="auto" w:fill="CCEEFF"/>
          </w:tcPr>
          <w:p>
            <w:pPr>
              <w:ind w:left="300"/>
              <w:spacing w:after="0" w:line="122" w:lineRule="exact"/>
              <w:rPr>
                <w:sz w:val="20"/>
                <w:szCs w:val="20"/>
                <w:color w:val="auto"/>
              </w:rPr>
            </w:pPr>
            <w:r>
              <w:rPr>
                <w:rFonts w:ascii="Arial" w:cs="Arial" w:eastAsia="Arial" w:hAnsi="Arial"/>
                <w:sz w:val="13"/>
                <w:szCs w:val="13"/>
                <w:color w:val="auto"/>
              </w:rPr>
              <w:t>on cash, cash equivalents,</w:t>
            </w: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and restricted cash</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01"/>
        </w:trPr>
        <w:tc>
          <w:tcPr>
            <w:tcW w:w="2000" w:type="dxa"/>
            <w:vAlign w:val="bottom"/>
          </w:tcPr>
          <w:p>
            <w:pPr>
              <w:ind w:left="140"/>
              <w:spacing w:after="0" w:line="102" w:lineRule="exact"/>
              <w:rPr>
                <w:sz w:val="20"/>
                <w:szCs w:val="20"/>
                <w:color w:val="auto"/>
              </w:rPr>
            </w:pPr>
            <w:r>
              <w:rPr>
                <w:rFonts w:ascii="Arial" w:cs="Arial" w:eastAsia="Arial" w:hAnsi="Arial"/>
                <w:sz w:val="10"/>
                <w:szCs w:val="10"/>
                <w:color w:val="auto"/>
              </w:rPr>
              <w:t>Net increase (decrease) in cash,</w:t>
            </w:r>
          </w:p>
        </w:tc>
        <w:tc>
          <w:tcPr>
            <w:tcW w:w="16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00" w:type="dxa"/>
            <w:vAlign w:val="bottom"/>
          </w:tcPr>
          <w:p>
            <w:pPr>
              <w:ind w:left="300"/>
              <w:spacing w:after="0" w:line="122" w:lineRule="exact"/>
              <w:rPr>
                <w:sz w:val="20"/>
                <w:szCs w:val="20"/>
                <w:color w:val="auto"/>
              </w:rPr>
            </w:pPr>
            <w:r>
              <w:rPr>
                <w:rFonts w:ascii="Arial" w:cs="Arial" w:eastAsia="Arial" w:hAnsi="Arial"/>
                <w:sz w:val="13"/>
                <w:szCs w:val="13"/>
                <w:color w:val="auto"/>
              </w:rPr>
              <w:t>cash equivalents, and</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000" w:type="dxa"/>
            <w:vAlign w:val="bottom"/>
          </w:tcPr>
          <w:p>
            <w:pPr>
              <w:ind w:left="300"/>
              <w:spacing w:after="0"/>
              <w:rPr>
                <w:sz w:val="20"/>
                <w:szCs w:val="20"/>
                <w:color w:val="auto"/>
              </w:rPr>
            </w:pPr>
            <w:r>
              <w:rPr>
                <w:rFonts w:ascii="Arial" w:cs="Arial" w:eastAsia="Arial" w:hAnsi="Arial"/>
                <w:sz w:val="13"/>
                <w:szCs w:val="13"/>
                <w:color w:val="auto"/>
              </w:rPr>
              <w:t>restricted cash</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(383)</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163</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(221)</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(2,352)</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(202)</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3,632</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1,078</w:t>
            </w:r>
          </w:p>
        </w:tc>
        <w:tc>
          <w:tcPr>
            <w:tcW w:w="0" w:type="dxa"/>
            <w:vAlign w:val="bottom"/>
          </w:tcPr>
          <w:p>
            <w:pPr>
              <w:spacing w:after="0"/>
              <w:rPr>
                <w:sz w:val="1"/>
                <w:szCs w:val="1"/>
                <w:color w:val="auto"/>
              </w:rPr>
            </w:pPr>
          </w:p>
        </w:tc>
      </w:tr>
      <w:tr>
        <w:trPr>
          <w:trHeight w:val="129"/>
        </w:trPr>
        <w:tc>
          <w:tcPr>
            <w:tcW w:w="20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Cash, cash equivalents, and</w:t>
            </w: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00" w:type="dxa"/>
            <w:vAlign w:val="bottom"/>
            <w:shd w:val="clear" w:color="auto" w:fill="CCEEFF"/>
          </w:tcPr>
          <w:p>
            <w:pPr>
              <w:ind w:left="180"/>
              <w:spacing w:after="0" w:line="122" w:lineRule="exact"/>
              <w:rPr>
                <w:sz w:val="20"/>
                <w:szCs w:val="20"/>
                <w:color w:val="auto"/>
              </w:rPr>
            </w:pPr>
            <w:r>
              <w:rPr>
                <w:rFonts w:ascii="Arial" w:cs="Arial" w:eastAsia="Arial" w:hAnsi="Arial"/>
                <w:sz w:val="13"/>
                <w:szCs w:val="13"/>
                <w:color w:val="auto"/>
              </w:rPr>
              <w:t>restricted cash at beginning of</w:t>
            </w: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period</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15,241</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9,043</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24,284</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14,561</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8,081</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22,964</w:t>
            </w:r>
          </w:p>
        </w:tc>
        <w:tc>
          <w:tcPr>
            <w:tcW w:w="0" w:type="dxa"/>
            <w:vAlign w:val="bottom"/>
          </w:tcPr>
          <w:p>
            <w:pPr>
              <w:spacing w:after="0"/>
              <w:rPr>
                <w:sz w:val="1"/>
                <w:szCs w:val="1"/>
                <w:color w:val="auto"/>
              </w:rPr>
            </w:pPr>
          </w:p>
        </w:tc>
      </w:tr>
      <w:tr>
        <w:trPr>
          <w:trHeight w:val="101"/>
        </w:trPr>
        <w:tc>
          <w:tcPr>
            <w:tcW w:w="2000" w:type="dxa"/>
            <w:vAlign w:val="bottom"/>
          </w:tcPr>
          <w:p>
            <w:pPr>
              <w:ind w:left="20"/>
              <w:spacing w:after="0" w:line="102" w:lineRule="exact"/>
              <w:rPr>
                <w:sz w:val="20"/>
                <w:szCs w:val="20"/>
                <w:color w:val="auto"/>
              </w:rPr>
            </w:pPr>
            <w:r>
              <w:rPr>
                <w:rFonts w:ascii="Arial" w:cs="Arial" w:eastAsia="Arial" w:hAnsi="Arial"/>
                <w:sz w:val="10"/>
                <w:szCs w:val="10"/>
                <w:b w:val="1"/>
                <w:bCs w:val="1"/>
                <w:color w:val="auto"/>
              </w:rPr>
              <w:t>Cash, cash equivalents, and</w:t>
            </w:r>
          </w:p>
        </w:tc>
        <w:tc>
          <w:tcPr>
            <w:tcW w:w="16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00" w:type="dxa"/>
            <w:vAlign w:val="bottom"/>
          </w:tcPr>
          <w:p>
            <w:pPr>
              <w:ind w:left="180"/>
              <w:spacing w:after="0" w:line="122" w:lineRule="exact"/>
              <w:rPr>
                <w:sz w:val="20"/>
                <w:szCs w:val="20"/>
                <w:color w:val="auto"/>
              </w:rPr>
            </w:pPr>
            <w:r>
              <w:rPr>
                <w:rFonts w:ascii="Arial" w:cs="Arial" w:eastAsia="Arial" w:hAnsi="Arial"/>
                <w:sz w:val="13"/>
                <w:szCs w:val="13"/>
                <w:b w:val="1"/>
                <w:bCs w:val="1"/>
                <w:color w:val="auto"/>
              </w:rPr>
              <w:t>restricted cash at end of</w:t>
            </w:r>
          </w:p>
        </w:tc>
        <w:tc>
          <w:tcPr>
            <w:tcW w:w="160" w:type="dxa"/>
            <w:vAlign w:val="bottom"/>
            <w:vMerge w:val="restart"/>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14,857</w:t>
            </w:r>
          </w:p>
        </w:tc>
        <w:tc>
          <w:tcPr>
            <w:tcW w:w="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  9,206</w:t>
            </w:r>
          </w:p>
        </w:tc>
        <w:tc>
          <w:tcPr>
            <w:tcW w:w="100" w:type="dxa"/>
            <w:vAlign w:val="bottom"/>
          </w:tcPr>
          <w:p>
            <w:pPr>
              <w:spacing w:after="0"/>
              <w:rPr>
                <w:sz w:val="10"/>
                <w:szCs w:val="10"/>
                <w:color w:val="auto"/>
              </w:rPr>
            </w:pPr>
          </w:p>
        </w:tc>
        <w:tc>
          <w:tcPr>
            <w:tcW w:w="620" w:type="dxa"/>
            <w:vAlign w:val="bottom"/>
            <w:vMerge w:val="restart"/>
          </w:tcPr>
          <w:p>
            <w:pPr>
              <w:jc w:val="right"/>
              <w:ind w:right="477"/>
              <w:spacing w:after="0"/>
              <w:rPr>
                <w:sz w:val="20"/>
                <w:szCs w:val="20"/>
                <w:color w:val="auto"/>
              </w:rPr>
            </w:pPr>
            <w:r>
              <w:rPr>
                <w:rFonts w:ascii="Arial" w:cs="Arial" w:eastAsia="Arial" w:hAnsi="Arial"/>
                <w:sz w:val="13"/>
                <w:szCs w:val="13"/>
                <w:color w:val="auto"/>
                <w:w w:val="82"/>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   24,063</w:t>
            </w:r>
          </w:p>
        </w:tc>
        <w:tc>
          <w:tcPr>
            <w:tcW w:w="120" w:type="dxa"/>
            <w:vAlign w:val="bottom"/>
          </w:tcPr>
          <w:p>
            <w:pPr>
              <w:spacing w:after="0"/>
              <w:rPr>
                <w:sz w:val="10"/>
                <w:szCs w:val="10"/>
                <w:color w:val="auto"/>
              </w:rPr>
            </w:pPr>
          </w:p>
        </w:tc>
        <w:tc>
          <w:tcPr>
            <w:tcW w:w="720" w:type="dxa"/>
            <w:vAlign w:val="bottom"/>
            <w:vMerge w:val="restart"/>
          </w:tcPr>
          <w:p>
            <w:pPr>
              <w:jc w:val="right"/>
              <w:ind w:right="17"/>
              <w:spacing w:after="0"/>
              <w:rPr>
                <w:sz w:val="20"/>
                <w:szCs w:val="20"/>
                <w:color w:val="auto"/>
              </w:rPr>
            </w:pPr>
            <w:r>
              <w:rPr>
                <w:rFonts w:ascii="Arial" w:cs="Arial" w:eastAsia="Arial" w:hAnsi="Arial"/>
                <w:sz w:val="13"/>
                <w:szCs w:val="13"/>
                <w:color w:val="auto"/>
              </w:rPr>
              <w:t>$   12,209</w:t>
            </w: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   120</w:t>
            </w:r>
          </w:p>
        </w:tc>
        <w:tc>
          <w:tcPr>
            <w:tcW w:w="1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$ 11,714</w:t>
            </w:r>
          </w:p>
        </w:tc>
        <w:tc>
          <w:tcPr>
            <w:tcW w:w="100" w:type="dxa"/>
            <w:vAlign w:val="bottom"/>
          </w:tcPr>
          <w:p>
            <w:pPr>
              <w:spacing w:after="0"/>
              <w:rPr>
                <w:sz w:val="10"/>
                <w:szCs w:val="10"/>
                <w:color w:val="auto"/>
              </w:rPr>
            </w:pPr>
          </w:p>
        </w:tc>
        <w:tc>
          <w:tcPr>
            <w:tcW w:w="640" w:type="dxa"/>
            <w:vAlign w:val="bottom"/>
            <w:vMerge w:val="restart"/>
          </w:tcPr>
          <w:p>
            <w:pPr>
              <w:jc w:val="right"/>
              <w:ind w:right="477"/>
              <w:spacing w:after="0"/>
              <w:rPr>
                <w:sz w:val="20"/>
                <w:szCs w:val="20"/>
                <w:color w:val="auto"/>
              </w:rPr>
            </w:pPr>
            <w:r>
              <w:rPr>
                <w:rFonts w:ascii="Arial" w:cs="Arial" w:eastAsia="Arial" w:hAnsi="Arial"/>
                <w:sz w:val="13"/>
                <w:szCs w:val="13"/>
                <w:color w:val="auto"/>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   24,042</w:t>
            </w:r>
          </w:p>
        </w:tc>
        <w:tc>
          <w:tcPr>
            <w:tcW w:w="0" w:type="dxa"/>
            <w:vAlign w:val="bottom"/>
          </w:tcPr>
          <w:p>
            <w:pPr>
              <w:spacing w:after="0"/>
              <w:rPr>
                <w:sz w:val="1"/>
                <w:szCs w:val="1"/>
                <w:color w:val="auto"/>
              </w:rPr>
            </w:pPr>
          </w:p>
        </w:tc>
      </w:tr>
      <w:tr>
        <w:trPr>
          <w:trHeight w:val="162"/>
        </w:trPr>
        <w:tc>
          <w:tcPr>
            <w:tcW w:w="2000" w:type="dxa"/>
            <w:vAlign w:val="bottom"/>
          </w:tcPr>
          <w:p>
            <w:pPr>
              <w:ind w:left="180"/>
              <w:spacing w:after="0"/>
              <w:rPr>
                <w:sz w:val="20"/>
                <w:szCs w:val="20"/>
                <w:color w:val="auto"/>
              </w:rPr>
            </w:pPr>
            <w:r>
              <w:rPr>
                <w:rFonts w:ascii="Arial" w:cs="Arial" w:eastAsia="Arial" w:hAnsi="Arial"/>
                <w:sz w:val="13"/>
                <w:szCs w:val="13"/>
                <w:b w:val="1"/>
                <w:bCs w:val="1"/>
                <w:color w:val="auto"/>
              </w:rPr>
              <w:t>period</w:t>
            </w:r>
          </w:p>
        </w:tc>
        <w:tc>
          <w:tcPr>
            <w:tcW w:w="1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15" w:lineRule="exact"/>
        <w:rPr>
          <w:sz w:val="20"/>
          <w:szCs w:val="20"/>
          <w:color w:val="auto"/>
        </w:rPr>
      </w:pPr>
    </w:p>
    <w:p>
      <w:pPr>
        <w:ind w:left="340" w:hanging="332"/>
        <w:spacing w:after="0" w:line="246" w:lineRule="auto"/>
        <w:tabs>
          <w:tab w:leader="none" w:pos="337" w:val="left"/>
        </w:tabs>
        <w:numPr>
          <w:ilvl w:val="0"/>
          <w:numId w:val="9"/>
        </w:numPr>
        <w:rPr>
          <w:rFonts w:ascii="Arial" w:cs="Arial" w:eastAsia="Arial" w:hAnsi="Arial"/>
          <w:sz w:val="11"/>
          <w:szCs w:val="11"/>
          <w:color w:val="auto"/>
        </w:rPr>
      </w:pPr>
      <w:r>
        <w:rPr>
          <w:rFonts w:ascii="Arial" w:cs="Arial" w:eastAsia="Arial" w:hAnsi="Arial"/>
          <w:sz w:val="11"/>
          <w:szCs w:val="11"/>
          <w:color w:val="auto"/>
        </w:rPr>
        <w:t>Includes eliminations of $1.4 billion and $2.6 billion in the three months ended March 31, 2026 and 2025 primarily driven by purchases/collections of wholesale finance receivables resulting from vehicles sold by GM to dealers that have arranged their inventory floor plan financing through GM Financial.</w:t>
      </w:r>
    </w:p>
    <w:p>
      <w:pPr>
        <w:ind w:left="320" w:hanging="312"/>
        <w:spacing w:after="0"/>
        <w:tabs>
          <w:tab w:leader="none" w:pos="320" w:val="left"/>
        </w:tabs>
        <w:numPr>
          <w:ilvl w:val="0"/>
          <w:numId w:val="9"/>
        </w:numPr>
        <w:rPr>
          <w:rFonts w:ascii="Arial" w:cs="Arial" w:eastAsia="Arial" w:hAnsi="Arial"/>
          <w:sz w:val="11"/>
          <w:szCs w:val="11"/>
          <w:color w:val="auto"/>
        </w:rPr>
      </w:pPr>
      <w:r>
        <w:rPr>
          <w:rFonts w:ascii="Arial" w:cs="Arial" w:eastAsia="Arial" w:hAnsi="Arial"/>
          <w:sz w:val="11"/>
          <w:szCs w:val="11"/>
          <w:color w:val="auto"/>
        </w:rPr>
        <w:t>Eliminations include intercompany funding activity from Automotive and GM Financial to Cruise in the three months ended March 31, 2025.</w:t>
      </w:r>
    </w:p>
    <w:p>
      <w:pPr>
        <w:spacing w:after="0" w:line="5" w:lineRule="exact"/>
        <w:rPr>
          <w:rFonts w:ascii="Arial" w:cs="Arial" w:eastAsia="Arial" w:hAnsi="Arial"/>
          <w:sz w:val="11"/>
          <w:szCs w:val="11"/>
          <w:color w:val="auto"/>
        </w:rPr>
      </w:pPr>
    </w:p>
    <w:p>
      <w:pPr>
        <w:ind w:left="320" w:hanging="312"/>
        <w:spacing w:after="0" w:line="211" w:lineRule="auto"/>
        <w:tabs>
          <w:tab w:leader="none" w:pos="320" w:val="left"/>
        </w:tabs>
        <w:numPr>
          <w:ilvl w:val="0"/>
          <w:numId w:val="9"/>
        </w:numPr>
        <w:rPr>
          <w:rFonts w:ascii="Arial" w:cs="Arial" w:eastAsia="Arial" w:hAnsi="Arial"/>
          <w:sz w:val="11"/>
          <w:szCs w:val="11"/>
          <w:color w:val="auto"/>
        </w:rPr>
      </w:pPr>
      <w:r>
        <w:rPr>
          <w:rFonts w:ascii="Arial" w:cs="Arial" w:eastAsia="Arial" w:hAnsi="Arial"/>
          <w:sz w:val="11"/>
          <w:szCs w:val="11"/>
          <w:color w:val="auto"/>
        </w:rPr>
        <w:t>Eliminations include dividends issued by GM Financial to Automotive in the three months ended March 31, 2026 and 2025.</w:t>
      </w:r>
    </w:p>
    <w:p>
      <w:pPr>
        <w:spacing w:after="0"/>
        <w:rPr>
          <w:sz w:val="20"/>
          <w:szCs w:val="20"/>
          <w:color w:val="auto"/>
        </w:rPr>
      </w:pPr>
      <w:r>
        <w:rPr>
          <w:rFonts w:ascii="Arial" w:cs="Arial" w:eastAsia="Arial" w:hAnsi="Arial"/>
          <w:sz w:val="11"/>
          <w:szCs w:val="11"/>
          <w:color w:val="auto"/>
        </w:rPr>
        <w:t>Note: Certain intercompany transactions that are eliminated in consolidation are presented on a net basis.</w:t>
      </w:r>
    </w:p>
    <w:p>
      <w:pPr>
        <w:sectPr>
          <w:pgSz w:w="11900" w:h="16838" w:orient="portrait"/>
          <w:cols w:equalWidth="0" w:num="1">
            <w:col w:w="11220"/>
          </w:cols>
          <w:pgMar w:left="320" w:top="854" w:right="359" w:bottom="80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20"/>
          </w:cols>
          <w:pgMar w:left="320" w:top="854" w:right="359" w:bottom="804"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6"/>
          <w:szCs w:val="16"/>
          <w:b w:val="1"/>
          <w:bCs w:val="1"/>
          <w:color w:val="auto"/>
        </w:rPr>
        <w:t>General Motors Company and Subsidiaries</w:t>
      </w:r>
      <w:r>
        <w:rPr>
          <w:rFonts w:ascii="Arial" w:cs="Arial" w:eastAsia="Arial" w:hAnsi="Arial"/>
          <w:sz w:val="21"/>
          <w:szCs w:val="21"/>
          <w:b w:val="1"/>
          <w:bCs w:val="1"/>
          <w:color w:val="auto"/>
          <w:vertAlign w:val="superscript"/>
        </w:rPr>
        <w:t>1</w:t>
      </w:r>
    </w:p>
    <w:p>
      <w:pPr>
        <w:spacing w:after="0" w:line="200" w:lineRule="exact"/>
        <w:rPr>
          <w:sz w:val="20"/>
          <w:szCs w:val="20"/>
          <w:color w:val="auto"/>
        </w:rPr>
      </w:pPr>
    </w:p>
    <w:p>
      <w:pPr>
        <w:spacing w:after="0" w:line="28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tables summarize key financial information (dollars in millions):</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GMNA</w:t>
            </w:r>
          </w:p>
        </w:tc>
        <w:tc>
          <w:tcPr>
            <w:tcW w:w="160" w:type="dxa"/>
            <w:vAlign w:val="bottom"/>
          </w:tcPr>
          <w:p>
            <w:pPr>
              <w:spacing w:after="0"/>
              <w:rPr>
                <w:sz w:val="10"/>
                <w:szCs w:val="10"/>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GMI</w:t>
            </w:r>
          </w:p>
        </w:tc>
        <w:tc>
          <w:tcPr>
            <w:tcW w:w="120" w:type="dxa"/>
            <w:vAlign w:val="bottom"/>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Corporate</w:t>
            </w:r>
          </w:p>
        </w:tc>
        <w:tc>
          <w:tcPr>
            <w:tcW w:w="100" w:type="dxa"/>
            <w:vAlign w:val="bottom"/>
          </w:tcPr>
          <w:p>
            <w:pPr>
              <w:spacing w:after="0"/>
              <w:rPr>
                <w:sz w:val="10"/>
                <w:szCs w:val="10"/>
                <w:color w:val="auto"/>
              </w:rPr>
            </w:pPr>
          </w:p>
        </w:tc>
        <w:tc>
          <w:tcPr>
            <w:tcW w:w="8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10"/>
                <w:szCs w:val="10"/>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Total</w:t>
            </w:r>
          </w:p>
        </w:tc>
        <w:tc>
          <w:tcPr>
            <w:tcW w:w="14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Cruise</w:t>
            </w:r>
          </w:p>
        </w:tc>
        <w:tc>
          <w:tcPr>
            <w:tcW w:w="100" w:type="dxa"/>
            <w:vAlign w:val="bottom"/>
          </w:tcPr>
          <w:p>
            <w:pPr>
              <w:spacing w:after="0"/>
              <w:rPr>
                <w:sz w:val="10"/>
                <w:szCs w:val="10"/>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GM</w:t>
            </w:r>
          </w:p>
        </w:tc>
        <w:tc>
          <w:tcPr>
            <w:tcW w:w="17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180" w:type="dxa"/>
            <w:vAlign w:val="bottom"/>
          </w:tcPr>
          <w:p>
            <w:pPr>
              <w:spacing w:after="0"/>
              <w:rPr>
                <w:sz w:val="10"/>
                <w:szCs w:val="10"/>
                <w:color w:val="auto"/>
              </w:rPr>
            </w:pPr>
          </w:p>
        </w:tc>
        <w:tc>
          <w:tcPr>
            <w:tcW w:w="640" w:type="dxa"/>
            <w:vAlign w:val="bottom"/>
            <w:vMerge w:val="restart"/>
          </w:tcPr>
          <w:p>
            <w:pPr>
              <w:jc w:val="right"/>
              <w:ind w:right="219"/>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5"/>
        </w:trPr>
        <w:tc>
          <w:tcPr>
            <w:tcW w:w="2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Automotive</w:t>
            </w:r>
          </w:p>
        </w:tc>
        <w:tc>
          <w:tcPr>
            <w:tcW w:w="14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Financial</w:t>
            </w:r>
          </w:p>
        </w:tc>
        <w:tc>
          <w:tcPr>
            <w:tcW w:w="170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540" w:type="dxa"/>
            <w:vAlign w:val="bottom"/>
          </w:tcPr>
          <w:p>
            <w:pPr>
              <w:ind w:left="20"/>
              <w:spacing w:after="0"/>
              <w:rPr>
                <w:sz w:val="20"/>
                <w:szCs w:val="20"/>
                <w:color w:val="auto"/>
              </w:rPr>
            </w:pPr>
            <w:r>
              <w:rPr>
                <w:rFonts w:ascii="Arial" w:cs="Arial" w:eastAsia="Arial" w:hAnsi="Arial"/>
                <w:sz w:val="11"/>
                <w:szCs w:val="11"/>
                <w:b w:val="1"/>
                <w:bCs w:val="1"/>
                <w:color w:val="auto"/>
              </w:rPr>
              <w:t>Three Months Ended March 31, 2026</w:t>
            </w: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sales and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36,401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2,859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39,349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4,276</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ind w:left="680"/>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43,624</w:t>
            </w:r>
          </w:p>
        </w:tc>
        <w:tc>
          <w:tcPr>
            <w:tcW w:w="0" w:type="dxa"/>
            <w:vAlign w:val="bottom"/>
          </w:tcPr>
          <w:p>
            <w:pPr>
              <w:spacing w:after="0"/>
              <w:rPr>
                <w:sz w:val="1"/>
                <w:szCs w:val="1"/>
                <w:color w:val="auto"/>
              </w:rPr>
            </w:pPr>
          </w:p>
        </w:tc>
      </w:tr>
      <w:tr>
        <w:trPr>
          <w:trHeight w:val="171"/>
        </w:trPr>
        <w:tc>
          <w:tcPr>
            <w:tcW w:w="2540" w:type="dxa"/>
            <w:vAlign w:val="bottom"/>
          </w:tcPr>
          <w:p>
            <w:pPr>
              <w:ind w:left="20"/>
              <w:spacing w:after="0"/>
              <w:rPr>
                <w:sz w:val="20"/>
                <w:szCs w:val="20"/>
                <w:color w:val="auto"/>
              </w:rPr>
            </w:pPr>
            <w:r>
              <w:rPr>
                <w:rFonts w:ascii="Arial" w:cs="Arial" w:eastAsia="Arial" w:hAnsi="Arial"/>
                <w:sz w:val="13"/>
                <w:szCs w:val="13"/>
                <w:color w:val="auto"/>
              </w:rPr>
              <w:t>Expenditures for property</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1,427</w:t>
            </w: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53</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21</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1,500</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3"/>
                <w:szCs w:val="13"/>
                <w:color w:val="auto"/>
              </w:rPr>
              <w:t>$</w:t>
            </w:r>
          </w:p>
        </w:tc>
        <w:tc>
          <w:tcPr>
            <w:tcW w:w="96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1,512</w:t>
            </w:r>
          </w:p>
        </w:tc>
        <w:tc>
          <w:tcPr>
            <w:tcW w:w="0" w:type="dxa"/>
            <w:vAlign w:val="bottom"/>
          </w:tcPr>
          <w:p>
            <w:pPr>
              <w:spacing w:after="0"/>
              <w:rPr>
                <w:sz w:val="1"/>
                <w:szCs w:val="1"/>
                <w:color w:val="auto"/>
              </w:rPr>
            </w:pPr>
          </w:p>
        </w:tc>
      </w:tr>
      <w:tr>
        <w:trPr>
          <w:trHeight w:val="180"/>
        </w:trPr>
        <w:tc>
          <w:tcPr>
            <w:tcW w:w="2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1,341</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3,005</w:t>
            </w:r>
          </w:p>
        </w:tc>
        <w:tc>
          <w:tcPr>
            <w:tcW w:w="0" w:type="dxa"/>
            <w:vAlign w:val="bottom"/>
          </w:tcPr>
          <w:p>
            <w:pPr>
              <w:spacing w:after="0"/>
              <w:rPr>
                <w:sz w:val="1"/>
                <w:szCs w:val="1"/>
                <w:color w:val="auto"/>
              </w:rPr>
            </w:pPr>
          </w:p>
        </w:tc>
      </w:tr>
      <w:tr>
        <w:trPr>
          <w:trHeight w:val="171"/>
        </w:trPr>
        <w:tc>
          <w:tcPr>
            <w:tcW w:w="2540" w:type="dxa"/>
            <w:vAlign w:val="bottom"/>
          </w:tcPr>
          <w:p>
            <w:pPr>
              <w:ind w:left="20"/>
              <w:spacing w:after="0"/>
              <w:rPr>
                <w:sz w:val="20"/>
                <w:szCs w:val="20"/>
                <w:color w:val="auto"/>
              </w:rPr>
            </w:pPr>
            <w:r>
              <w:rPr>
                <w:rFonts w:ascii="Arial" w:cs="Arial" w:eastAsia="Arial" w:hAnsi="Arial"/>
                <w:sz w:val="13"/>
                <w:szCs w:val="13"/>
                <w:color w:val="auto"/>
              </w:rPr>
              <w:t>Impairment charges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25</w:t>
            </w: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tcPr>
          <w:p>
            <w:pPr>
              <w:ind w:left="20"/>
              <w:spacing w:after="0"/>
              <w:rPr>
                <w:sz w:val="20"/>
                <w:szCs w:val="20"/>
                <w:color w:val="auto"/>
              </w:rPr>
            </w:pPr>
            <w:r>
              <w:rPr>
                <w:rFonts w:ascii="Arial" w:cs="Arial" w:eastAsia="Arial" w:hAnsi="Arial"/>
                <w:sz w:val="13"/>
                <w:szCs w:val="13"/>
                <w:color w:val="auto"/>
              </w:rPr>
              <w:t>$</w:t>
            </w:r>
          </w:p>
        </w:tc>
        <w:tc>
          <w:tcPr>
            <w:tcW w:w="96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80"/>
        </w:trPr>
        <w:tc>
          <w:tcPr>
            <w:tcW w:w="2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income (loss)(a)(b)</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w:t>
            </w:r>
          </w:p>
        </w:tc>
        <w:tc>
          <w:tcPr>
            <w:tcW w:w="0" w:type="dxa"/>
            <w:vAlign w:val="bottom"/>
          </w:tcPr>
          <w:p>
            <w:pPr>
              <w:spacing w:after="0"/>
              <w:rPr>
                <w:sz w:val="1"/>
                <w:szCs w:val="1"/>
                <w:color w:val="auto"/>
              </w:rPr>
            </w:pPr>
          </w:p>
        </w:tc>
      </w:tr>
      <w:tr>
        <w:trPr>
          <w:trHeight w:val="378"/>
        </w:trPr>
        <w:tc>
          <w:tcPr>
            <w:tcW w:w="2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GMNA</w:t>
            </w:r>
          </w:p>
        </w:tc>
        <w:tc>
          <w:tcPr>
            <w:tcW w:w="160" w:type="dxa"/>
            <w:vAlign w:val="bottom"/>
          </w:tcPr>
          <w:p>
            <w:pPr>
              <w:spacing w:after="0"/>
              <w:rPr>
                <w:sz w:val="24"/>
                <w:szCs w:val="24"/>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GMI</w:t>
            </w:r>
          </w:p>
        </w:tc>
        <w:tc>
          <w:tcPr>
            <w:tcW w:w="120" w:type="dxa"/>
            <w:vAlign w:val="bottom"/>
          </w:tcPr>
          <w:p>
            <w:pPr>
              <w:spacing w:after="0"/>
              <w:rPr>
                <w:sz w:val="24"/>
                <w:szCs w:val="24"/>
                <w:color w:val="auto"/>
              </w:rPr>
            </w:pPr>
          </w:p>
        </w:tc>
        <w:tc>
          <w:tcPr>
            <w:tcW w:w="7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Corporate</w:t>
            </w:r>
          </w:p>
        </w:tc>
        <w:tc>
          <w:tcPr>
            <w:tcW w:w="100" w:type="dxa"/>
            <w:vAlign w:val="bottom"/>
          </w:tcPr>
          <w:p>
            <w:pPr>
              <w:spacing w:after="0"/>
              <w:rPr>
                <w:sz w:val="24"/>
                <w:szCs w:val="24"/>
                <w:color w:val="auto"/>
              </w:rPr>
            </w:pPr>
          </w:p>
        </w:tc>
        <w:tc>
          <w:tcPr>
            <w:tcW w:w="8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24"/>
                <w:szCs w:val="2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Total</w:t>
            </w:r>
          </w:p>
        </w:tc>
        <w:tc>
          <w:tcPr>
            <w:tcW w:w="140" w:type="dxa"/>
            <w:vAlign w:val="bottom"/>
          </w:tcPr>
          <w:p>
            <w:pPr>
              <w:spacing w:after="0"/>
              <w:rPr>
                <w:sz w:val="24"/>
                <w:szCs w:val="2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Cruise</w:t>
            </w:r>
          </w:p>
        </w:tc>
        <w:tc>
          <w:tcPr>
            <w:tcW w:w="100" w:type="dxa"/>
            <w:vAlign w:val="bottom"/>
          </w:tcPr>
          <w:p>
            <w:pPr>
              <w:spacing w:after="0"/>
              <w:rPr>
                <w:sz w:val="24"/>
                <w:szCs w:val="2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GM</w:t>
            </w:r>
          </w:p>
        </w:tc>
        <w:tc>
          <w:tcPr>
            <w:tcW w:w="17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180" w:type="dxa"/>
            <w:vAlign w:val="bottom"/>
          </w:tcPr>
          <w:p>
            <w:pPr>
              <w:spacing w:after="0"/>
              <w:rPr>
                <w:sz w:val="24"/>
                <w:szCs w:val="24"/>
                <w:color w:val="auto"/>
              </w:rPr>
            </w:pPr>
          </w:p>
        </w:tc>
        <w:tc>
          <w:tcPr>
            <w:tcW w:w="640" w:type="dxa"/>
            <w:vAlign w:val="bottom"/>
            <w:vMerge w:val="restart"/>
          </w:tcPr>
          <w:p>
            <w:pPr>
              <w:jc w:val="right"/>
              <w:ind w:right="219"/>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5"/>
        </w:trPr>
        <w:tc>
          <w:tcPr>
            <w:tcW w:w="2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Automotive</w:t>
            </w:r>
          </w:p>
        </w:tc>
        <w:tc>
          <w:tcPr>
            <w:tcW w:w="14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Financial</w:t>
            </w:r>
          </w:p>
        </w:tc>
        <w:tc>
          <w:tcPr>
            <w:tcW w:w="170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540" w:type="dxa"/>
            <w:vAlign w:val="bottom"/>
          </w:tcPr>
          <w:p>
            <w:pPr>
              <w:ind w:left="20"/>
              <w:spacing w:after="0"/>
              <w:rPr>
                <w:sz w:val="20"/>
                <w:szCs w:val="20"/>
                <w:color w:val="auto"/>
              </w:rPr>
            </w:pPr>
            <w:r>
              <w:rPr>
                <w:rFonts w:ascii="Arial" w:cs="Arial" w:eastAsia="Arial" w:hAnsi="Arial"/>
                <w:sz w:val="11"/>
                <w:szCs w:val="11"/>
                <w:b w:val="1"/>
                <w:bCs w:val="1"/>
                <w:color w:val="auto"/>
              </w:rPr>
              <w:t>Three Months Ended March 31, 2025</w:t>
            </w: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sales and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37,388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39,860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4,164</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ind w:left="680"/>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44,020</w:t>
            </w:r>
          </w:p>
        </w:tc>
        <w:tc>
          <w:tcPr>
            <w:tcW w:w="0" w:type="dxa"/>
            <w:vAlign w:val="bottom"/>
          </w:tcPr>
          <w:p>
            <w:pPr>
              <w:spacing w:after="0"/>
              <w:rPr>
                <w:sz w:val="1"/>
                <w:szCs w:val="1"/>
                <w:color w:val="auto"/>
              </w:rPr>
            </w:pPr>
          </w:p>
        </w:tc>
      </w:tr>
      <w:tr>
        <w:trPr>
          <w:trHeight w:val="171"/>
        </w:trPr>
        <w:tc>
          <w:tcPr>
            <w:tcW w:w="2540" w:type="dxa"/>
            <w:vAlign w:val="bottom"/>
          </w:tcPr>
          <w:p>
            <w:pPr>
              <w:ind w:left="20"/>
              <w:spacing w:after="0"/>
              <w:rPr>
                <w:sz w:val="20"/>
                <w:szCs w:val="20"/>
                <w:color w:val="auto"/>
              </w:rPr>
            </w:pPr>
            <w:r>
              <w:rPr>
                <w:rFonts w:ascii="Arial" w:cs="Arial" w:eastAsia="Arial" w:hAnsi="Arial"/>
                <w:sz w:val="13"/>
                <w:szCs w:val="13"/>
                <w:color w:val="auto"/>
              </w:rPr>
              <w:t>Expenditures for property</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1,705</w:t>
            </w: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94</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1,809</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9"/>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3"/>
                <w:szCs w:val="13"/>
                <w:color w:val="auto"/>
              </w:rPr>
              <w:t>$</w:t>
            </w:r>
          </w:p>
        </w:tc>
        <w:tc>
          <w:tcPr>
            <w:tcW w:w="96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1,816</w:t>
            </w:r>
          </w:p>
        </w:tc>
        <w:tc>
          <w:tcPr>
            <w:tcW w:w="0" w:type="dxa"/>
            <w:vAlign w:val="bottom"/>
          </w:tcPr>
          <w:p>
            <w:pPr>
              <w:spacing w:after="0"/>
              <w:rPr>
                <w:sz w:val="1"/>
                <w:szCs w:val="1"/>
                <w:color w:val="auto"/>
              </w:rPr>
            </w:pPr>
          </w:p>
        </w:tc>
      </w:tr>
      <w:tr>
        <w:trPr>
          <w:trHeight w:val="180"/>
        </w:trPr>
        <w:tc>
          <w:tcPr>
            <w:tcW w:w="2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1,212</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2,934</w:t>
            </w:r>
          </w:p>
        </w:tc>
        <w:tc>
          <w:tcPr>
            <w:tcW w:w="0" w:type="dxa"/>
            <w:vAlign w:val="bottom"/>
          </w:tcPr>
          <w:p>
            <w:pPr>
              <w:spacing w:after="0"/>
              <w:rPr>
                <w:sz w:val="1"/>
                <w:szCs w:val="1"/>
                <w:color w:val="auto"/>
              </w:rPr>
            </w:pPr>
          </w:p>
        </w:tc>
      </w:tr>
      <w:tr>
        <w:trPr>
          <w:trHeight w:val="171"/>
        </w:trPr>
        <w:tc>
          <w:tcPr>
            <w:tcW w:w="2540" w:type="dxa"/>
            <w:vAlign w:val="bottom"/>
          </w:tcPr>
          <w:p>
            <w:pPr>
              <w:ind w:left="20"/>
              <w:spacing w:after="0"/>
              <w:rPr>
                <w:sz w:val="20"/>
                <w:szCs w:val="20"/>
                <w:color w:val="auto"/>
              </w:rPr>
            </w:pPr>
            <w:r>
              <w:rPr>
                <w:rFonts w:ascii="Arial" w:cs="Arial" w:eastAsia="Arial" w:hAnsi="Arial"/>
                <w:sz w:val="13"/>
                <w:szCs w:val="13"/>
                <w:color w:val="auto"/>
              </w:rPr>
              <w:t>Impairment charges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tcPr>
          <w:p>
            <w:pPr>
              <w:ind w:left="20"/>
              <w:spacing w:after="0"/>
              <w:rPr>
                <w:sz w:val="20"/>
                <w:szCs w:val="20"/>
                <w:color w:val="auto"/>
              </w:rPr>
            </w:pPr>
            <w:r>
              <w:rPr>
                <w:rFonts w:ascii="Arial" w:cs="Arial" w:eastAsia="Arial" w:hAnsi="Arial"/>
                <w:sz w:val="13"/>
                <w:szCs w:val="13"/>
                <w:color w:val="auto"/>
              </w:rPr>
              <w:t>$</w:t>
            </w:r>
          </w:p>
        </w:tc>
        <w:tc>
          <w:tcPr>
            <w:tcW w:w="96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2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income (loss)(a)(b)</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303</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7"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Includes Automotive China joint ventures (Automotive China JVs) equity income (loss) of $165 million and $45 million in the three months ended March 31, 2026 and 2025.</w:t>
      </w:r>
    </w:p>
    <w:p>
      <w:pPr>
        <w:jc w:val="both"/>
        <w:ind w:left="340" w:hanging="332"/>
        <w:spacing w:after="0" w:line="242" w:lineRule="auto"/>
        <w:tabs>
          <w:tab w:leader="none" w:pos="332" w:val="left"/>
        </w:tabs>
        <w:numPr>
          <w:ilvl w:val="0"/>
          <w:numId w:val="10"/>
        </w:numPr>
        <w:rPr>
          <w:rFonts w:ascii="Arial" w:cs="Arial" w:eastAsia="Arial" w:hAnsi="Arial"/>
          <w:sz w:val="13"/>
          <w:szCs w:val="13"/>
          <w:color w:val="auto"/>
        </w:rPr>
      </w:pPr>
      <w:r>
        <w:rPr>
          <w:rFonts w:ascii="Arial" w:cs="Arial" w:eastAsia="Arial" w:hAnsi="Arial"/>
          <w:sz w:val="13"/>
          <w:szCs w:val="13"/>
          <w:color w:val="auto"/>
        </w:rPr>
        <w:t>Equity earnings related to Ultium Cells Holdings LLC, an equally owned joint venture with LG Energy Solution, are presented in Automotive and other cost of sales as this entity has historically been integral to the operations of our business by providing battery cells for our electric vehicles (EVs). In the three months ended March 31, 2026 and 2025, equity earnings in Ultium Cell Holdings LLC were insignificant and $241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40"/>
          </w:cols>
          <w:pgMar w:left="320" w:top="854"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jc w:val="center"/>
        <w:spacing w:after="0" w:line="222" w:lineRule="auto"/>
        <w:rPr>
          <w:sz w:val="20"/>
          <w:szCs w:val="20"/>
          <w:color w:val="auto"/>
        </w:rPr>
      </w:pPr>
      <w:r>
        <w:rPr>
          <w:rFonts w:ascii="Arial" w:cs="Arial" w:eastAsia="Arial" w:hAnsi="Arial"/>
          <w:sz w:val="16"/>
          <w:szCs w:val="16"/>
          <w:b w:val="1"/>
          <w:bCs w:val="1"/>
          <w:color w:val="auto"/>
        </w:rPr>
        <w:t>Supplemental Material</w:t>
      </w:r>
      <w:r>
        <w:rPr>
          <w:rFonts w:ascii="Arial" w:cs="Arial" w:eastAsia="Arial" w:hAnsi="Arial"/>
          <w:sz w:val="21"/>
          <w:szCs w:val="21"/>
          <w:b w:val="1"/>
          <w:bCs w:val="1"/>
          <w:color w:val="auto"/>
          <w:vertAlign w:val="superscript"/>
        </w:rPr>
        <w:t>1</w:t>
      </w:r>
    </w:p>
    <w:p>
      <w:pPr>
        <w:jc w:val="center"/>
        <w:spacing w:after="0"/>
        <w:rPr>
          <w:sz w:val="20"/>
          <w:szCs w:val="20"/>
          <w:color w:val="auto"/>
        </w:rPr>
      </w:pPr>
      <w:r>
        <w:rPr>
          <w:rFonts w:ascii="Arial" w:cs="Arial" w:eastAsia="Arial" w:hAnsi="Arial"/>
          <w:sz w:val="16"/>
          <w:szCs w:val="16"/>
          <w:i w:val="1"/>
          <w:iCs w:val="1"/>
          <w:color w:val="auto"/>
        </w:rPr>
        <w:t>(Unaudited)</w:t>
      </w:r>
    </w:p>
    <w:p>
      <w:pPr>
        <w:spacing w:after="0" w:line="3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6"/>
          <w:szCs w:val="16"/>
          <w:color w:val="auto"/>
        </w:rPr>
        <w:t>General Motors Company (GM) uses both generally accepted accounting principles (GAAP) and non-GAAP financial measures for operational and financial decision making, and to assess Company and segment business performance. Our non-GAAP measures include: earnings before interest and taxes (EBIT)-adjusted, presented net of noncontrolling interests; earnings before income taxes (EBT)-adjusted for our General Motors Financial Company, Inc. (GM Financial) segment; earnings per share (EPS)-diluted-adjusted; effective tax rate-adjusted (ETR-adjusted); return on invested capital-adjusted (ROIC-adjusted) and adjusted automotive free cash flow. GM's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21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6"/>
          <w:szCs w:val="16"/>
          <w:color w:val="auto"/>
        </w:rPr>
        <w:t>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certain of these and other measures as key metrics to determine management performance under our performance-based compensation plans. For these reasons, we believe these non-GAAP measures are useful for our investors.</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 xml:space="preserve">EBIT-adjusted </w:t>
      </w:r>
      <w:r>
        <w:rPr>
          <w:rFonts w:ascii="Arial" w:cs="Arial" w:eastAsia="Arial" w:hAnsi="Arial"/>
          <w:sz w:val="16"/>
          <w:szCs w:val="16"/>
          <w:i w:val="1"/>
          <w:iCs w:val="1"/>
          <w:color w:val="auto"/>
        </w:rPr>
        <w:t>(Most comparable GAAP measure: Net income attributable to stockholders)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EBIT-adjusted is presented net of noncontrolling interests and</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is used by management and can be used by investors to review our consolidated operating results because it excludes automotive interest income, automotive interest expense, and income taxes as well as certain additional adjustments that are not considered part of our core operations. Examples of adjustments to EBIT include, but are not limited to, impairment charges on long-lived assets and other exit costs resulting from strategic shifts in our operations or discrete market and business conditions, and certain costs arising from legal matters. For EBIT-adjusted and our other non-GAAP measures, once we have made an adjustment in the current period for an item, we will also adjust the related non-GAAP measure in any future periods in which there is an impact from the item. Our corresponding measure for our GM Financial segment is EBT-adjusted because interest income and interest expense are an integral part of its financial performance.</w:t>
      </w:r>
    </w:p>
    <w:p>
      <w:pPr>
        <w:spacing w:after="0" w:line="222" w:lineRule="exact"/>
        <w:rPr>
          <w:sz w:val="20"/>
          <w:szCs w:val="20"/>
          <w:color w:val="auto"/>
        </w:rPr>
      </w:pPr>
    </w:p>
    <w:p>
      <w:pPr>
        <w:jc w:val="both"/>
        <w:ind w:firstLine="162"/>
        <w:spacing w:after="0" w:line="265" w:lineRule="auto"/>
        <w:rPr>
          <w:sz w:val="20"/>
          <w:szCs w:val="20"/>
          <w:color w:val="auto"/>
        </w:rPr>
      </w:pPr>
      <w:r>
        <w:rPr>
          <w:rFonts w:ascii="Arial" w:cs="Arial" w:eastAsia="Arial" w:hAnsi="Arial"/>
          <w:sz w:val="16"/>
          <w:szCs w:val="16"/>
          <w:b w:val="1"/>
          <w:bCs w:val="1"/>
          <w:i w:val="1"/>
          <w:iCs w:val="1"/>
          <w:color w:val="auto"/>
        </w:rPr>
        <w:t xml:space="preserve">EPS-diluted-adjusted </w:t>
      </w:r>
      <w:r>
        <w:rPr>
          <w:rFonts w:ascii="Arial" w:cs="Arial" w:eastAsia="Arial" w:hAnsi="Arial"/>
          <w:sz w:val="16"/>
          <w:szCs w:val="16"/>
          <w:i w:val="1"/>
          <w:iCs w:val="1"/>
          <w:color w:val="auto"/>
        </w:rPr>
        <w:t>(Most comparable GAAP measure: Diluted earnings per common share)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EPS-diluted-adjusted is used by management and can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used by investors to review our consolidated diluted EPS results on a consistent basis. EPS-diluted-adjusted is calculated as net income attributable to common stockholders-diluted less adjustments noted above for EBIT-adjusted and certain income tax adjustments divided by weighted-average common shares outstanding-diluted. Examples of income tax adjustments include the establishment or release of significant deferred tax asset valuation allowances.</w:t>
      </w:r>
    </w:p>
    <w:p>
      <w:pPr>
        <w:spacing w:after="0" w:line="200" w:lineRule="exact"/>
        <w:rPr>
          <w:sz w:val="20"/>
          <w:szCs w:val="20"/>
          <w:color w:val="auto"/>
        </w:rPr>
      </w:pPr>
    </w:p>
    <w:p>
      <w:pPr>
        <w:jc w:val="both"/>
        <w:ind w:firstLine="162"/>
        <w:spacing w:after="0" w:line="265" w:lineRule="auto"/>
        <w:rPr>
          <w:sz w:val="20"/>
          <w:szCs w:val="20"/>
          <w:color w:val="auto"/>
        </w:rPr>
      </w:pPr>
      <w:r>
        <w:rPr>
          <w:rFonts w:ascii="Arial" w:cs="Arial" w:eastAsia="Arial" w:hAnsi="Arial"/>
          <w:sz w:val="16"/>
          <w:szCs w:val="16"/>
          <w:b w:val="1"/>
          <w:bCs w:val="1"/>
          <w:i w:val="1"/>
          <w:iCs w:val="1"/>
          <w:color w:val="auto"/>
        </w:rPr>
        <w:t xml:space="preserve">ETR-adjusted </w:t>
      </w:r>
      <w:r>
        <w:rPr>
          <w:rFonts w:ascii="Arial" w:cs="Arial" w:eastAsia="Arial" w:hAnsi="Arial"/>
          <w:sz w:val="16"/>
          <w:szCs w:val="16"/>
          <w:i w:val="1"/>
          <w:iCs w:val="1"/>
          <w:color w:val="auto"/>
        </w:rPr>
        <w:t>(Most comparable GAAP measure: Effective tax rate)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ETR-adjusted is used by management and can be used by investors to review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consolidated effective tax rate for our core operations on a consistent basis. ETR-adjusted is calculated as Income tax expense less the income tax related to the adjustments noted above for EBIT-adjusted and the income tax adjustments noted above for EPS-diluted-adjusted divided by Income before income taxes less adjustments. When we provide an expected adjusted effective tax rate, we cannot provide an expected effective tax rate without unreasonable efforts because the U.S. GAAP measure may include significant adjustments that are difficult to predict.</w:t>
      </w:r>
    </w:p>
    <w:p>
      <w:pPr>
        <w:spacing w:after="0" w:line="199" w:lineRule="exact"/>
        <w:rPr>
          <w:sz w:val="20"/>
          <w:szCs w:val="20"/>
          <w:color w:val="auto"/>
        </w:rPr>
      </w:pPr>
    </w:p>
    <w:p>
      <w:pPr>
        <w:jc w:val="both"/>
        <w:ind w:firstLine="162"/>
        <w:spacing w:after="0" w:line="265" w:lineRule="auto"/>
        <w:rPr>
          <w:sz w:val="20"/>
          <w:szCs w:val="20"/>
          <w:color w:val="auto"/>
        </w:rPr>
      </w:pPr>
      <w:r>
        <w:rPr>
          <w:rFonts w:ascii="Arial" w:cs="Arial" w:eastAsia="Arial" w:hAnsi="Arial"/>
          <w:sz w:val="16"/>
          <w:szCs w:val="16"/>
          <w:b w:val="1"/>
          <w:bCs w:val="1"/>
          <w:i w:val="1"/>
          <w:iCs w:val="1"/>
          <w:color w:val="auto"/>
        </w:rPr>
        <w:t xml:space="preserve">ROIC-adjusted </w:t>
      </w:r>
      <w:r>
        <w:rPr>
          <w:rFonts w:ascii="Arial" w:cs="Arial" w:eastAsia="Arial" w:hAnsi="Arial"/>
          <w:sz w:val="16"/>
          <w:szCs w:val="16"/>
          <w:i w:val="1"/>
          <w:iCs w:val="1"/>
          <w:color w:val="auto"/>
        </w:rPr>
        <w:t>(Most comparable GAAP measure: Return on equity)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ROIC-adjusted is used by management and can be used by investors to review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 and capital allocation decisions. We define ROIC-adjusted as EBIT-adjusted for the trailing four quarters divided by ROIC-adjusted average net assets, which is the average equity balances adjusted for average automotive debt and interest liabilities, exclusive of finance leases; average automotive net pension and other postretirement benefits (OPEB) liabilities; and average automotive net income tax assets during the same period.</w:t>
      </w:r>
    </w:p>
    <w:p>
      <w:pPr>
        <w:spacing w:after="0" w:line="213" w:lineRule="exact"/>
        <w:rPr>
          <w:sz w:val="20"/>
          <w:szCs w:val="20"/>
          <w:color w:val="auto"/>
        </w:rPr>
      </w:pPr>
    </w:p>
    <w:p>
      <w:pPr>
        <w:jc w:val="both"/>
        <w:ind w:firstLine="162"/>
        <w:spacing w:after="0" w:line="261" w:lineRule="auto"/>
        <w:rPr>
          <w:sz w:val="20"/>
          <w:szCs w:val="20"/>
          <w:color w:val="auto"/>
        </w:rPr>
      </w:pPr>
      <w:r>
        <w:rPr>
          <w:rFonts w:ascii="Arial" w:cs="Arial" w:eastAsia="Arial" w:hAnsi="Arial"/>
          <w:sz w:val="16"/>
          <w:szCs w:val="16"/>
          <w:b w:val="1"/>
          <w:bCs w:val="1"/>
          <w:i w:val="1"/>
          <w:iCs w:val="1"/>
          <w:color w:val="auto"/>
        </w:rPr>
        <w:t xml:space="preserve">Adjusted automotive free cash flow </w:t>
      </w:r>
      <w:r>
        <w:rPr>
          <w:rFonts w:ascii="Arial" w:cs="Arial" w:eastAsia="Arial" w:hAnsi="Arial"/>
          <w:sz w:val="16"/>
          <w:szCs w:val="16"/>
          <w:i w:val="1"/>
          <w:iCs w:val="1"/>
          <w:color w:val="auto"/>
        </w:rPr>
        <w:t>(Most comparable GAAP measure: Net automotive cash provided by operating activities)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Adjusted automotive free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cash flow is used by management and can be used by investors to review the liquidity of our automotive operations and to measure and monitor our performance against our capital allocation program and evaluate our automotive liquidity against the substantial cash requirements of our automotive operations. We measure adjusted automotive free cash flow as automotive operating cash flow from operations less capital expenditures adjusted for management actions. Management actions can include voluntary events such as discretionary contributions to employee benefit plans or nonrecurring specific events such as a closure of a facility that are considered special for EBIT-adjusted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61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jc w:val="center"/>
        <w:spacing w:after="0" w:line="222" w:lineRule="auto"/>
        <w:rPr>
          <w:sz w:val="20"/>
          <w:szCs w:val="20"/>
          <w:color w:val="auto"/>
        </w:rPr>
      </w:pPr>
      <w:r>
        <w:rPr>
          <w:rFonts w:ascii="Arial" w:cs="Arial" w:eastAsia="Arial" w:hAnsi="Arial"/>
          <w:sz w:val="16"/>
          <w:szCs w:val="16"/>
          <w:b w:val="1"/>
          <w:bCs w:val="1"/>
          <w:color w:val="auto"/>
        </w:rPr>
        <w:t>Supplemental Material</w:t>
      </w:r>
      <w:r>
        <w:rPr>
          <w:rFonts w:ascii="Arial" w:cs="Arial" w:eastAsia="Arial" w:hAnsi="Arial"/>
          <w:sz w:val="21"/>
          <w:szCs w:val="21"/>
          <w:b w:val="1"/>
          <w:bCs w:val="1"/>
          <w:color w:val="auto"/>
          <w:vertAlign w:val="superscript"/>
        </w:rPr>
        <w:t>1</w:t>
      </w:r>
    </w:p>
    <w:p>
      <w:pPr>
        <w:jc w:val="center"/>
        <w:spacing w:after="0"/>
        <w:rPr>
          <w:sz w:val="20"/>
          <w:szCs w:val="20"/>
          <w:color w:val="auto"/>
        </w:rPr>
      </w:pPr>
      <w:r>
        <w:rPr>
          <w:rFonts w:ascii="Arial" w:cs="Arial" w:eastAsia="Arial" w:hAnsi="Arial"/>
          <w:sz w:val="16"/>
          <w:szCs w:val="16"/>
          <w:i w:val="1"/>
          <w:iCs w:val="1"/>
          <w:color w:val="auto"/>
        </w:rPr>
        <w:t>(Unaudited)</w:t>
      </w:r>
    </w:p>
    <w:p>
      <w:pPr>
        <w:spacing w:after="0" w:line="38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reconciles Net income (loss) attributable to stockholders to EBIT-adjusted and segment profit (loss) (dollars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860" w:type="dxa"/>
            <w:vAlign w:val="bottom"/>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900" w:type="dxa"/>
            <w:vAlign w:val="bottom"/>
            <w:tcBorders>
              <w:bottom w:val="single" w:sz="8" w:color="auto"/>
            </w:tcBorders>
          </w:tcPr>
          <w:p>
            <w:pPr>
              <w:spacing w:after="0"/>
              <w:rPr>
                <w:sz w:val="17"/>
                <w:szCs w:val="17"/>
                <w:color w:val="auto"/>
              </w:rPr>
            </w:pPr>
          </w:p>
        </w:tc>
      </w:tr>
      <w:tr>
        <w:trPr>
          <w:trHeight w:val="196"/>
        </w:trPr>
        <w:tc>
          <w:tcPr>
            <w:tcW w:w="5860" w:type="dxa"/>
            <w:vAlign w:val="bottom"/>
            <w:tcBorders>
              <w:bottom w:val="single" w:sz="8" w:color="CCEEFF"/>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2026</w:t>
            </w: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719"/>
              <w:spacing w:after="0"/>
              <w:rPr>
                <w:sz w:val="20"/>
                <w:szCs w:val="20"/>
                <w:color w:val="auto"/>
              </w:rPr>
            </w:pPr>
            <w:r>
              <w:rPr>
                <w:rFonts w:ascii="Arial" w:cs="Arial" w:eastAsia="Arial" w:hAnsi="Arial"/>
                <w:sz w:val="14"/>
                <w:szCs w:val="14"/>
                <w:b w:val="1"/>
                <w:bCs w:val="1"/>
                <w:color w:val="auto"/>
              </w:rPr>
              <w:t>March 31, 2025</w:t>
            </w:r>
          </w:p>
        </w:tc>
      </w:tr>
      <w:tr>
        <w:trPr>
          <w:trHeight w:val="211"/>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stockholders</w:t>
            </w:r>
          </w:p>
        </w:tc>
        <w:tc>
          <w:tcPr>
            <w:tcW w:w="1900" w:type="dxa"/>
            <w:vAlign w:val="bottom"/>
            <w:shd w:val="clear" w:color="auto" w:fill="CCEEFF"/>
          </w:tcPr>
          <w:p>
            <w:pPr>
              <w:jc w:val="right"/>
              <w:ind w:right="1702"/>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2,784</w:t>
            </w:r>
          </w:p>
        </w:tc>
      </w:tr>
      <w:tr>
        <w:trPr>
          <w:trHeight w:val="215"/>
        </w:trPr>
        <w:tc>
          <w:tcPr>
            <w:tcW w:w="5860" w:type="dxa"/>
            <w:vAlign w:val="bottom"/>
          </w:tcPr>
          <w:p>
            <w:pPr>
              <w:ind w:left="20"/>
              <w:spacing w:after="0"/>
              <w:rPr>
                <w:sz w:val="20"/>
                <w:szCs w:val="20"/>
                <w:color w:val="auto"/>
              </w:rPr>
            </w:pPr>
            <w:r>
              <w:rPr>
                <w:rFonts w:ascii="Arial" w:cs="Arial" w:eastAsia="Arial" w:hAnsi="Arial"/>
                <w:sz w:val="16"/>
                <w:szCs w:val="16"/>
                <w:color w:val="auto"/>
              </w:rPr>
              <w:t>Income tax expense (benefit)</w:t>
            </w:r>
          </w:p>
        </w:tc>
        <w:tc>
          <w:tcPr>
            <w:tcW w:w="19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642</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719</w:t>
            </w:r>
          </w:p>
        </w:tc>
      </w:tr>
      <w:tr>
        <w:trPr>
          <w:trHeight w:val="217"/>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Automotive interest expense</w:t>
            </w:r>
          </w:p>
        </w:tc>
        <w:tc>
          <w:tcPr>
            <w:tcW w:w="19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r>
      <w:tr>
        <w:trPr>
          <w:trHeight w:val="215"/>
        </w:trPr>
        <w:tc>
          <w:tcPr>
            <w:tcW w:w="5860" w:type="dxa"/>
            <w:vAlign w:val="bottom"/>
          </w:tcPr>
          <w:p>
            <w:pPr>
              <w:ind w:left="20"/>
              <w:spacing w:after="0"/>
              <w:rPr>
                <w:sz w:val="20"/>
                <w:szCs w:val="20"/>
                <w:color w:val="auto"/>
              </w:rPr>
            </w:pPr>
            <w:r>
              <w:rPr>
                <w:rFonts w:ascii="Arial" w:cs="Arial" w:eastAsia="Arial" w:hAnsi="Arial"/>
                <w:sz w:val="16"/>
                <w:szCs w:val="16"/>
                <w:color w:val="auto"/>
              </w:rPr>
              <w:t>Automotive interest income</w:t>
            </w:r>
          </w:p>
        </w:tc>
        <w:tc>
          <w:tcPr>
            <w:tcW w:w="19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(191)</w:t>
            </w:r>
          </w:p>
        </w:tc>
      </w:tr>
      <w:tr>
        <w:trPr>
          <w:trHeight w:val="217"/>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w:t>
            </w:r>
          </w:p>
        </w:tc>
        <w:tc>
          <w:tcPr>
            <w:tcW w:w="19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r>
      <w:tr>
        <w:trPr>
          <w:trHeight w:val="229"/>
        </w:trPr>
        <w:tc>
          <w:tcPr>
            <w:tcW w:w="5860" w:type="dxa"/>
            <w:vAlign w:val="bottom"/>
          </w:tcPr>
          <w:p>
            <w:pPr>
              <w:ind w:left="140"/>
              <w:spacing w:after="0"/>
              <w:rPr>
                <w:sz w:val="20"/>
                <w:szCs w:val="20"/>
                <w:color w:val="auto"/>
              </w:rPr>
            </w:pPr>
            <w:r>
              <w:rPr>
                <w:rFonts w:ascii="Arial" w:cs="Arial" w:eastAsia="Arial" w:hAnsi="Arial"/>
                <w:sz w:val="16"/>
                <w:szCs w:val="16"/>
                <w:color w:val="auto"/>
              </w:rPr>
              <w:t>EV strategic realignment(a)</w:t>
            </w:r>
          </w:p>
        </w:tc>
        <w:tc>
          <w:tcPr>
            <w:tcW w:w="19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1,077</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China restructuring actions(b)</w:t>
            </w:r>
          </w:p>
        </w:tc>
        <w:tc>
          <w:tcPr>
            <w:tcW w:w="19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5860" w:type="dxa"/>
            <w:vAlign w:val="bottom"/>
          </w:tcPr>
          <w:p>
            <w:pPr>
              <w:ind w:left="140"/>
              <w:spacing w:after="0"/>
              <w:rPr>
                <w:sz w:val="20"/>
                <w:szCs w:val="20"/>
                <w:color w:val="auto"/>
              </w:rPr>
            </w:pPr>
            <w:r>
              <w:rPr>
                <w:rFonts w:ascii="Arial" w:cs="Arial" w:eastAsia="Arial" w:hAnsi="Arial"/>
                <w:sz w:val="16"/>
                <w:szCs w:val="16"/>
                <w:color w:val="auto"/>
              </w:rPr>
              <w:t>Headquarters relocation(c)</w:t>
            </w:r>
          </w:p>
        </w:tc>
        <w:tc>
          <w:tcPr>
            <w:tcW w:w="19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10"/>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adjustments</w:t>
            </w:r>
          </w:p>
        </w:tc>
        <w:tc>
          <w:tcPr>
            <w:tcW w:w="19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999</w:t>
            </w: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spacing w:after="0"/>
              <w:rPr>
                <w:sz w:val="18"/>
                <w:szCs w:val="18"/>
                <w:color w:val="auto"/>
              </w:rPr>
            </w:pP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09"/>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EBIT-adjusted</w:t>
            </w:r>
          </w:p>
        </w:tc>
        <w:tc>
          <w:tcPr>
            <w:tcW w:w="19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4,253</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3,490</w:t>
            </w:r>
          </w:p>
        </w:tc>
      </w:tr>
      <w:tr>
        <w:trPr>
          <w:trHeight w:val="197"/>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segments</w:t>
            </w:r>
          </w:p>
        </w:tc>
        <w:tc>
          <w:tcPr>
            <w:tcW w:w="19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r>
      <w:tr>
        <w:trPr>
          <w:trHeight w:val="215"/>
        </w:trPr>
        <w:tc>
          <w:tcPr>
            <w:tcW w:w="5860" w:type="dxa"/>
            <w:vAlign w:val="bottom"/>
          </w:tcPr>
          <w:p>
            <w:pPr>
              <w:ind w:left="140"/>
              <w:spacing w:after="0"/>
              <w:rPr>
                <w:sz w:val="20"/>
                <w:szCs w:val="20"/>
                <w:color w:val="auto"/>
              </w:rPr>
            </w:pPr>
            <w:r>
              <w:rPr>
                <w:rFonts w:ascii="Arial" w:cs="Arial" w:eastAsia="Arial" w:hAnsi="Arial"/>
                <w:sz w:val="16"/>
                <w:szCs w:val="16"/>
                <w:color w:val="auto"/>
              </w:rPr>
              <w:t>GM North America (GMNA)</w:t>
            </w:r>
          </w:p>
        </w:tc>
        <w:tc>
          <w:tcPr>
            <w:tcW w:w="19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3,661</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3,286</w:t>
            </w:r>
          </w:p>
        </w:tc>
      </w:tr>
      <w:tr>
        <w:trPr>
          <w:trHeight w:val="217"/>
        </w:trPr>
        <w:tc>
          <w:tcPr>
            <w:tcW w:w="5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GM International (GMI)</w:t>
            </w:r>
          </w:p>
        </w:tc>
        <w:tc>
          <w:tcPr>
            <w:tcW w:w="19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15"/>
        </w:trPr>
        <w:tc>
          <w:tcPr>
            <w:tcW w:w="5860" w:type="dxa"/>
            <w:vAlign w:val="bottom"/>
          </w:tcPr>
          <w:p>
            <w:pPr>
              <w:ind w:left="140"/>
              <w:spacing w:after="0"/>
              <w:rPr>
                <w:sz w:val="20"/>
                <w:szCs w:val="20"/>
                <w:color w:val="auto"/>
              </w:rPr>
            </w:pPr>
            <w:r>
              <w:rPr>
                <w:rFonts w:ascii="Arial" w:cs="Arial" w:eastAsia="Arial" w:hAnsi="Arial"/>
                <w:sz w:val="16"/>
                <w:szCs w:val="16"/>
                <w:color w:val="auto"/>
              </w:rPr>
              <w:t>Cruise</w:t>
            </w:r>
          </w:p>
        </w:tc>
        <w:tc>
          <w:tcPr>
            <w:tcW w:w="19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(273)</w:t>
            </w:r>
          </w:p>
        </w:tc>
      </w:tr>
      <w:tr>
        <w:trPr>
          <w:trHeight w:val="217"/>
        </w:trPr>
        <w:tc>
          <w:tcPr>
            <w:tcW w:w="5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GM Financial(d)</w:t>
            </w:r>
          </w:p>
        </w:tc>
        <w:tc>
          <w:tcPr>
            <w:tcW w:w="19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688</w:t>
            </w:r>
          </w:p>
        </w:tc>
        <w:tc>
          <w:tcPr>
            <w:tcW w:w="1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685</w:t>
            </w:r>
          </w:p>
        </w:tc>
      </w:tr>
      <w:tr>
        <w:trPr>
          <w:trHeight w:val="209"/>
        </w:trPr>
        <w:tc>
          <w:tcPr>
            <w:tcW w:w="5860" w:type="dxa"/>
            <w:vAlign w:val="bottom"/>
          </w:tcPr>
          <w:p>
            <w:pPr>
              <w:ind w:left="20"/>
              <w:spacing w:after="0"/>
              <w:rPr>
                <w:sz w:val="20"/>
                <w:szCs w:val="20"/>
                <w:color w:val="auto"/>
              </w:rPr>
            </w:pPr>
            <w:r>
              <w:rPr>
                <w:rFonts w:ascii="Arial" w:cs="Arial" w:eastAsia="Arial" w:hAnsi="Arial"/>
                <w:sz w:val="16"/>
                <w:szCs w:val="16"/>
                <w:color w:val="auto"/>
              </w:rPr>
              <w:t>Total operating segments</w:t>
            </w:r>
          </w:p>
        </w:tc>
        <w:tc>
          <w:tcPr>
            <w:tcW w:w="19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4,473</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3,728</w:t>
            </w: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and eliminations(e)</w:t>
            </w:r>
          </w:p>
        </w:tc>
        <w:tc>
          <w:tcPr>
            <w:tcW w:w="19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w:t>
            </w:r>
          </w:p>
        </w:tc>
      </w:tr>
      <w:tr>
        <w:trPr>
          <w:trHeight w:val="210"/>
        </w:trPr>
        <w:tc>
          <w:tcPr>
            <w:tcW w:w="5860" w:type="dxa"/>
            <w:vAlign w:val="bottom"/>
          </w:tcPr>
          <w:p>
            <w:pPr>
              <w:ind w:left="20"/>
              <w:spacing w:after="0"/>
              <w:rPr>
                <w:sz w:val="20"/>
                <w:szCs w:val="20"/>
                <w:color w:val="auto"/>
              </w:rPr>
            </w:pPr>
            <w:r>
              <w:rPr>
                <w:rFonts w:ascii="Arial" w:cs="Arial" w:eastAsia="Arial" w:hAnsi="Arial"/>
                <w:sz w:val="16"/>
                <w:szCs w:val="16"/>
                <w:color w:val="auto"/>
              </w:rPr>
              <w:t>EBIT-adjusted</w:t>
            </w:r>
          </w:p>
        </w:tc>
        <w:tc>
          <w:tcPr>
            <w:tcW w:w="1900" w:type="dxa"/>
            <w:vAlign w:val="bottom"/>
            <w:tcBorders>
              <w:bottom w:val="single" w:sz="8" w:color="auto"/>
            </w:tcBorders>
          </w:tcPr>
          <w:p>
            <w:pPr>
              <w:jc w:val="right"/>
              <w:ind w:right="1702"/>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4,253</w:t>
            </w:r>
          </w:p>
        </w:tc>
        <w:tc>
          <w:tcPr>
            <w:tcW w:w="100" w:type="dxa"/>
            <w:vAlign w:val="bottom"/>
          </w:tcPr>
          <w:p>
            <w:pPr>
              <w:spacing w:after="0"/>
              <w:rPr>
                <w:sz w:val="18"/>
                <w:szCs w:val="18"/>
                <w:color w:val="auto"/>
              </w:rPr>
            </w:pPr>
          </w:p>
        </w:tc>
        <w:tc>
          <w:tcPr>
            <w:tcW w:w="7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3,490</w:t>
            </w:r>
          </w:p>
        </w:tc>
      </w:tr>
      <w:tr>
        <w:trPr>
          <w:trHeight w:val="21"/>
        </w:trPr>
        <w:tc>
          <w:tcPr>
            <w:tcW w:w="586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These adjustments were excluded because they relate to our strategic realignment of our EV capacity and manufacturing footprint, including Ultium's strategic realignment.</w:t>
      </w:r>
    </w:p>
    <w:p>
      <w:pPr>
        <w:spacing w:after="0" w:line="1" w:lineRule="exact"/>
        <w:rPr>
          <w:rFonts w:ascii="Arial" w:cs="Arial" w:eastAsia="Arial" w:hAnsi="Arial"/>
          <w:sz w:val="14"/>
          <w:szCs w:val="14"/>
          <w:color w:val="auto"/>
        </w:rPr>
      </w:pPr>
    </w:p>
    <w:p>
      <w:pPr>
        <w:ind w:left="340" w:hanging="332"/>
        <w:spacing w:after="0" w:line="261" w:lineRule="auto"/>
        <w:tabs>
          <w:tab w:leader="none" w:pos="327"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These adjustments were excluded because they relate to restructuring activities associated with our operations in China, including an other-than-temporary impairment and restructuring charges recorded in equity earnings associated with our Automotive China JVs.</w:t>
      </w:r>
    </w:p>
    <w:p>
      <w:pPr>
        <w:ind w:left="340" w:hanging="332"/>
        <w:spacing w:after="0" w:line="251" w:lineRule="auto"/>
        <w:tabs>
          <w:tab w:leader="none" w:pos="332"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These adjustments were excluded because they relate to the GM headquarters relocation, primarily consisting of accelerated depreciation and other relocation expenditures.</w:t>
      </w:r>
    </w:p>
    <w:p>
      <w:pPr>
        <w:spacing w:after="0" w:line="169" w:lineRule="exact"/>
        <w:rPr>
          <w:rFonts w:ascii="Arial" w:cs="Arial" w:eastAsia="Arial" w:hAnsi="Arial"/>
          <w:sz w:val="14"/>
          <w:szCs w:val="14"/>
          <w:color w:val="auto"/>
        </w:rPr>
      </w:pPr>
    </w:p>
    <w:p>
      <w:pPr>
        <w:ind w:left="320" w:hanging="312"/>
        <w:spacing w:after="0"/>
        <w:tabs>
          <w:tab w:leader="none" w:pos="3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GM Financial amounts represent EBT-adjusted.</w:t>
      </w:r>
    </w:p>
    <w:p>
      <w:pPr>
        <w:spacing w:after="0" w:line="14" w:lineRule="exact"/>
        <w:rPr>
          <w:rFonts w:ascii="Arial" w:cs="Arial" w:eastAsia="Arial" w:hAnsi="Arial"/>
          <w:sz w:val="14"/>
          <w:szCs w:val="14"/>
          <w:color w:val="auto"/>
        </w:rPr>
      </w:pPr>
    </w:p>
    <w:p>
      <w:pPr>
        <w:ind w:left="340" w:hanging="332"/>
        <w:spacing w:after="0" w:line="284" w:lineRule="auto"/>
        <w:tabs>
          <w:tab w:leader="none" w:pos="327" w:val="left"/>
        </w:tabs>
        <w:numPr>
          <w:ilvl w:val="0"/>
          <w:numId w:val="11"/>
        </w:numPr>
        <w:rPr>
          <w:rFonts w:ascii="Arial" w:cs="Arial" w:eastAsia="Arial" w:hAnsi="Arial"/>
          <w:sz w:val="14"/>
          <w:szCs w:val="14"/>
          <w:color w:val="auto"/>
        </w:rPr>
      </w:pPr>
      <w:r>
        <w:rPr>
          <w:rFonts w:ascii="Arial" w:cs="Arial" w:eastAsia="Arial" w:hAnsi="Arial"/>
          <w:sz w:val="14"/>
          <w:szCs w:val="14"/>
          <w:color w:val="auto"/>
        </w:rPr>
        <w:t>GM's automotive interest income and interest expense, legacy costs from the Opel / Vauxhall Business (primarily pension costs), corporate expenditures, and certain revenues and expenses that are not part of a reportable segment are recorded centrally in Corporate.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61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jc w:val="center"/>
        <w:spacing w:after="0" w:line="222" w:lineRule="auto"/>
        <w:rPr>
          <w:sz w:val="20"/>
          <w:szCs w:val="20"/>
          <w:color w:val="auto"/>
        </w:rPr>
      </w:pPr>
      <w:r>
        <w:rPr>
          <w:rFonts w:ascii="Arial" w:cs="Arial" w:eastAsia="Arial" w:hAnsi="Arial"/>
          <w:sz w:val="16"/>
          <w:szCs w:val="16"/>
          <w:b w:val="1"/>
          <w:bCs w:val="1"/>
          <w:color w:val="auto"/>
        </w:rPr>
        <w:t>Supplemental Material</w:t>
      </w:r>
      <w:r>
        <w:rPr>
          <w:rFonts w:ascii="Arial" w:cs="Arial" w:eastAsia="Arial" w:hAnsi="Arial"/>
          <w:sz w:val="21"/>
          <w:szCs w:val="21"/>
          <w:b w:val="1"/>
          <w:bCs w:val="1"/>
          <w:color w:val="auto"/>
          <w:vertAlign w:val="superscript"/>
        </w:rPr>
        <w:t>1</w:t>
      </w:r>
    </w:p>
    <w:p>
      <w:pPr>
        <w:jc w:val="center"/>
        <w:spacing w:after="0"/>
        <w:rPr>
          <w:sz w:val="20"/>
          <w:szCs w:val="20"/>
          <w:color w:val="auto"/>
        </w:rPr>
      </w:pPr>
      <w:r>
        <w:rPr>
          <w:rFonts w:ascii="Arial" w:cs="Arial" w:eastAsia="Arial" w:hAnsi="Arial"/>
          <w:sz w:val="16"/>
          <w:szCs w:val="16"/>
          <w:i w:val="1"/>
          <w:iCs w:val="1"/>
          <w:color w:val="auto"/>
        </w:rPr>
        <w:t>(Unaudited)</w:t>
      </w:r>
    </w:p>
    <w:p>
      <w:pPr>
        <w:spacing w:after="0" w:line="38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reconciles diluted earnings per common share to EPS-diluted-adjusted (dollars in millions, except per share amounts):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9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3"/>
          </w:tcPr>
          <w:p>
            <w:pPr>
              <w:jc w:val="right"/>
              <w:ind w:right="525"/>
              <w:spacing w:after="0"/>
              <w:rPr>
                <w:sz w:val="20"/>
                <w:szCs w:val="20"/>
                <w:color w:val="auto"/>
              </w:rPr>
            </w:pPr>
            <w:r>
              <w:rPr>
                <w:rFonts w:ascii="Arial" w:cs="Arial" w:eastAsia="Arial" w:hAnsi="Arial"/>
                <w:sz w:val="13"/>
                <w:szCs w:val="13"/>
                <w:b w:val="1"/>
                <w:bCs w:val="1"/>
                <w:color w:val="auto"/>
              </w:rPr>
              <w:t>Three Months Ended</w:t>
            </w: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r>
      <w:tr>
        <w:trPr>
          <w:trHeight w:val="171"/>
        </w:trPr>
        <w:tc>
          <w:tcPr>
            <w:tcW w:w="39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3"/>
                <w:szCs w:val="13"/>
                <w:b w:val="1"/>
                <w:bCs w:val="1"/>
                <w:color w:val="auto"/>
              </w:rPr>
              <w:t>March 31, 2026</w:t>
            </w:r>
          </w:p>
        </w:tc>
        <w:tc>
          <w:tcPr>
            <w:tcW w:w="1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March 31, 2025</w:t>
            </w:r>
          </w:p>
        </w:tc>
        <w:tc>
          <w:tcPr>
            <w:tcW w:w="1280" w:type="dxa"/>
            <w:vAlign w:val="bottom"/>
            <w:tcBorders>
              <w:bottom w:val="single" w:sz="8" w:color="auto"/>
            </w:tcBorders>
          </w:tcPr>
          <w:p>
            <w:pPr>
              <w:spacing w:after="0"/>
              <w:rPr>
                <w:sz w:val="14"/>
                <w:szCs w:val="14"/>
                <w:color w:val="auto"/>
              </w:rPr>
            </w:pPr>
          </w:p>
        </w:tc>
      </w:tr>
      <w:tr>
        <w:trPr>
          <w:trHeight w:val="169"/>
        </w:trPr>
        <w:tc>
          <w:tcPr>
            <w:tcW w:w="3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gridSpan w:val="2"/>
          </w:tcPr>
          <w:p>
            <w:pPr>
              <w:ind w:left="260"/>
              <w:spacing w:after="0"/>
              <w:rPr>
                <w:sz w:val="20"/>
                <w:szCs w:val="20"/>
                <w:color w:val="auto"/>
              </w:rPr>
            </w:pPr>
            <w:r>
              <w:rPr>
                <w:rFonts w:ascii="Arial" w:cs="Arial" w:eastAsia="Arial" w:hAnsi="Arial"/>
                <w:sz w:val="13"/>
                <w:szCs w:val="13"/>
                <w:b w:val="1"/>
                <w:bCs w:val="1"/>
                <w:color w:val="auto"/>
              </w:rPr>
              <w:t>Amount</w:t>
            </w:r>
          </w:p>
        </w:tc>
        <w:tc>
          <w:tcPr>
            <w:tcW w:w="500" w:type="dxa"/>
            <w:vAlign w:val="bottom"/>
          </w:tcPr>
          <w:p>
            <w:pPr>
              <w:spacing w:after="0"/>
              <w:rPr>
                <w:sz w:val="14"/>
                <w:szCs w:val="14"/>
                <w:color w:val="auto"/>
              </w:rPr>
            </w:pPr>
          </w:p>
        </w:tc>
        <w:tc>
          <w:tcPr>
            <w:tcW w:w="1260" w:type="dxa"/>
            <w:vAlign w:val="bottom"/>
          </w:tcPr>
          <w:p>
            <w:pPr>
              <w:jc w:val="right"/>
              <w:ind w:right="504"/>
              <w:spacing w:after="0"/>
              <w:rPr>
                <w:sz w:val="20"/>
                <w:szCs w:val="20"/>
                <w:color w:val="auto"/>
              </w:rPr>
            </w:pPr>
            <w:r>
              <w:rPr>
                <w:rFonts w:ascii="Arial" w:cs="Arial" w:eastAsia="Arial" w:hAnsi="Arial"/>
                <w:sz w:val="13"/>
                <w:szCs w:val="13"/>
                <w:b w:val="1"/>
                <w:bCs w:val="1"/>
                <w:color w:val="auto"/>
              </w:rPr>
              <w:t>Per Share</w:t>
            </w:r>
          </w:p>
        </w:tc>
        <w:tc>
          <w:tcPr>
            <w:tcW w:w="100" w:type="dxa"/>
            <w:vAlign w:val="bottom"/>
          </w:tcPr>
          <w:p>
            <w:pPr>
              <w:spacing w:after="0"/>
              <w:rPr>
                <w:sz w:val="14"/>
                <w:szCs w:val="14"/>
                <w:color w:val="auto"/>
              </w:rPr>
            </w:pPr>
          </w:p>
        </w:tc>
        <w:tc>
          <w:tcPr>
            <w:tcW w:w="1200" w:type="dxa"/>
            <w:vAlign w:val="bottom"/>
          </w:tcPr>
          <w:p>
            <w:pPr>
              <w:jc w:val="right"/>
              <w:ind w:right="5"/>
              <w:spacing w:after="0"/>
              <w:rPr>
                <w:sz w:val="20"/>
                <w:szCs w:val="20"/>
                <w:color w:val="auto"/>
              </w:rPr>
            </w:pPr>
            <w:r>
              <w:rPr>
                <w:rFonts w:ascii="Arial" w:cs="Arial" w:eastAsia="Arial" w:hAnsi="Arial"/>
                <w:sz w:val="13"/>
                <w:szCs w:val="13"/>
                <w:b w:val="1"/>
                <w:bCs w:val="1"/>
                <w:color w:val="auto"/>
              </w:rPr>
              <w:t>Amount</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ind w:left="100"/>
              <w:spacing w:after="0"/>
              <w:rPr>
                <w:sz w:val="20"/>
                <w:szCs w:val="20"/>
                <w:color w:val="auto"/>
              </w:rPr>
            </w:pPr>
            <w:r>
              <w:rPr>
                <w:rFonts w:ascii="Arial" w:cs="Arial" w:eastAsia="Arial" w:hAnsi="Arial"/>
                <w:sz w:val="13"/>
                <w:szCs w:val="13"/>
                <w:b w:val="1"/>
                <w:bCs w:val="1"/>
                <w:color w:val="auto"/>
              </w:rPr>
              <w:t>Per Share</w:t>
            </w:r>
          </w:p>
        </w:tc>
      </w:tr>
      <w:tr>
        <w:trPr>
          <w:trHeight w:val="211"/>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earnings per common share</w:t>
            </w: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2,614</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2.82</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005"/>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3,361</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center"/>
              <w:ind w:left="742"/>
              <w:spacing w:after="0"/>
              <w:rPr>
                <w:sz w:val="20"/>
                <w:szCs w:val="20"/>
                <w:color w:val="auto"/>
              </w:rPr>
            </w:pPr>
            <w:r>
              <w:rPr>
                <w:rFonts w:ascii="Arial" w:cs="Arial" w:eastAsia="Arial" w:hAnsi="Arial"/>
                <w:sz w:val="16"/>
                <w:szCs w:val="16"/>
                <w:color w:val="auto"/>
                <w:w w:val="96"/>
              </w:rPr>
              <w:t>3.35</w:t>
            </w:r>
          </w:p>
        </w:tc>
      </w:tr>
      <w:tr>
        <w:trPr>
          <w:trHeight w:val="215"/>
        </w:trPr>
        <w:tc>
          <w:tcPr>
            <w:tcW w:w="3900" w:type="dxa"/>
            <w:vAlign w:val="bottom"/>
          </w:tcPr>
          <w:p>
            <w:pPr>
              <w:ind w:left="20"/>
              <w:spacing w:after="0"/>
              <w:rPr>
                <w:sz w:val="20"/>
                <w:szCs w:val="20"/>
                <w:color w:val="auto"/>
              </w:rPr>
            </w:pPr>
            <w:r>
              <w:rPr>
                <w:rFonts w:ascii="Arial" w:cs="Arial" w:eastAsia="Arial" w:hAnsi="Arial"/>
                <w:sz w:val="16"/>
                <w:szCs w:val="16"/>
                <w:color w:val="auto"/>
              </w:rPr>
              <w:t>Adjustments(a)</w:t>
            </w:r>
          </w:p>
        </w:tc>
        <w:tc>
          <w:tcPr>
            <w:tcW w:w="360" w:type="dxa"/>
            <w:vAlign w:val="bottom"/>
          </w:tcPr>
          <w:p>
            <w:pPr>
              <w:spacing w:after="0"/>
              <w:rPr>
                <w:sz w:val="18"/>
                <w:szCs w:val="18"/>
                <w:color w:val="auto"/>
              </w:rPr>
            </w:pPr>
          </w:p>
        </w:tc>
        <w:tc>
          <w:tcPr>
            <w:tcW w:w="1380" w:type="dxa"/>
            <w:vAlign w:val="bottom"/>
          </w:tcPr>
          <w:p>
            <w:pPr>
              <w:jc w:val="right"/>
              <w:ind w:right="4"/>
              <w:spacing w:after="0"/>
              <w:rPr>
                <w:sz w:val="20"/>
                <w:szCs w:val="20"/>
                <w:color w:val="auto"/>
              </w:rPr>
            </w:pPr>
            <w:r>
              <w:rPr>
                <w:rFonts w:ascii="Arial" w:cs="Arial" w:eastAsia="Arial" w:hAnsi="Arial"/>
                <w:sz w:val="16"/>
                <w:szCs w:val="16"/>
                <w:color w:val="auto"/>
              </w:rPr>
              <w:t>999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jc w:val="right"/>
              <w:ind w:right="4"/>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tcPr>
          <w:p>
            <w:pPr>
              <w:jc w:val="center"/>
              <w:ind w:left="742"/>
              <w:spacing w:after="0"/>
              <w:rPr>
                <w:sz w:val="20"/>
                <w:szCs w:val="20"/>
                <w:color w:val="auto"/>
              </w:rPr>
            </w:pPr>
            <w:r>
              <w:rPr>
                <w:rFonts w:ascii="Arial" w:cs="Arial" w:eastAsia="Arial" w:hAnsi="Arial"/>
                <w:sz w:val="16"/>
                <w:szCs w:val="16"/>
                <w:color w:val="auto"/>
                <w:w w:val="96"/>
              </w:rPr>
              <w:t>0.03</w:t>
            </w:r>
          </w:p>
        </w:tc>
      </w:tr>
      <w:tr>
        <w:trPr>
          <w:trHeight w:val="217"/>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effect on adjustments(b)</w:t>
            </w: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80" w:type="dxa"/>
            <w:vAlign w:val="bottom"/>
            <w:shd w:val="clear" w:color="auto" w:fill="CCEEFF"/>
          </w:tcPr>
          <w:p>
            <w:pPr>
              <w:jc w:val="center"/>
              <w:ind w:left="722"/>
              <w:spacing w:after="0"/>
              <w:rPr>
                <w:sz w:val="20"/>
                <w:szCs w:val="20"/>
                <w:color w:val="auto"/>
              </w:rPr>
            </w:pPr>
            <w:r>
              <w:rPr>
                <w:rFonts w:ascii="Arial" w:cs="Arial" w:eastAsia="Arial" w:hAnsi="Arial"/>
                <w:sz w:val="16"/>
                <w:szCs w:val="16"/>
                <w:color w:val="auto"/>
              </w:rPr>
              <w:t>(0.01)</w:t>
            </w:r>
          </w:p>
        </w:tc>
      </w:tr>
      <w:tr>
        <w:trPr>
          <w:trHeight w:val="215"/>
        </w:trPr>
        <w:tc>
          <w:tcPr>
            <w:tcW w:w="3900" w:type="dxa"/>
            <w:vAlign w:val="bottom"/>
          </w:tcPr>
          <w:p>
            <w:pPr>
              <w:ind w:left="20"/>
              <w:spacing w:after="0"/>
              <w:rPr>
                <w:sz w:val="20"/>
                <w:szCs w:val="20"/>
                <w:color w:val="auto"/>
              </w:rPr>
            </w:pPr>
            <w:r>
              <w:rPr>
                <w:rFonts w:ascii="Arial" w:cs="Arial" w:eastAsia="Arial" w:hAnsi="Arial"/>
                <w:sz w:val="16"/>
                <w:szCs w:val="16"/>
                <w:color w:val="auto"/>
              </w:rPr>
              <w:t>Return from preferred shareholders(c)</w:t>
            </w:r>
          </w:p>
        </w:tc>
        <w:tc>
          <w:tcPr>
            <w:tcW w:w="3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(593)</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tcPr>
          <w:p>
            <w:pPr>
              <w:jc w:val="center"/>
              <w:ind w:left="722"/>
              <w:spacing w:after="0"/>
              <w:rPr>
                <w:sz w:val="20"/>
                <w:szCs w:val="20"/>
                <w:color w:val="auto"/>
              </w:rPr>
            </w:pPr>
            <w:r>
              <w:rPr>
                <w:rFonts w:ascii="Arial" w:cs="Arial" w:eastAsia="Arial" w:hAnsi="Arial"/>
                <w:sz w:val="16"/>
                <w:szCs w:val="16"/>
                <w:color w:val="auto"/>
              </w:rPr>
              <w:t>(0.59)</w:t>
            </w:r>
          </w:p>
        </w:tc>
      </w:tr>
      <w:tr>
        <w:trPr>
          <w:trHeight w:val="235"/>
        </w:trPr>
        <w:tc>
          <w:tcPr>
            <w:tcW w:w="3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EPS-diluted-adjusted</w:t>
            </w: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3,430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ind w:right="1005"/>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center"/>
              <w:ind w:left="742"/>
              <w:spacing w:after="0"/>
              <w:rPr>
                <w:sz w:val="20"/>
                <w:szCs w:val="20"/>
                <w:color w:val="auto"/>
              </w:rPr>
            </w:pPr>
            <w:r>
              <w:rPr>
                <w:rFonts w:ascii="Arial" w:cs="Arial" w:eastAsia="Arial" w:hAnsi="Arial"/>
                <w:sz w:val="16"/>
                <w:szCs w:val="16"/>
                <w:color w:val="auto"/>
                <w:w w:val="96"/>
              </w:rPr>
              <w:t>2.78</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Refer to the reconciliation of Net income (loss) attributable to stockholders to EBIT-adjusted and segment profit (loss) for adjustment details.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tax effect of each adjustment is determined based on the tax laws and valuation allowance status of the jurisdiction to which the adjustment relates.</w:t>
      </w:r>
    </w:p>
    <w:p>
      <w:pPr>
        <w:spacing w:after="0" w:line="15" w:lineRule="exact"/>
        <w:rPr>
          <w:rFonts w:ascii="Arial" w:cs="Arial" w:eastAsia="Arial" w:hAnsi="Arial"/>
          <w:sz w:val="14"/>
          <w:szCs w:val="14"/>
          <w:color w:val="auto"/>
        </w:rPr>
      </w:pPr>
    </w:p>
    <w:p>
      <w:pPr>
        <w:ind w:left="340" w:hanging="332"/>
        <w:spacing w:after="0" w:line="269"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4"/>
          <w:szCs w:val="14"/>
          <w:color w:val="auto"/>
        </w:rPr>
        <w:t>This adjustment consists of a return from the preferred shareholders related to the redemption of Cruise preferred shares from noncontrolling interest holders in the three months ended March 31, 2025.</w:t>
      </w:r>
    </w:p>
    <w:p>
      <w:pPr>
        <w:spacing w:after="0" w:line="29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reconciles our effective tax rate to ETR-adjusted (dollars in millions):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15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5"/>
          </w:tcPr>
          <w:p>
            <w:pPr>
              <w:ind w:left="1000"/>
              <w:spacing w:after="0"/>
              <w:rPr>
                <w:sz w:val="20"/>
                <w:szCs w:val="20"/>
                <w:color w:val="auto"/>
              </w:rPr>
            </w:pPr>
            <w:r>
              <w:rPr>
                <w:rFonts w:ascii="Arial" w:cs="Arial" w:eastAsia="Arial" w:hAnsi="Arial"/>
                <w:sz w:val="13"/>
                <w:szCs w:val="13"/>
                <w:b w:val="1"/>
                <w:bCs w:val="1"/>
                <w:color w:val="auto"/>
              </w:rPr>
              <w:t>Three Months Ended</w:t>
            </w: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31"/>
              <w:spacing w:after="0"/>
              <w:rPr>
                <w:sz w:val="20"/>
                <w:szCs w:val="20"/>
                <w:color w:val="auto"/>
              </w:rPr>
            </w:pPr>
            <w:r>
              <w:rPr>
                <w:rFonts w:ascii="Arial" w:cs="Arial" w:eastAsia="Arial" w:hAnsi="Arial"/>
                <w:sz w:val="13"/>
                <w:szCs w:val="13"/>
                <w:b w:val="1"/>
                <w:bCs w:val="1"/>
                <w:color w:val="auto"/>
              </w:rPr>
              <w:t>March 31, 2026</w:t>
            </w:r>
          </w:p>
        </w:tc>
        <w:tc>
          <w:tcPr>
            <w:tcW w:w="1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51"/>
              <w:spacing w:after="0"/>
              <w:rPr>
                <w:sz w:val="20"/>
                <w:szCs w:val="20"/>
                <w:color w:val="auto"/>
              </w:rPr>
            </w:pPr>
            <w:r>
              <w:rPr>
                <w:rFonts w:ascii="Arial" w:cs="Arial" w:eastAsia="Arial" w:hAnsi="Arial"/>
                <w:sz w:val="13"/>
                <w:szCs w:val="13"/>
                <w:b w:val="1"/>
                <w:bCs w:val="1"/>
                <w:color w:val="auto"/>
              </w:rPr>
              <w:t>March 31, 2025</w:t>
            </w: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1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60" w:type="dxa"/>
            <w:vAlign w:val="bottom"/>
            <w:gridSpan w:val="2"/>
          </w:tcPr>
          <w:p>
            <w:pPr>
              <w:jc w:val="center"/>
              <w:ind w:right="260"/>
              <w:spacing w:after="0" w:line="104" w:lineRule="exact"/>
              <w:rPr>
                <w:sz w:val="20"/>
                <w:szCs w:val="20"/>
                <w:color w:val="auto"/>
              </w:rPr>
            </w:pPr>
            <w:r>
              <w:rPr>
                <w:rFonts w:ascii="Arial" w:cs="Arial" w:eastAsia="Arial" w:hAnsi="Arial"/>
                <w:sz w:val="11"/>
                <w:szCs w:val="11"/>
                <w:b w:val="1"/>
                <w:bCs w:val="1"/>
                <w:color w:val="auto"/>
                <w:w w:val="99"/>
              </w:rPr>
              <w:t>Income before income</w:t>
            </w:r>
          </w:p>
        </w:tc>
        <w:tc>
          <w:tcPr>
            <w:tcW w:w="160" w:type="dxa"/>
            <w:vAlign w:val="bottom"/>
          </w:tcPr>
          <w:p>
            <w:pPr>
              <w:spacing w:after="0"/>
              <w:rPr>
                <w:sz w:val="9"/>
                <w:szCs w:val="9"/>
                <w:color w:val="auto"/>
              </w:rPr>
            </w:pPr>
          </w:p>
        </w:tc>
        <w:tc>
          <w:tcPr>
            <w:tcW w:w="1280" w:type="dxa"/>
            <w:vAlign w:val="bottom"/>
          </w:tcPr>
          <w:p>
            <w:pPr>
              <w:jc w:val="right"/>
              <w:ind w:right="131"/>
              <w:spacing w:after="0" w:line="104" w:lineRule="exact"/>
              <w:rPr>
                <w:sz w:val="20"/>
                <w:szCs w:val="20"/>
                <w:color w:val="auto"/>
              </w:rPr>
            </w:pPr>
            <w:r>
              <w:rPr>
                <w:rFonts w:ascii="Arial" w:cs="Arial" w:eastAsia="Arial" w:hAnsi="Arial"/>
                <w:sz w:val="11"/>
                <w:szCs w:val="11"/>
                <w:b w:val="1"/>
                <w:bCs w:val="1"/>
                <w:color w:val="auto"/>
              </w:rPr>
              <w:t>Income tax expense</w:t>
            </w:r>
          </w:p>
        </w:tc>
        <w:tc>
          <w:tcPr>
            <w:tcW w:w="140" w:type="dxa"/>
            <w:vAlign w:val="bottom"/>
          </w:tcPr>
          <w:p>
            <w:pPr>
              <w:spacing w:after="0"/>
              <w:rPr>
                <w:sz w:val="9"/>
                <w:szCs w:val="9"/>
                <w:color w:val="auto"/>
              </w:rPr>
            </w:pPr>
          </w:p>
        </w:tc>
        <w:tc>
          <w:tcPr>
            <w:tcW w:w="1680" w:type="dxa"/>
            <w:vAlign w:val="bottom"/>
            <w:gridSpan w:val="2"/>
            <w:vMerge w:val="restart"/>
          </w:tcPr>
          <w:p>
            <w:pPr>
              <w:ind w:left="360"/>
              <w:spacing w:after="0"/>
              <w:rPr>
                <w:sz w:val="20"/>
                <w:szCs w:val="20"/>
                <w:color w:val="auto"/>
              </w:rPr>
            </w:pPr>
            <w:r>
              <w:rPr>
                <w:rFonts w:ascii="Arial" w:cs="Arial" w:eastAsia="Arial" w:hAnsi="Arial"/>
                <w:sz w:val="11"/>
                <w:szCs w:val="11"/>
                <w:b w:val="1"/>
                <w:bCs w:val="1"/>
                <w:color w:val="auto"/>
              </w:rPr>
              <w:t>Effective tax rate</w:t>
            </w:r>
          </w:p>
        </w:tc>
        <w:tc>
          <w:tcPr>
            <w:tcW w:w="140" w:type="dxa"/>
            <w:vAlign w:val="bottom"/>
          </w:tcPr>
          <w:p>
            <w:pPr>
              <w:spacing w:after="0"/>
              <w:rPr>
                <w:sz w:val="9"/>
                <w:szCs w:val="9"/>
                <w:color w:val="auto"/>
              </w:rPr>
            </w:pPr>
          </w:p>
        </w:tc>
        <w:tc>
          <w:tcPr>
            <w:tcW w:w="1440" w:type="dxa"/>
            <w:vAlign w:val="bottom"/>
            <w:gridSpan w:val="2"/>
          </w:tcPr>
          <w:p>
            <w:pPr>
              <w:jc w:val="center"/>
              <w:ind w:right="220"/>
              <w:spacing w:after="0" w:line="104" w:lineRule="exact"/>
              <w:rPr>
                <w:sz w:val="20"/>
                <w:szCs w:val="20"/>
                <w:color w:val="auto"/>
              </w:rPr>
            </w:pPr>
            <w:r>
              <w:rPr>
                <w:rFonts w:ascii="Arial" w:cs="Arial" w:eastAsia="Arial" w:hAnsi="Arial"/>
                <w:sz w:val="11"/>
                <w:szCs w:val="11"/>
                <w:b w:val="1"/>
                <w:bCs w:val="1"/>
                <w:color w:val="auto"/>
                <w:w w:val="97"/>
              </w:rPr>
              <w:t>Income before income</w:t>
            </w:r>
          </w:p>
        </w:tc>
        <w:tc>
          <w:tcPr>
            <w:tcW w:w="160" w:type="dxa"/>
            <w:vAlign w:val="bottom"/>
          </w:tcPr>
          <w:p>
            <w:pPr>
              <w:spacing w:after="0"/>
              <w:rPr>
                <w:sz w:val="9"/>
                <w:szCs w:val="9"/>
                <w:color w:val="auto"/>
              </w:rPr>
            </w:pPr>
          </w:p>
        </w:tc>
        <w:tc>
          <w:tcPr>
            <w:tcW w:w="1300" w:type="dxa"/>
            <w:vAlign w:val="bottom"/>
          </w:tcPr>
          <w:p>
            <w:pPr>
              <w:jc w:val="right"/>
              <w:ind w:right="151"/>
              <w:spacing w:after="0" w:line="104" w:lineRule="exact"/>
              <w:rPr>
                <w:sz w:val="20"/>
                <w:szCs w:val="20"/>
                <w:color w:val="auto"/>
              </w:rPr>
            </w:pPr>
            <w:r>
              <w:rPr>
                <w:rFonts w:ascii="Arial" w:cs="Arial" w:eastAsia="Arial" w:hAnsi="Arial"/>
                <w:sz w:val="11"/>
                <w:szCs w:val="11"/>
                <w:b w:val="1"/>
                <w:bCs w:val="1"/>
                <w:color w:val="auto"/>
              </w:rPr>
              <w:t>Income tax expense</w:t>
            </w:r>
          </w:p>
        </w:tc>
        <w:tc>
          <w:tcPr>
            <w:tcW w:w="120" w:type="dxa"/>
            <w:vAlign w:val="bottom"/>
          </w:tcPr>
          <w:p>
            <w:pPr>
              <w:spacing w:after="0"/>
              <w:rPr>
                <w:sz w:val="9"/>
                <w:szCs w:val="9"/>
                <w:color w:val="auto"/>
              </w:rPr>
            </w:pPr>
          </w:p>
        </w:tc>
        <w:tc>
          <w:tcPr>
            <w:tcW w:w="1580" w:type="dxa"/>
            <w:vAlign w:val="bottom"/>
            <w:vMerge w:val="restart"/>
          </w:tcPr>
          <w:p>
            <w:pPr>
              <w:jc w:val="right"/>
              <w:ind w:right="293"/>
              <w:spacing w:after="0"/>
              <w:rPr>
                <w:sz w:val="20"/>
                <w:szCs w:val="20"/>
                <w:color w:val="auto"/>
              </w:rPr>
            </w:pPr>
            <w:r>
              <w:rPr>
                <w:rFonts w:ascii="Arial" w:cs="Arial" w:eastAsia="Arial" w:hAnsi="Arial"/>
                <w:sz w:val="11"/>
                <w:szCs w:val="11"/>
                <w:b w:val="1"/>
                <w:bCs w:val="1"/>
                <w:color w:val="auto"/>
              </w:rPr>
              <w:t>Effective tax rate</w:t>
            </w:r>
          </w:p>
        </w:tc>
        <w:tc>
          <w:tcPr>
            <w:tcW w:w="0" w:type="dxa"/>
            <w:vAlign w:val="bottom"/>
          </w:tcPr>
          <w:p>
            <w:pPr>
              <w:spacing w:after="0"/>
              <w:rPr>
                <w:sz w:val="1"/>
                <w:szCs w:val="1"/>
                <w:color w:val="auto"/>
              </w:rPr>
            </w:pPr>
          </w:p>
        </w:tc>
      </w:tr>
      <w:tr>
        <w:trPr>
          <w:trHeight w:val="155"/>
        </w:trPr>
        <w:tc>
          <w:tcPr>
            <w:tcW w:w="1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9"/>
              </w:rPr>
              <w:t>taxes</w:t>
            </w:r>
          </w:p>
        </w:tc>
        <w:tc>
          <w:tcPr>
            <w:tcW w:w="160" w:type="dxa"/>
            <w:vAlign w:val="bottom"/>
          </w:tcPr>
          <w:p>
            <w:pPr>
              <w:spacing w:after="0"/>
              <w:rPr>
                <w:sz w:val="13"/>
                <w:szCs w:val="13"/>
                <w:color w:val="auto"/>
              </w:rPr>
            </w:pPr>
          </w:p>
        </w:tc>
        <w:tc>
          <w:tcPr>
            <w:tcW w:w="1280" w:type="dxa"/>
            <w:vAlign w:val="bottom"/>
          </w:tcPr>
          <w:p>
            <w:pPr>
              <w:jc w:val="right"/>
              <w:ind w:right="431"/>
              <w:spacing w:after="0"/>
              <w:rPr>
                <w:sz w:val="20"/>
                <w:szCs w:val="20"/>
                <w:color w:val="auto"/>
              </w:rPr>
            </w:pPr>
            <w:r>
              <w:rPr>
                <w:rFonts w:ascii="Arial" w:cs="Arial" w:eastAsia="Arial" w:hAnsi="Arial"/>
                <w:sz w:val="11"/>
                <w:szCs w:val="11"/>
                <w:b w:val="1"/>
                <w:bCs w:val="1"/>
                <w:color w:val="auto"/>
              </w:rPr>
              <w:t>(benefit)</w:t>
            </w:r>
          </w:p>
        </w:tc>
        <w:tc>
          <w:tcPr>
            <w:tcW w:w="140" w:type="dxa"/>
            <w:vAlign w:val="bottom"/>
          </w:tcPr>
          <w:p>
            <w:pPr>
              <w:spacing w:after="0"/>
              <w:rPr>
                <w:sz w:val="13"/>
                <w:szCs w:val="13"/>
                <w:color w:val="auto"/>
              </w:rPr>
            </w:pPr>
          </w:p>
        </w:tc>
        <w:tc>
          <w:tcPr>
            <w:tcW w:w="1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9"/>
              </w:rPr>
              <w:t>taxes</w:t>
            </w:r>
          </w:p>
        </w:tc>
        <w:tc>
          <w:tcPr>
            <w:tcW w:w="160" w:type="dxa"/>
            <w:vAlign w:val="bottom"/>
          </w:tcPr>
          <w:p>
            <w:pPr>
              <w:spacing w:after="0"/>
              <w:rPr>
                <w:sz w:val="13"/>
                <w:szCs w:val="13"/>
                <w:color w:val="auto"/>
              </w:rPr>
            </w:pPr>
          </w:p>
        </w:tc>
        <w:tc>
          <w:tcPr>
            <w:tcW w:w="1300" w:type="dxa"/>
            <w:vAlign w:val="bottom"/>
          </w:tcPr>
          <w:p>
            <w:pPr>
              <w:jc w:val="right"/>
              <w:ind w:right="451"/>
              <w:spacing w:after="0"/>
              <w:rPr>
                <w:sz w:val="20"/>
                <w:szCs w:val="20"/>
                <w:color w:val="auto"/>
              </w:rPr>
            </w:pPr>
            <w:r>
              <w:rPr>
                <w:rFonts w:ascii="Arial" w:cs="Arial" w:eastAsia="Arial" w:hAnsi="Arial"/>
                <w:sz w:val="11"/>
                <w:szCs w:val="11"/>
                <w:b w:val="1"/>
                <w:bCs w:val="1"/>
                <w:color w:val="auto"/>
              </w:rPr>
              <w:t>(benefit)</w:t>
            </w:r>
          </w:p>
        </w:tc>
        <w:tc>
          <w:tcPr>
            <w:tcW w:w="12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Effective tax rate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3,347</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642</w:t>
            </w:r>
          </w:p>
        </w:tc>
        <w:tc>
          <w:tcPr>
            <w:tcW w:w="14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6"/>
                <w:szCs w:val="16"/>
                <w:color w:val="auto"/>
              </w:rPr>
              <w:t>3,572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719</w:t>
            </w:r>
          </w:p>
        </w:tc>
        <w:tc>
          <w:tcPr>
            <w:tcW w:w="1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20.1 %</w:t>
            </w:r>
          </w:p>
        </w:tc>
        <w:tc>
          <w:tcPr>
            <w:tcW w:w="0" w:type="dxa"/>
            <w:vAlign w:val="bottom"/>
          </w:tcPr>
          <w:p>
            <w:pPr>
              <w:spacing w:after="0"/>
              <w:rPr>
                <w:sz w:val="1"/>
                <w:szCs w:val="1"/>
                <w:color w:val="auto"/>
              </w:rPr>
            </w:pPr>
          </w:p>
        </w:tc>
      </w:tr>
      <w:tr>
        <w:trPr>
          <w:trHeight w:val="215"/>
        </w:trPr>
        <w:tc>
          <w:tcPr>
            <w:tcW w:w="1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Adjustments(a)</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999</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w:t>
            </w:r>
          </w:p>
        </w:tc>
        <w:tc>
          <w:tcPr>
            <w:tcW w:w="140" w:type="dxa"/>
            <w:vAlign w:val="bottom"/>
            <w:tcBorders>
              <w:bottom w:val="single" w:sz="8" w:color="CCEEFF"/>
            </w:tcBorders>
          </w:tcPr>
          <w:p>
            <w:pPr>
              <w:spacing w:after="0"/>
              <w:rPr>
                <w:sz w:val="18"/>
                <w:szCs w:val="18"/>
                <w:color w:val="auto"/>
              </w:rPr>
            </w:pPr>
          </w:p>
        </w:tc>
        <w:tc>
          <w:tcPr>
            <w:tcW w:w="15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tcPr>
          <w:p>
            <w:pPr>
              <w:spacing w:after="0"/>
              <w:rPr>
                <w:sz w:val="18"/>
                <w:szCs w:val="18"/>
                <w:color w:val="auto"/>
              </w:rPr>
            </w:pPr>
          </w:p>
        </w:tc>
        <w:tc>
          <w:tcPr>
            <w:tcW w:w="15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ETR-adjusted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4,346</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825</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19.0 %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6"/>
                <w:szCs w:val="16"/>
                <w:color w:val="auto"/>
              </w:rPr>
              <w:t>3,598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725</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20.1 %</w:t>
            </w: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5" w:lineRule="exact"/>
        <w:rPr>
          <w:sz w:val="20"/>
          <w:szCs w:val="20"/>
          <w:color w:val="auto"/>
        </w:rPr>
      </w:pPr>
    </w:p>
    <w:p>
      <w:pPr>
        <w:jc w:val="both"/>
        <w:ind w:left="340" w:hanging="332"/>
        <w:spacing w:after="0" w:line="272" w:lineRule="auto"/>
        <w:tabs>
          <w:tab w:leader="none" w:pos="327"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Refer to the reconciliation of Net income (loss) attributable to stockholders to EBIT-adjusted and segment profit (loss) for adjustment details. These adjustments include Net income attributable to noncontrolling interests where applicable. The tax effect of each adjustment is determined based on the tax laws and valuation allowance status of the jurisdiction to which the adjustment relates.</w:t>
      </w:r>
    </w:p>
    <w:p>
      <w:pPr>
        <w:spacing w:after="0" w:line="284" w:lineRule="exact"/>
        <w:rPr>
          <w:sz w:val="20"/>
          <w:szCs w:val="20"/>
          <w:color w:val="auto"/>
        </w:rPr>
      </w:pPr>
    </w:p>
    <w:p>
      <w:pPr>
        <w:jc w:val="both"/>
        <w:ind w:right="20" w:firstLine="162"/>
        <w:spacing w:after="0" w:line="275" w:lineRule="auto"/>
        <w:rPr>
          <w:sz w:val="20"/>
          <w:szCs w:val="20"/>
          <w:color w:val="auto"/>
        </w:rPr>
      </w:pPr>
      <w:r>
        <w:rPr>
          <w:rFonts w:ascii="Arial" w:cs="Arial" w:eastAsia="Arial" w:hAnsi="Arial"/>
          <w:sz w:val="16"/>
          <w:szCs w:val="16"/>
          <w:color w:val="auto"/>
        </w:rPr>
        <w:t>We define return on equity (ROE) as Net income (loss) attributable to stockholders for the trailing four quarters divided by average equity for the same period. Management uses average equity to provide comparable amounts in the calculation of ROE. The following table summarizes the calculation of ROE (dollars in billions):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4"/>
          </w:tcPr>
          <w:p>
            <w:pPr>
              <w:jc w:val="right"/>
              <w:ind w:right="1104"/>
              <w:spacing w:after="0"/>
              <w:rPr>
                <w:sz w:val="20"/>
                <w:szCs w:val="20"/>
                <w:color w:val="auto"/>
              </w:rPr>
            </w:pPr>
            <w:r>
              <w:rPr>
                <w:rFonts w:ascii="Arial" w:cs="Arial" w:eastAsia="Arial" w:hAnsi="Arial"/>
                <w:sz w:val="13"/>
                <w:szCs w:val="13"/>
                <w:b w:val="1"/>
                <w:bCs w:val="1"/>
                <w:color w:val="auto"/>
              </w:rPr>
              <w:t>Four Quarters Ended</w:t>
            </w:r>
          </w:p>
        </w:tc>
      </w:tr>
      <w:tr>
        <w:trPr>
          <w:trHeight w:val="171"/>
        </w:trPr>
        <w:tc>
          <w:tcPr>
            <w:tcW w:w="7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2"/>
          </w:tcPr>
          <w:p>
            <w:pPr>
              <w:ind w:left="160"/>
              <w:spacing w:after="0"/>
              <w:rPr>
                <w:sz w:val="20"/>
                <w:szCs w:val="20"/>
                <w:color w:val="auto"/>
              </w:rPr>
            </w:pPr>
            <w:r>
              <w:rPr>
                <w:rFonts w:ascii="Arial" w:cs="Arial" w:eastAsia="Arial" w:hAnsi="Arial"/>
                <w:sz w:val="13"/>
                <w:szCs w:val="13"/>
                <w:b w:val="1"/>
                <w:bCs w:val="1"/>
                <w:color w:val="auto"/>
              </w:rPr>
              <w:t>March 31, 2026</w:t>
            </w:r>
          </w:p>
        </w:tc>
        <w:tc>
          <w:tcPr>
            <w:tcW w:w="280" w:type="dxa"/>
            <w:vAlign w:val="bottom"/>
          </w:tcPr>
          <w:p>
            <w:pPr>
              <w:spacing w:after="0"/>
              <w:rPr>
                <w:sz w:val="14"/>
                <w:szCs w:val="14"/>
                <w:color w:val="auto"/>
              </w:rPr>
            </w:pPr>
          </w:p>
        </w:tc>
        <w:tc>
          <w:tcPr>
            <w:tcW w:w="1480" w:type="dxa"/>
            <w:vAlign w:val="bottom"/>
          </w:tcPr>
          <w:p>
            <w:pPr>
              <w:jc w:val="right"/>
              <w:ind w:right="344"/>
              <w:spacing w:after="0"/>
              <w:rPr>
                <w:sz w:val="20"/>
                <w:szCs w:val="20"/>
                <w:color w:val="auto"/>
              </w:rPr>
            </w:pPr>
            <w:r>
              <w:rPr>
                <w:rFonts w:ascii="Arial" w:cs="Arial" w:eastAsia="Arial" w:hAnsi="Arial"/>
                <w:sz w:val="13"/>
                <w:szCs w:val="13"/>
                <w:b w:val="1"/>
                <w:bCs w:val="1"/>
                <w:color w:val="auto"/>
              </w:rPr>
              <w:t>March 31, 2025</w:t>
            </w:r>
          </w:p>
        </w:tc>
      </w:tr>
      <w:tr>
        <w:trPr>
          <w:trHeight w:val="211"/>
        </w:trPr>
        <w:tc>
          <w:tcPr>
            <w:tcW w:w="7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stockholders</w:t>
            </w: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shd w:val="clear" w:color="auto" w:fill="CCEEFF"/>
          </w:tcPr>
          <w:p>
            <w:pPr>
              <w:jc w:val="right"/>
              <w:ind w:right="126"/>
              <w:spacing w:after="0"/>
              <w:rPr>
                <w:sz w:val="20"/>
                <w:szCs w:val="20"/>
                <w:color w:val="auto"/>
              </w:rPr>
            </w:pPr>
            <w:r>
              <w:rPr>
                <w:rFonts w:ascii="Arial" w:cs="Arial" w:eastAsia="Arial" w:hAnsi="Arial"/>
                <w:sz w:val="16"/>
                <w:szCs w:val="16"/>
                <w:color w:val="auto"/>
              </w:rPr>
              <w:t>2.5</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6"/>
                <w:szCs w:val="16"/>
                <w:color w:val="auto"/>
              </w:rPr>
              <w:t>5.8</w:t>
            </w:r>
          </w:p>
        </w:tc>
      </w:tr>
      <w:tr>
        <w:trPr>
          <w:trHeight w:val="215"/>
        </w:trPr>
        <w:tc>
          <w:tcPr>
            <w:tcW w:w="7620" w:type="dxa"/>
            <w:vAlign w:val="bottom"/>
          </w:tcPr>
          <w:p>
            <w:pPr>
              <w:ind w:left="20"/>
              <w:spacing w:after="0"/>
              <w:rPr>
                <w:sz w:val="20"/>
                <w:szCs w:val="20"/>
                <w:color w:val="auto"/>
              </w:rPr>
            </w:pPr>
            <w:r>
              <w:rPr>
                <w:rFonts w:ascii="Arial" w:cs="Arial" w:eastAsia="Arial" w:hAnsi="Arial"/>
                <w:sz w:val="16"/>
                <w:szCs w:val="16"/>
                <w:color w:val="auto"/>
              </w:rPr>
              <w:t>Average equity(a)</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26"/>
              <w:spacing w:after="0"/>
              <w:rPr>
                <w:sz w:val="20"/>
                <w:szCs w:val="20"/>
                <w:color w:val="auto"/>
              </w:rPr>
            </w:pPr>
            <w:r>
              <w:rPr>
                <w:rFonts w:ascii="Arial" w:cs="Arial" w:eastAsia="Arial" w:hAnsi="Arial"/>
                <w:sz w:val="16"/>
                <w:szCs w:val="16"/>
                <w:color w:val="auto"/>
              </w:rPr>
              <w:t>64.1</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24"/>
              <w:spacing w:after="0"/>
              <w:rPr>
                <w:sz w:val="20"/>
                <w:szCs w:val="20"/>
                <w:color w:val="auto"/>
              </w:rPr>
            </w:pPr>
            <w:r>
              <w:rPr>
                <w:rFonts w:ascii="Arial" w:cs="Arial" w:eastAsia="Arial" w:hAnsi="Arial"/>
                <w:sz w:val="16"/>
                <w:szCs w:val="16"/>
                <w:color w:val="auto"/>
              </w:rPr>
              <w:t>67.9</w:t>
            </w:r>
          </w:p>
        </w:tc>
      </w:tr>
      <w:tr>
        <w:trPr>
          <w:trHeight w:val="217"/>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ROE</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8.6 %</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(a)</w:t>
        <w:tab/>
        <w:t>Includes equity of noncontrolling interests where the corresponding earnings (loss) are included in Net income attributable to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61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jc w:val="center"/>
        <w:spacing w:after="0" w:line="222" w:lineRule="auto"/>
        <w:rPr>
          <w:sz w:val="20"/>
          <w:szCs w:val="20"/>
          <w:color w:val="auto"/>
        </w:rPr>
      </w:pPr>
      <w:r>
        <w:rPr>
          <w:rFonts w:ascii="Arial" w:cs="Arial" w:eastAsia="Arial" w:hAnsi="Arial"/>
          <w:sz w:val="16"/>
          <w:szCs w:val="16"/>
          <w:b w:val="1"/>
          <w:bCs w:val="1"/>
          <w:color w:val="auto"/>
        </w:rPr>
        <w:t>Supplemental Material</w:t>
      </w:r>
      <w:r>
        <w:rPr>
          <w:rFonts w:ascii="Arial" w:cs="Arial" w:eastAsia="Arial" w:hAnsi="Arial"/>
          <w:sz w:val="21"/>
          <w:szCs w:val="21"/>
          <w:b w:val="1"/>
          <w:bCs w:val="1"/>
          <w:color w:val="auto"/>
          <w:vertAlign w:val="superscript"/>
        </w:rPr>
        <w:t>1</w:t>
      </w:r>
    </w:p>
    <w:p>
      <w:pPr>
        <w:jc w:val="center"/>
        <w:spacing w:after="0"/>
        <w:rPr>
          <w:sz w:val="20"/>
          <w:szCs w:val="20"/>
          <w:color w:val="auto"/>
        </w:rPr>
      </w:pPr>
      <w:r>
        <w:rPr>
          <w:rFonts w:ascii="Arial" w:cs="Arial" w:eastAsia="Arial" w:hAnsi="Arial"/>
          <w:sz w:val="16"/>
          <w:szCs w:val="16"/>
          <w:i w:val="1"/>
          <w:iCs w:val="1"/>
          <w:color w:val="auto"/>
        </w:rPr>
        <w:t>(Unaudited)</w:t>
      </w:r>
    </w:p>
    <w:p>
      <w:pPr>
        <w:spacing w:after="0" w:line="38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summarizes the calculation of ROIC-adjusted (dollars in billions):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gridSpan w:val="4"/>
          </w:tcPr>
          <w:p>
            <w:pPr>
              <w:jc w:val="right"/>
              <w:ind w:right="1000"/>
              <w:spacing w:after="0"/>
              <w:rPr>
                <w:sz w:val="20"/>
                <w:szCs w:val="20"/>
                <w:color w:val="auto"/>
              </w:rPr>
            </w:pPr>
            <w:r>
              <w:rPr>
                <w:rFonts w:ascii="Arial" w:cs="Arial" w:eastAsia="Arial" w:hAnsi="Arial"/>
                <w:sz w:val="14"/>
                <w:szCs w:val="14"/>
                <w:b w:val="1"/>
                <w:bCs w:val="1"/>
                <w:color w:val="auto"/>
              </w:rPr>
              <w:t>Four Quarters Ended</w:t>
            </w:r>
          </w:p>
        </w:tc>
      </w:tr>
      <w:tr>
        <w:trPr>
          <w:trHeight w:val="196"/>
        </w:trPr>
        <w:tc>
          <w:tcPr>
            <w:tcW w:w="7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2026</w:t>
            </w:r>
          </w:p>
        </w:tc>
        <w:tc>
          <w:tcPr>
            <w:tcW w:w="240" w:type="dxa"/>
            <w:vAlign w:val="bottom"/>
          </w:tcPr>
          <w:p>
            <w:pPr>
              <w:spacing w:after="0"/>
              <w:rPr>
                <w:sz w:val="17"/>
                <w:szCs w:val="17"/>
                <w:color w:val="auto"/>
              </w:rPr>
            </w:pPr>
          </w:p>
        </w:tc>
        <w:tc>
          <w:tcPr>
            <w:tcW w:w="1520" w:type="dxa"/>
            <w:vAlign w:val="bottom"/>
          </w:tcPr>
          <w:p>
            <w:pPr>
              <w:jc w:val="right"/>
              <w:ind w:right="280"/>
              <w:spacing w:after="0"/>
              <w:rPr>
                <w:sz w:val="20"/>
                <w:szCs w:val="20"/>
                <w:color w:val="auto"/>
              </w:rPr>
            </w:pPr>
            <w:r>
              <w:rPr>
                <w:rFonts w:ascii="Arial" w:cs="Arial" w:eastAsia="Arial" w:hAnsi="Arial"/>
                <w:sz w:val="14"/>
                <w:szCs w:val="14"/>
                <w:b w:val="1"/>
                <w:bCs w:val="1"/>
                <w:color w:val="auto"/>
              </w:rPr>
              <w:t>March 31, 2025</w:t>
            </w:r>
          </w:p>
        </w:tc>
      </w:tr>
      <w:tr>
        <w:trPr>
          <w:trHeight w:val="211"/>
        </w:trPr>
        <w:tc>
          <w:tcPr>
            <w:tcW w:w="7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EBIT-adjusted(a)</w:t>
            </w: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13.5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14.6</w:t>
            </w:r>
          </w:p>
        </w:tc>
      </w:tr>
      <w:tr>
        <w:trPr>
          <w:trHeight w:val="215"/>
        </w:trPr>
        <w:tc>
          <w:tcPr>
            <w:tcW w:w="7620" w:type="dxa"/>
            <w:vAlign w:val="bottom"/>
          </w:tcPr>
          <w:p>
            <w:pPr>
              <w:ind w:left="20"/>
              <w:spacing w:after="0"/>
              <w:rPr>
                <w:sz w:val="20"/>
                <w:szCs w:val="20"/>
                <w:color w:val="auto"/>
              </w:rPr>
            </w:pPr>
            <w:r>
              <w:rPr>
                <w:rFonts w:ascii="Arial" w:cs="Arial" w:eastAsia="Arial" w:hAnsi="Arial"/>
                <w:sz w:val="16"/>
                <w:szCs w:val="16"/>
                <w:color w:val="auto"/>
              </w:rPr>
              <w:t>Average equity(b)</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21"/>
              <w:spacing w:after="0"/>
              <w:rPr>
                <w:sz w:val="20"/>
                <w:szCs w:val="20"/>
                <w:color w:val="auto"/>
              </w:rPr>
            </w:pPr>
            <w:r>
              <w:rPr>
                <w:rFonts w:ascii="Arial" w:cs="Arial" w:eastAsia="Arial" w:hAnsi="Arial"/>
                <w:sz w:val="16"/>
                <w:szCs w:val="16"/>
                <w:color w:val="auto"/>
              </w:rPr>
              <w:t>64.1</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20"/>
              <w:spacing w:after="0"/>
              <w:rPr>
                <w:sz w:val="20"/>
                <w:szCs w:val="20"/>
                <w:color w:val="auto"/>
              </w:rPr>
            </w:pPr>
            <w:r>
              <w:rPr>
                <w:rFonts w:ascii="Arial" w:cs="Arial" w:eastAsia="Arial" w:hAnsi="Arial"/>
                <w:sz w:val="16"/>
                <w:szCs w:val="16"/>
                <w:color w:val="auto"/>
              </w:rPr>
              <w:t>67.9</w:t>
            </w:r>
          </w:p>
        </w:tc>
      </w:tr>
      <w:tr>
        <w:trPr>
          <w:trHeight w:val="217"/>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Average automotive debt and interest liabilities (excluding finance leases)</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16.3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16.0</w:t>
            </w:r>
          </w:p>
        </w:tc>
      </w:tr>
      <w:tr>
        <w:trPr>
          <w:trHeight w:val="215"/>
        </w:trPr>
        <w:tc>
          <w:tcPr>
            <w:tcW w:w="7620" w:type="dxa"/>
            <w:vAlign w:val="bottom"/>
          </w:tcPr>
          <w:p>
            <w:pPr>
              <w:ind w:left="20"/>
              <w:spacing w:after="0"/>
              <w:rPr>
                <w:sz w:val="20"/>
                <w:szCs w:val="20"/>
                <w:color w:val="auto"/>
              </w:rPr>
            </w:pPr>
            <w:r>
              <w:rPr>
                <w:rFonts w:ascii="Arial" w:cs="Arial" w:eastAsia="Arial" w:hAnsi="Arial"/>
                <w:sz w:val="16"/>
                <w:szCs w:val="16"/>
                <w:color w:val="auto"/>
              </w:rPr>
              <w:t>Add: Average automotive net pension and OPEB liability</w:t>
            </w:r>
          </w:p>
        </w:tc>
        <w:tc>
          <w:tcPr>
            <w:tcW w:w="240" w:type="dxa"/>
            <w:vAlign w:val="bottom"/>
          </w:tcPr>
          <w:p>
            <w:pPr>
              <w:spacing w:after="0"/>
              <w:rPr>
                <w:sz w:val="18"/>
                <w:szCs w:val="18"/>
                <w:color w:val="auto"/>
              </w:rPr>
            </w:pPr>
          </w:p>
        </w:tc>
        <w:tc>
          <w:tcPr>
            <w:tcW w:w="1520" w:type="dxa"/>
            <w:vAlign w:val="bottom"/>
          </w:tcPr>
          <w:p>
            <w:pPr>
              <w:jc w:val="right"/>
              <w:ind w:right="121"/>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ind w:right="120"/>
              <w:spacing w:after="0"/>
              <w:rPr>
                <w:sz w:val="20"/>
                <w:szCs w:val="20"/>
                <w:color w:val="auto"/>
              </w:rPr>
            </w:pPr>
            <w:r>
              <w:rPr>
                <w:rFonts w:ascii="Arial" w:cs="Arial" w:eastAsia="Arial" w:hAnsi="Arial"/>
                <w:sz w:val="16"/>
                <w:szCs w:val="16"/>
                <w:color w:val="auto"/>
              </w:rPr>
              <w:t>9.1</w:t>
            </w:r>
          </w:p>
        </w:tc>
      </w:tr>
      <w:tr>
        <w:trPr>
          <w:trHeight w:val="216"/>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Average automotive net income tax asset</w:t>
            </w: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(23.7)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(22.7)</w:t>
            </w:r>
          </w:p>
        </w:tc>
      </w:tr>
      <w:tr>
        <w:trPr>
          <w:trHeight w:val="210"/>
        </w:trPr>
        <w:tc>
          <w:tcPr>
            <w:tcW w:w="7620" w:type="dxa"/>
            <w:vAlign w:val="bottom"/>
          </w:tcPr>
          <w:p>
            <w:pPr>
              <w:ind w:left="20"/>
              <w:spacing w:after="0"/>
              <w:rPr>
                <w:sz w:val="20"/>
                <w:szCs w:val="20"/>
                <w:color w:val="auto"/>
              </w:rPr>
            </w:pPr>
            <w:r>
              <w:rPr>
                <w:rFonts w:ascii="Arial" w:cs="Arial" w:eastAsia="Arial" w:hAnsi="Arial"/>
                <w:sz w:val="16"/>
                <w:szCs w:val="16"/>
                <w:color w:val="auto"/>
              </w:rPr>
              <w:t>ROIC-adjusted average net assets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65.0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70.2</w:t>
            </w: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10"/>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ROIC-adjusted</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20.7 %</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Refer to the reconciliation of Net income (loss) attributable to stockholders to EBIT-adjusted and segment profit (loss) for adjustment details.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equity of noncontrolling interests where the corresponding earnings (loss) are included in EBIT-adjusted.</w:t>
      </w:r>
    </w:p>
    <w:p>
      <w:pPr>
        <w:spacing w:after="0" w:line="23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reconciles Net automotive cash provided by operating activities to adjusted automotive free cash flow (dollars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60" w:type="dxa"/>
            <w:vAlign w:val="bottom"/>
          </w:tcPr>
          <w:p>
            <w:pPr>
              <w:spacing w:after="0"/>
              <w:rPr>
                <w:sz w:val="17"/>
                <w:szCs w:val="17"/>
                <w:color w:val="auto"/>
              </w:rPr>
            </w:pPr>
          </w:p>
        </w:tc>
        <w:tc>
          <w:tcPr>
            <w:tcW w:w="21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Three Months Ended</w:t>
            </w:r>
          </w:p>
        </w:tc>
        <w:tc>
          <w:tcPr>
            <w:tcW w:w="2140" w:type="dxa"/>
            <w:vAlign w:val="bottom"/>
            <w:tcBorders>
              <w:bottom w:val="single" w:sz="8" w:color="auto"/>
            </w:tcBorders>
          </w:tcPr>
          <w:p>
            <w:pPr>
              <w:spacing w:after="0"/>
              <w:rPr>
                <w:sz w:val="17"/>
                <w:szCs w:val="17"/>
                <w:color w:val="auto"/>
              </w:rPr>
            </w:pPr>
          </w:p>
        </w:tc>
      </w:tr>
      <w:tr>
        <w:trPr>
          <w:trHeight w:val="196"/>
        </w:trPr>
        <w:tc>
          <w:tcPr>
            <w:tcW w:w="5260" w:type="dxa"/>
            <w:vAlign w:val="bottom"/>
            <w:tcBorders>
              <w:bottom w:val="single" w:sz="8" w:color="CCEEFF"/>
            </w:tcBorders>
          </w:tcPr>
          <w:p>
            <w:pPr>
              <w:spacing w:after="0"/>
              <w:rPr>
                <w:sz w:val="17"/>
                <w:szCs w:val="17"/>
                <w:color w:val="auto"/>
              </w:rPr>
            </w:pPr>
          </w:p>
        </w:tc>
        <w:tc>
          <w:tcPr>
            <w:tcW w:w="214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March 31, 2026</w:t>
            </w: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right"/>
              <w:ind w:right="880"/>
              <w:spacing w:after="0"/>
              <w:rPr>
                <w:sz w:val="20"/>
                <w:szCs w:val="20"/>
                <w:color w:val="auto"/>
              </w:rPr>
            </w:pPr>
            <w:r>
              <w:rPr>
                <w:rFonts w:ascii="Arial" w:cs="Arial" w:eastAsia="Arial" w:hAnsi="Arial"/>
                <w:sz w:val="14"/>
                <w:szCs w:val="14"/>
                <w:b w:val="1"/>
                <w:bCs w:val="1"/>
                <w:color w:val="auto"/>
              </w:rPr>
              <w:t>March 31, 2025</w:t>
            </w:r>
          </w:p>
        </w:tc>
      </w:tr>
      <w:tr>
        <w:trPr>
          <w:trHeight w:val="211"/>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automotive cash provided by operating activities</w:t>
            </w:r>
          </w:p>
        </w:tc>
        <w:tc>
          <w:tcPr>
            <w:tcW w:w="2140" w:type="dxa"/>
            <w:vAlign w:val="bottom"/>
            <w:shd w:val="clear" w:color="auto" w:fill="CCEEFF"/>
          </w:tcPr>
          <w:p>
            <w:pPr>
              <w:jc w:val="right"/>
              <w:ind w:right="1962"/>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w w:val="89"/>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2,404</w:t>
            </w:r>
          </w:p>
        </w:tc>
      </w:tr>
      <w:tr>
        <w:trPr>
          <w:trHeight w:val="215"/>
        </w:trPr>
        <w:tc>
          <w:tcPr>
            <w:tcW w:w="5260" w:type="dxa"/>
            <w:vAlign w:val="bottom"/>
          </w:tcPr>
          <w:p>
            <w:pPr>
              <w:ind w:left="20"/>
              <w:spacing w:after="0"/>
              <w:rPr>
                <w:sz w:val="20"/>
                <w:szCs w:val="20"/>
                <w:color w:val="auto"/>
              </w:rPr>
            </w:pPr>
            <w:r>
              <w:rPr>
                <w:rFonts w:ascii="Arial" w:cs="Arial" w:eastAsia="Arial" w:hAnsi="Arial"/>
                <w:sz w:val="16"/>
                <w:szCs w:val="16"/>
                <w:color w:val="auto"/>
              </w:rPr>
              <w:t>Less: Capital expenditures</w:t>
            </w:r>
          </w:p>
        </w:tc>
        <w:tc>
          <w:tcPr>
            <w:tcW w:w="2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(1,500)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(1,809)</w:t>
            </w:r>
          </w:p>
        </w:tc>
      </w:tr>
      <w:tr>
        <w:trPr>
          <w:trHeight w:val="217"/>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EV strategic realignment</w:t>
            </w:r>
          </w:p>
        </w:tc>
        <w:tc>
          <w:tcPr>
            <w:tcW w:w="2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5260" w:type="dxa"/>
            <w:vAlign w:val="bottom"/>
          </w:tcPr>
          <w:p>
            <w:pPr>
              <w:ind w:left="20"/>
              <w:spacing w:after="0"/>
              <w:rPr>
                <w:sz w:val="20"/>
                <w:szCs w:val="20"/>
                <w:color w:val="auto"/>
              </w:rPr>
            </w:pPr>
            <w:r>
              <w:rPr>
                <w:rFonts w:ascii="Arial" w:cs="Arial" w:eastAsia="Arial" w:hAnsi="Arial"/>
                <w:sz w:val="16"/>
                <w:szCs w:val="16"/>
                <w:color w:val="auto"/>
              </w:rPr>
              <w:t>Add: GMI exit costs</w:t>
            </w:r>
          </w:p>
        </w:tc>
        <w:tc>
          <w:tcPr>
            <w:tcW w:w="2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7"/>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Buick dealer strategy</w:t>
            </w:r>
          </w:p>
        </w:tc>
        <w:tc>
          <w:tcPr>
            <w:tcW w:w="2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r>
      <w:tr>
        <w:trPr>
          <w:trHeight w:val="215"/>
        </w:trPr>
        <w:tc>
          <w:tcPr>
            <w:tcW w:w="5260" w:type="dxa"/>
            <w:vAlign w:val="bottom"/>
          </w:tcPr>
          <w:p>
            <w:pPr>
              <w:ind w:left="20"/>
              <w:spacing w:after="0"/>
              <w:rPr>
                <w:sz w:val="20"/>
                <w:szCs w:val="20"/>
                <w:color w:val="auto"/>
              </w:rPr>
            </w:pPr>
            <w:r>
              <w:rPr>
                <w:rFonts w:ascii="Arial" w:cs="Arial" w:eastAsia="Arial" w:hAnsi="Arial"/>
                <w:sz w:val="16"/>
                <w:szCs w:val="16"/>
                <w:color w:val="auto"/>
              </w:rPr>
              <w:t>Add: Separation costs</w:t>
            </w:r>
          </w:p>
        </w:tc>
        <w:tc>
          <w:tcPr>
            <w:tcW w:w="2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35"/>
        </w:trPr>
        <w:tc>
          <w:tcPr>
            <w:tcW w:w="5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automotive free cash flow</w:t>
            </w:r>
          </w:p>
        </w:tc>
        <w:tc>
          <w:tcPr>
            <w:tcW w:w="2140" w:type="dxa"/>
            <w:vAlign w:val="bottom"/>
            <w:tcBorders>
              <w:top w:val="single" w:sz="8" w:color="auto"/>
              <w:bottom w:val="single" w:sz="8" w:color="auto"/>
            </w:tcBorders>
            <w:shd w:val="clear" w:color="auto" w:fill="CCEEFF"/>
          </w:tcPr>
          <w:p>
            <w:pPr>
              <w:jc w:val="right"/>
              <w:ind w:right="1962"/>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w w:val="89"/>
              </w:rPr>
              <w:t>$</w:t>
            </w:r>
          </w:p>
        </w:tc>
        <w:tc>
          <w:tcPr>
            <w:tcW w:w="2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811</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61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jc w:val="center"/>
        <w:spacing w:after="0" w:line="222" w:lineRule="auto"/>
        <w:rPr>
          <w:sz w:val="20"/>
          <w:szCs w:val="20"/>
          <w:color w:val="auto"/>
        </w:rPr>
      </w:pPr>
      <w:r>
        <w:rPr>
          <w:rFonts w:ascii="Arial" w:cs="Arial" w:eastAsia="Arial" w:hAnsi="Arial"/>
          <w:sz w:val="16"/>
          <w:szCs w:val="16"/>
          <w:b w:val="1"/>
          <w:bCs w:val="1"/>
          <w:color w:val="auto"/>
        </w:rPr>
        <w:t>Supplemental Material</w:t>
      </w:r>
      <w:r>
        <w:rPr>
          <w:rFonts w:ascii="Arial" w:cs="Arial" w:eastAsia="Arial" w:hAnsi="Arial"/>
          <w:sz w:val="21"/>
          <w:szCs w:val="21"/>
          <w:b w:val="1"/>
          <w:bCs w:val="1"/>
          <w:color w:val="auto"/>
          <w:vertAlign w:val="superscript"/>
        </w:rPr>
        <w:t>1</w:t>
      </w:r>
    </w:p>
    <w:p>
      <w:pPr>
        <w:jc w:val="center"/>
        <w:spacing w:after="0"/>
        <w:rPr>
          <w:sz w:val="20"/>
          <w:szCs w:val="20"/>
          <w:color w:val="auto"/>
        </w:rPr>
      </w:pPr>
      <w:r>
        <w:rPr>
          <w:rFonts w:ascii="Arial" w:cs="Arial" w:eastAsia="Arial" w:hAnsi="Arial"/>
          <w:sz w:val="16"/>
          <w:szCs w:val="16"/>
          <w:i w:val="1"/>
          <w:iCs w:val="1"/>
          <w:color w:val="auto"/>
        </w:rPr>
        <w:t>(Unaudited)</w:t>
      </w: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Vehicle Sales</w:t>
      </w:r>
    </w:p>
    <w:p>
      <w:pPr>
        <w:spacing w:after="0" w:line="248" w:lineRule="exact"/>
        <w:rPr>
          <w:sz w:val="20"/>
          <w:szCs w:val="20"/>
          <w:color w:val="auto"/>
        </w:rPr>
      </w:pPr>
    </w:p>
    <w:p>
      <w:pPr>
        <w:jc w:val="both"/>
        <w:ind w:firstLine="162"/>
        <w:spacing w:after="0" w:line="265" w:lineRule="auto"/>
        <w:rPr>
          <w:sz w:val="20"/>
          <w:szCs w:val="20"/>
          <w:color w:val="auto"/>
        </w:rPr>
      </w:pPr>
      <w:r>
        <w:rPr>
          <w:rFonts w:ascii="Arial" w:cs="Arial" w:eastAsia="Arial" w:hAnsi="Arial"/>
          <w:sz w:val="16"/>
          <w:szCs w:val="16"/>
          <w:color w:val="auto"/>
        </w:rPr>
        <w:t>GM presents both wholesale and total vehicle sales data to assist in the analysis of our revenue and market share. Wholesale vehicle sales data consists of sales to GM's dealers and distributors as well as sales to the U.S. Government, and excludes vehicles sold by our joint ventures. Wholesale vehicle sales data correlates to GM's revenue recognized from the sale of vehicles, which is the largest component of Automotive net sales and revenue. In the three months ended March 31, 2026, 24.9% of GM's wholesale vehicle sales volume was generated outside the U.S. The following table summarizes wholesale vehicle sales by our Automotive operations (vehicles in thousands):</w:t>
      </w:r>
    </w:p>
    <w:p>
      <w:pPr>
        <w:spacing w:after="0" w:line="96" w:lineRule="exact"/>
        <w:rPr>
          <w:sz w:val="20"/>
          <w:szCs w:val="20"/>
          <w:color w:val="auto"/>
        </w:rPr>
      </w:pPr>
    </w:p>
    <w:p>
      <w:pPr>
        <w:ind w:left="7500"/>
        <w:spacing w:after="0"/>
        <w:rPr>
          <w:sz w:val="20"/>
          <w:szCs w:val="20"/>
          <w:color w:val="auto"/>
        </w:rPr>
      </w:pPr>
      <w:r>
        <w:rPr>
          <w:rFonts w:ascii="Arial" w:cs="Arial" w:eastAsia="Arial" w:hAnsi="Arial"/>
          <w:sz w:val="14"/>
          <w:szCs w:val="14"/>
          <w:b w:val="1"/>
          <w:bCs w:val="1"/>
          <w:color w:val="auto"/>
        </w:rPr>
        <w:t>Three Months Ended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160" w:type="dxa"/>
            <w:vAlign w:val="bottom"/>
            <w:tcBorders>
              <w:bottom w:val="single" w:sz="8" w:color="CCEEFF"/>
            </w:tcBorders>
          </w:tcPr>
          <w:p>
            <w:pPr>
              <w:spacing w:after="0"/>
              <w:rPr>
                <w:sz w:val="17"/>
                <w:szCs w:val="17"/>
                <w:color w:val="auto"/>
              </w:rPr>
            </w:pPr>
          </w:p>
        </w:tc>
        <w:tc>
          <w:tcPr>
            <w:tcW w:w="2360" w:type="dxa"/>
            <w:vAlign w:val="bottom"/>
            <w:tcBorders>
              <w:top w:val="single" w:sz="8" w:color="auto"/>
              <w:bottom w:val="single" w:sz="8" w:color="auto"/>
            </w:tcBorders>
          </w:tcPr>
          <w:p>
            <w:pPr>
              <w:ind w:left="1040"/>
              <w:spacing w:after="0"/>
              <w:rPr>
                <w:sz w:val="20"/>
                <w:szCs w:val="20"/>
                <w:color w:val="auto"/>
              </w:rPr>
            </w:pPr>
            <w:r>
              <w:rPr>
                <w:rFonts w:ascii="Arial" w:cs="Arial" w:eastAsia="Arial" w:hAnsi="Arial"/>
                <w:sz w:val="14"/>
                <w:szCs w:val="14"/>
                <w:b w:val="1"/>
                <w:bCs w:val="1"/>
                <w:color w:val="auto"/>
              </w:rPr>
              <w:t>March 31, 2026</w:t>
            </w:r>
          </w:p>
        </w:tc>
        <w:tc>
          <w:tcPr>
            <w:tcW w:w="6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000" w:type="dxa"/>
            <w:vAlign w:val="bottom"/>
            <w:tcBorders>
              <w:top w:val="single" w:sz="8" w:color="auto"/>
              <w:bottom w:val="single" w:sz="8" w:color="auto"/>
            </w:tcBorders>
          </w:tcPr>
          <w:p>
            <w:pPr>
              <w:jc w:val="right"/>
              <w:ind w:right="901"/>
              <w:spacing w:after="0"/>
              <w:rPr>
                <w:sz w:val="20"/>
                <w:szCs w:val="20"/>
                <w:color w:val="auto"/>
              </w:rPr>
            </w:pPr>
            <w:r>
              <w:rPr>
                <w:rFonts w:ascii="Arial" w:cs="Arial" w:eastAsia="Arial" w:hAnsi="Arial"/>
                <w:sz w:val="14"/>
                <w:szCs w:val="14"/>
                <w:b w:val="1"/>
                <w:bCs w:val="1"/>
                <w:color w:val="auto"/>
              </w:rPr>
              <w:t>March 31, 2025</w:t>
            </w:r>
          </w:p>
        </w:tc>
      </w:tr>
      <w:tr>
        <w:trPr>
          <w:trHeight w:val="210"/>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GMNA</w:t>
            </w:r>
          </w:p>
        </w:tc>
        <w:tc>
          <w:tcPr>
            <w:tcW w:w="23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w:t>
            </w:r>
          </w:p>
        </w:tc>
        <w:tc>
          <w:tcPr>
            <w:tcW w:w="100" w:type="dxa"/>
            <w:vAlign w:val="bottom"/>
            <w:shd w:val="clear" w:color="auto" w:fill="CCEEFF"/>
          </w:tcPr>
          <w:p>
            <w:pPr>
              <w:spacing w:after="0"/>
              <w:rPr>
                <w:sz w:val="18"/>
                <w:szCs w:val="18"/>
                <w:color w:val="auto"/>
              </w:rPr>
            </w:pPr>
          </w:p>
        </w:tc>
        <w:tc>
          <w:tcPr>
            <w:tcW w:w="3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827</w:t>
            </w:r>
          </w:p>
        </w:tc>
      </w:tr>
      <w:tr>
        <w:trPr>
          <w:trHeight w:val="215"/>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GMI</w:t>
            </w:r>
          </w:p>
        </w:tc>
        <w:tc>
          <w:tcPr>
            <w:tcW w:w="23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tcPr>
          <w:p>
            <w:pPr>
              <w:spacing w:after="0"/>
              <w:rPr>
                <w:sz w:val="18"/>
                <w:szCs w:val="18"/>
                <w:color w:val="auto"/>
              </w:rPr>
            </w:pPr>
          </w:p>
        </w:tc>
        <w:tc>
          <w:tcPr>
            <w:tcW w:w="3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85</w:t>
            </w:r>
          </w:p>
        </w:tc>
      </w:tr>
      <w:tr>
        <w:trPr>
          <w:trHeight w:val="230"/>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899</w:t>
            </w:r>
          </w:p>
        </w:tc>
        <w:tc>
          <w:tcPr>
            <w:tcW w:w="100" w:type="dxa"/>
            <w:vAlign w:val="bottom"/>
            <w:shd w:val="clear" w:color="auto" w:fill="CCEEFF"/>
          </w:tcPr>
          <w:p>
            <w:pPr>
              <w:spacing w:after="0"/>
              <w:rPr>
                <w:sz w:val="20"/>
                <w:szCs w:val="20"/>
                <w:color w:val="auto"/>
              </w:rPr>
            </w:pPr>
          </w:p>
        </w:tc>
        <w:tc>
          <w:tcPr>
            <w:tcW w:w="3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912</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6"/>
          <w:szCs w:val="16"/>
          <w:color w:val="auto"/>
        </w:rPr>
        <w:t>Total vehicle sales data represents: (1) retail sales (i.e., sales to consumers who purchase new vehicles from dealers or distributors); (2) fleet sales (i.e., sales to large and small businesses, governments, and daily rental car companies); and (3) certain vehicles used by dealers in their business, including but not limited to courtesy transportation vehicles previously used by dealers that were sold to the end consumer. Total vehicle sales data includes all sales by joint ventures on a total vehicle basis, not based on our percentage ownership interest in the joint venture, including vehicle sales of non-GM trademarked vehicles, which are included in the total vehicle sales we report for China. While total vehicle sales data does not correlate directly to the revenue GM recognizes during a particular period, we believe it is indicative of the underlying demand for GM's vehicles. Total vehicle sales data represents management's good faith estimate based on sales reported by our dealers, distributors, and joint ventures; commercially available data sources, such as registration and insurance data; and internal estimates and forecasts when other data is not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61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jc w:val="center"/>
        <w:spacing w:after="0" w:line="222" w:lineRule="auto"/>
        <w:rPr>
          <w:sz w:val="20"/>
          <w:szCs w:val="20"/>
          <w:color w:val="auto"/>
        </w:rPr>
      </w:pPr>
      <w:r>
        <w:rPr>
          <w:rFonts w:ascii="Arial" w:cs="Arial" w:eastAsia="Arial" w:hAnsi="Arial"/>
          <w:sz w:val="16"/>
          <w:szCs w:val="16"/>
          <w:b w:val="1"/>
          <w:bCs w:val="1"/>
          <w:color w:val="auto"/>
        </w:rPr>
        <w:t>Supplemental Material</w:t>
      </w:r>
      <w:r>
        <w:rPr>
          <w:rFonts w:ascii="Arial" w:cs="Arial" w:eastAsia="Arial" w:hAnsi="Arial"/>
          <w:sz w:val="21"/>
          <w:szCs w:val="21"/>
          <w:b w:val="1"/>
          <w:bCs w:val="1"/>
          <w:color w:val="auto"/>
          <w:vertAlign w:val="superscript"/>
        </w:rPr>
        <w:t>1</w:t>
      </w:r>
    </w:p>
    <w:p>
      <w:pPr>
        <w:jc w:val="center"/>
        <w:spacing w:after="0"/>
        <w:rPr>
          <w:sz w:val="20"/>
          <w:szCs w:val="20"/>
          <w:color w:val="auto"/>
        </w:rPr>
      </w:pPr>
      <w:r>
        <w:rPr>
          <w:rFonts w:ascii="Arial" w:cs="Arial" w:eastAsia="Arial" w:hAnsi="Arial"/>
          <w:sz w:val="16"/>
          <w:szCs w:val="16"/>
          <w:i w:val="1"/>
          <w:iCs w:val="1"/>
          <w:color w:val="auto"/>
        </w:rPr>
        <w:t>(Unaudited)</w:t>
      </w:r>
    </w:p>
    <w:p>
      <w:pPr>
        <w:spacing w:after="0" w:line="38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summarizes industry and GM total vehicle sales and GM's related competitive position by geographic region (vehicles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36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ind w:left="720"/>
              <w:spacing w:after="0"/>
              <w:rPr>
                <w:sz w:val="20"/>
                <w:szCs w:val="20"/>
                <w:color w:val="auto"/>
              </w:rPr>
            </w:pPr>
            <w:r>
              <w:rPr>
                <w:rFonts w:ascii="Arial" w:cs="Arial" w:eastAsia="Arial" w:hAnsi="Arial"/>
                <w:sz w:val="14"/>
                <w:szCs w:val="14"/>
                <w:b w:val="1"/>
                <w:bCs w:val="1"/>
                <w:color w:val="auto"/>
              </w:rPr>
              <w:t>Three Months Ended</w:t>
            </w:r>
          </w:p>
        </w:tc>
        <w:tc>
          <w:tcPr>
            <w:tcW w:w="1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March 31, 2026</w:t>
            </w:r>
          </w:p>
        </w:tc>
        <w:tc>
          <w:tcPr>
            <w:tcW w:w="1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March 31, 2025</w:t>
            </w:r>
          </w:p>
        </w:tc>
        <w:tc>
          <w:tcPr>
            <w:tcW w:w="1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360" w:type="dxa"/>
            <w:vAlign w:val="bottom"/>
          </w:tcPr>
          <w:p>
            <w:pPr>
              <w:spacing w:after="0"/>
              <w:rPr>
                <w:sz w:val="16"/>
                <w:szCs w:val="16"/>
                <w:color w:val="auto"/>
              </w:rPr>
            </w:pPr>
          </w:p>
        </w:tc>
        <w:tc>
          <w:tcPr>
            <w:tcW w:w="1240" w:type="dxa"/>
            <w:vAlign w:val="bottom"/>
            <w:gridSpan w:val="2"/>
          </w:tcPr>
          <w:p>
            <w:pPr>
              <w:ind w:left="280"/>
              <w:spacing w:after="0"/>
              <w:rPr>
                <w:sz w:val="20"/>
                <w:szCs w:val="20"/>
                <w:color w:val="auto"/>
              </w:rPr>
            </w:pPr>
            <w:r>
              <w:rPr>
                <w:rFonts w:ascii="Arial" w:cs="Arial" w:eastAsia="Arial" w:hAnsi="Arial"/>
                <w:sz w:val="14"/>
                <w:szCs w:val="14"/>
                <w:b w:val="1"/>
                <w:bCs w:val="1"/>
                <w:color w:val="auto"/>
              </w:rPr>
              <w:t>Industry</w:t>
            </w:r>
          </w:p>
        </w:tc>
        <w:tc>
          <w:tcPr>
            <w:tcW w:w="1220" w:type="dxa"/>
            <w:vAlign w:val="bottom"/>
            <w:gridSpan w:val="2"/>
          </w:tcPr>
          <w:p>
            <w:pPr>
              <w:ind w:left="440"/>
              <w:spacing w:after="0"/>
              <w:rPr>
                <w:sz w:val="20"/>
                <w:szCs w:val="20"/>
                <w:color w:val="auto"/>
              </w:rPr>
            </w:pPr>
            <w:r>
              <w:rPr>
                <w:rFonts w:ascii="Arial" w:cs="Arial" w:eastAsia="Arial" w:hAnsi="Arial"/>
                <w:sz w:val="14"/>
                <w:szCs w:val="14"/>
                <w:b w:val="1"/>
                <w:bCs w:val="1"/>
                <w:color w:val="auto"/>
              </w:rPr>
              <w:t>GM</w:t>
            </w:r>
          </w:p>
        </w:tc>
        <w:tc>
          <w:tcPr>
            <w:tcW w:w="1480" w:type="dxa"/>
            <w:vAlign w:val="bottom"/>
            <w:gridSpan w:val="2"/>
          </w:tcPr>
          <w:p>
            <w:pPr>
              <w:ind w:left="240"/>
              <w:spacing w:after="0"/>
              <w:rPr>
                <w:sz w:val="20"/>
                <w:szCs w:val="20"/>
                <w:color w:val="auto"/>
              </w:rPr>
            </w:pPr>
            <w:r>
              <w:rPr>
                <w:rFonts w:ascii="Arial" w:cs="Arial" w:eastAsia="Arial" w:hAnsi="Arial"/>
                <w:sz w:val="14"/>
                <w:szCs w:val="14"/>
                <w:b w:val="1"/>
                <w:bCs w:val="1"/>
                <w:color w:val="auto"/>
              </w:rPr>
              <w:t>Market Share</w:t>
            </w:r>
          </w:p>
        </w:tc>
        <w:tc>
          <w:tcPr>
            <w:tcW w:w="1240" w:type="dxa"/>
            <w:vAlign w:val="bottom"/>
            <w:gridSpan w:val="2"/>
          </w:tcPr>
          <w:p>
            <w:pPr>
              <w:ind w:left="280"/>
              <w:spacing w:after="0"/>
              <w:rPr>
                <w:sz w:val="20"/>
                <w:szCs w:val="20"/>
                <w:color w:val="auto"/>
              </w:rPr>
            </w:pPr>
            <w:r>
              <w:rPr>
                <w:rFonts w:ascii="Arial" w:cs="Arial" w:eastAsia="Arial" w:hAnsi="Arial"/>
                <w:sz w:val="14"/>
                <w:szCs w:val="14"/>
                <w:b w:val="1"/>
                <w:bCs w:val="1"/>
                <w:color w:val="auto"/>
              </w:rPr>
              <w:t>Industry</w:t>
            </w:r>
          </w:p>
        </w:tc>
        <w:tc>
          <w:tcPr>
            <w:tcW w:w="1220" w:type="dxa"/>
            <w:vAlign w:val="bottom"/>
            <w:gridSpan w:val="2"/>
          </w:tcPr>
          <w:p>
            <w:pPr>
              <w:ind w:left="460"/>
              <w:spacing w:after="0"/>
              <w:rPr>
                <w:sz w:val="20"/>
                <w:szCs w:val="20"/>
                <w:color w:val="auto"/>
              </w:rPr>
            </w:pPr>
            <w:r>
              <w:rPr>
                <w:rFonts w:ascii="Arial" w:cs="Arial" w:eastAsia="Arial" w:hAnsi="Arial"/>
                <w:sz w:val="14"/>
                <w:szCs w:val="14"/>
                <w:b w:val="1"/>
                <w:bCs w:val="1"/>
                <w:color w:val="auto"/>
              </w:rPr>
              <w:t>GM</w:t>
            </w:r>
          </w:p>
        </w:tc>
        <w:tc>
          <w:tcPr>
            <w:tcW w:w="1380" w:type="dxa"/>
            <w:vAlign w:val="bottom"/>
          </w:tcPr>
          <w:p>
            <w:pPr>
              <w:jc w:val="right"/>
              <w:ind w:right="168"/>
              <w:spacing w:after="0"/>
              <w:rPr>
                <w:sz w:val="20"/>
                <w:szCs w:val="20"/>
                <w:color w:val="auto"/>
              </w:rPr>
            </w:pPr>
            <w:r>
              <w:rPr>
                <w:rFonts w:ascii="Arial" w:cs="Arial" w:eastAsia="Arial" w:hAnsi="Arial"/>
                <w:sz w:val="14"/>
                <w:szCs w:val="14"/>
                <w:b w:val="1"/>
                <w:bCs w:val="1"/>
                <w:color w:val="auto"/>
              </w:rPr>
              <w:t>Market Share</w:t>
            </w:r>
          </w:p>
        </w:tc>
        <w:tc>
          <w:tcPr>
            <w:tcW w:w="0" w:type="dxa"/>
            <w:vAlign w:val="bottom"/>
          </w:tcPr>
          <w:p>
            <w:pPr>
              <w:spacing w:after="0"/>
              <w:rPr>
                <w:sz w:val="1"/>
                <w:szCs w:val="1"/>
                <w:color w:val="auto"/>
              </w:rPr>
            </w:pPr>
          </w:p>
        </w:tc>
      </w:tr>
      <w:tr>
        <w:trPr>
          <w:trHeight w:val="183"/>
        </w:trPr>
        <w:tc>
          <w:tcPr>
            <w:tcW w:w="3360" w:type="dxa"/>
            <w:vAlign w:val="bottom"/>
          </w:tcPr>
          <w:p>
            <w:pPr>
              <w:ind w:left="20"/>
              <w:spacing w:after="0"/>
              <w:rPr>
                <w:sz w:val="20"/>
                <w:szCs w:val="20"/>
                <w:color w:val="auto"/>
              </w:rPr>
            </w:pPr>
            <w:r>
              <w:rPr>
                <w:rFonts w:ascii="Arial" w:cs="Arial" w:eastAsia="Arial" w:hAnsi="Arial"/>
                <w:sz w:val="14"/>
                <w:szCs w:val="14"/>
                <w:b w:val="1"/>
                <w:bCs w:val="1"/>
                <w:color w:val="auto"/>
              </w:rPr>
              <w:t>North America</w:t>
            </w: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3,792</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626</w:t>
            </w: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16.5 %</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4,032</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693</w:t>
            </w: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17.2 %</w:t>
            </w:r>
          </w:p>
        </w:tc>
        <w:tc>
          <w:tcPr>
            <w:tcW w:w="0" w:type="dxa"/>
            <w:vAlign w:val="bottom"/>
          </w:tcPr>
          <w:p>
            <w:pPr>
              <w:spacing w:after="0"/>
              <w:rPr>
                <w:sz w:val="1"/>
                <w:szCs w:val="1"/>
                <w:color w:val="auto"/>
              </w:rPr>
            </w:pPr>
          </w:p>
        </w:tc>
      </w:tr>
      <w:tr>
        <w:trPr>
          <w:trHeight w:val="198"/>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924</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117</w:t>
            </w:r>
          </w:p>
        </w:tc>
        <w:tc>
          <w:tcPr>
            <w:tcW w:w="80" w:type="dxa"/>
            <w:vAlign w:val="bottom"/>
            <w:tcBorders>
              <w:bottom w:val="single" w:sz="8" w:color="CCEEFF"/>
            </w:tcBorders>
          </w:tcPr>
          <w:p>
            <w:pPr>
              <w:spacing w:after="0"/>
              <w:rPr>
                <w:sz w:val="17"/>
                <w:szCs w:val="17"/>
                <w:color w:val="auto"/>
              </w:rPr>
            </w:pP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12.6 %</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941</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126</w:t>
            </w:r>
          </w:p>
        </w:tc>
        <w:tc>
          <w:tcPr>
            <w:tcW w:w="80" w:type="dxa"/>
            <w:vAlign w:val="bottom"/>
            <w:tcBorders>
              <w:bottom w:val="single" w:sz="8" w:color="CCEEFF"/>
            </w:tcBorders>
          </w:tcPr>
          <w:p>
            <w:pPr>
              <w:spacing w:after="0"/>
              <w:rPr>
                <w:sz w:val="17"/>
                <w:szCs w:val="17"/>
                <w:color w:val="auto"/>
              </w:rPr>
            </w:pP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13.4 %</w:t>
            </w:r>
          </w:p>
        </w:tc>
        <w:tc>
          <w:tcPr>
            <w:tcW w:w="0" w:type="dxa"/>
            <w:vAlign w:val="bottom"/>
          </w:tcPr>
          <w:p>
            <w:pPr>
              <w:spacing w:after="0"/>
              <w:rPr>
                <w:sz w:val="1"/>
                <w:szCs w:val="1"/>
                <w:color w:val="auto"/>
              </w:rPr>
            </w:pPr>
          </w:p>
        </w:tc>
      </w:tr>
      <w:tr>
        <w:trPr>
          <w:trHeight w:val="200"/>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North America</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4,717</w:t>
            </w:r>
          </w:p>
        </w:tc>
        <w:tc>
          <w:tcPr>
            <w:tcW w:w="10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743</w:t>
            </w: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15.8 %</w:t>
            </w:r>
          </w:p>
        </w:tc>
        <w:tc>
          <w:tcPr>
            <w:tcW w:w="10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4,973</w:t>
            </w:r>
          </w:p>
        </w:tc>
        <w:tc>
          <w:tcPr>
            <w:tcW w:w="10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819</w:t>
            </w: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16.5 %</w:t>
            </w:r>
          </w:p>
        </w:tc>
        <w:tc>
          <w:tcPr>
            <w:tcW w:w="0" w:type="dxa"/>
            <w:vAlign w:val="bottom"/>
          </w:tcPr>
          <w:p>
            <w:pPr>
              <w:spacing w:after="0"/>
              <w:rPr>
                <w:sz w:val="1"/>
                <w:szCs w:val="1"/>
                <w:color w:val="auto"/>
              </w:rPr>
            </w:pPr>
          </w:p>
        </w:tc>
      </w:tr>
      <w:tr>
        <w:trPr>
          <w:trHeight w:val="182"/>
        </w:trPr>
        <w:tc>
          <w:tcPr>
            <w:tcW w:w="3360" w:type="dxa"/>
            <w:vAlign w:val="bottom"/>
          </w:tcPr>
          <w:p>
            <w:pPr>
              <w:ind w:left="20"/>
              <w:spacing w:after="0"/>
              <w:rPr>
                <w:sz w:val="20"/>
                <w:szCs w:val="20"/>
                <w:color w:val="auto"/>
              </w:rPr>
            </w:pPr>
            <w:r>
              <w:rPr>
                <w:rFonts w:ascii="Arial" w:cs="Arial" w:eastAsia="Arial" w:hAnsi="Arial"/>
                <w:sz w:val="14"/>
                <w:szCs w:val="14"/>
                <w:b w:val="1"/>
                <w:bCs w:val="1"/>
                <w:color w:val="auto"/>
              </w:rPr>
              <w:t>Asia/Pacific, Middle East, and Africa</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China(a)</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5,062</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349</w:t>
            </w: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6.9 %</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5,811</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443</w:t>
            </w: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7.6 %</w:t>
            </w:r>
          </w:p>
        </w:tc>
        <w:tc>
          <w:tcPr>
            <w:tcW w:w="0" w:type="dxa"/>
            <w:vAlign w:val="bottom"/>
          </w:tcPr>
          <w:p>
            <w:pPr>
              <w:spacing w:after="0"/>
              <w:rPr>
                <w:sz w:val="1"/>
                <w:szCs w:val="1"/>
                <w:color w:val="auto"/>
              </w:rPr>
            </w:pPr>
          </w:p>
        </w:tc>
      </w:tr>
      <w:tr>
        <w:trPr>
          <w:trHeight w:val="198"/>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5,786</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108</w:t>
            </w:r>
          </w:p>
        </w:tc>
        <w:tc>
          <w:tcPr>
            <w:tcW w:w="80" w:type="dxa"/>
            <w:vAlign w:val="bottom"/>
            <w:tcBorders>
              <w:bottom w:val="single" w:sz="8" w:color="CCEEFF"/>
            </w:tcBorders>
          </w:tcPr>
          <w:p>
            <w:pPr>
              <w:spacing w:after="0"/>
              <w:rPr>
                <w:sz w:val="17"/>
                <w:szCs w:val="17"/>
                <w:color w:val="auto"/>
              </w:rPr>
            </w:pP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1.9 %</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5,733</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102</w:t>
            </w:r>
          </w:p>
        </w:tc>
        <w:tc>
          <w:tcPr>
            <w:tcW w:w="80" w:type="dxa"/>
            <w:vAlign w:val="bottom"/>
            <w:tcBorders>
              <w:bottom w:val="single" w:sz="8" w:color="CCEEFF"/>
            </w:tcBorders>
          </w:tcPr>
          <w:p>
            <w:pPr>
              <w:spacing w:after="0"/>
              <w:rPr>
                <w:sz w:val="17"/>
                <w:szCs w:val="17"/>
                <w:color w:val="auto"/>
              </w:rPr>
            </w:pP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1.8 %</w:t>
            </w:r>
          </w:p>
        </w:tc>
        <w:tc>
          <w:tcPr>
            <w:tcW w:w="0" w:type="dxa"/>
            <w:vAlign w:val="bottom"/>
          </w:tcPr>
          <w:p>
            <w:pPr>
              <w:spacing w:after="0"/>
              <w:rPr>
                <w:sz w:val="1"/>
                <w:szCs w:val="1"/>
                <w:color w:val="auto"/>
              </w:rPr>
            </w:pPr>
          </w:p>
        </w:tc>
      </w:tr>
      <w:tr>
        <w:trPr>
          <w:trHeight w:val="200"/>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Asia/Pacific, Middle East, and Africa</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10,848</w:t>
            </w:r>
          </w:p>
        </w:tc>
        <w:tc>
          <w:tcPr>
            <w:tcW w:w="10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457</w:t>
            </w: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4.2 %</w:t>
            </w:r>
          </w:p>
        </w:tc>
        <w:tc>
          <w:tcPr>
            <w:tcW w:w="10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11,545</w:t>
            </w:r>
          </w:p>
        </w:tc>
        <w:tc>
          <w:tcPr>
            <w:tcW w:w="10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545</w:t>
            </w: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4.7 %</w:t>
            </w:r>
          </w:p>
        </w:tc>
        <w:tc>
          <w:tcPr>
            <w:tcW w:w="0" w:type="dxa"/>
            <w:vAlign w:val="bottom"/>
          </w:tcPr>
          <w:p>
            <w:pPr>
              <w:spacing w:after="0"/>
              <w:rPr>
                <w:sz w:val="1"/>
                <w:szCs w:val="1"/>
                <w:color w:val="auto"/>
              </w:rPr>
            </w:pPr>
          </w:p>
        </w:tc>
      </w:tr>
      <w:tr>
        <w:trPr>
          <w:trHeight w:val="182"/>
        </w:trPr>
        <w:tc>
          <w:tcPr>
            <w:tcW w:w="3360" w:type="dxa"/>
            <w:vAlign w:val="bottom"/>
          </w:tcPr>
          <w:p>
            <w:pPr>
              <w:ind w:left="20"/>
              <w:spacing w:after="0"/>
              <w:rPr>
                <w:sz w:val="20"/>
                <w:szCs w:val="20"/>
                <w:color w:val="auto"/>
              </w:rPr>
            </w:pPr>
            <w:r>
              <w:rPr>
                <w:rFonts w:ascii="Arial" w:cs="Arial" w:eastAsia="Arial" w:hAnsi="Arial"/>
                <w:sz w:val="14"/>
                <w:szCs w:val="14"/>
                <w:b w:val="1"/>
                <w:bCs w:val="1"/>
                <w:color w:val="auto"/>
              </w:rPr>
              <w:t>South America</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Brazil</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w:t>
            </w: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9.8 %</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w:t>
            </w: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10.1 %</w:t>
            </w:r>
          </w:p>
        </w:tc>
        <w:tc>
          <w:tcPr>
            <w:tcW w:w="0" w:type="dxa"/>
            <w:vAlign w:val="bottom"/>
          </w:tcPr>
          <w:p>
            <w:pPr>
              <w:spacing w:after="0"/>
              <w:rPr>
                <w:sz w:val="1"/>
                <w:szCs w:val="1"/>
                <w:color w:val="auto"/>
              </w:rPr>
            </w:pPr>
          </w:p>
        </w:tc>
      </w:tr>
      <w:tr>
        <w:trPr>
          <w:trHeight w:val="199"/>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454</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w:t>
            </w:r>
          </w:p>
        </w:tc>
        <w:tc>
          <w:tcPr>
            <w:tcW w:w="80" w:type="dxa"/>
            <w:vAlign w:val="bottom"/>
            <w:tcBorders>
              <w:bottom w:val="single" w:sz="8" w:color="CCEEFF"/>
            </w:tcBorders>
          </w:tcPr>
          <w:p>
            <w:pPr>
              <w:spacing w:after="0"/>
              <w:rPr>
                <w:sz w:val="17"/>
                <w:szCs w:val="17"/>
                <w:color w:val="auto"/>
              </w:rPr>
            </w:pP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7.3 %</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w:t>
            </w:r>
          </w:p>
        </w:tc>
        <w:tc>
          <w:tcPr>
            <w:tcW w:w="80" w:type="dxa"/>
            <w:vAlign w:val="bottom"/>
            <w:tcBorders>
              <w:bottom w:val="single" w:sz="8" w:color="CCEEFF"/>
            </w:tcBorders>
          </w:tcPr>
          <w:p>
            <w:pPr>
              <w:spacing w:after="0"/>
              <w:rPr>
                <w:sz w:val="17"/>
                <w:szCs w:val="17"/>
                <w:color w:val="auto"/>
              </w:rPr>
            </w:pP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7.2 %</w:t>
            </w:r>
          </w:p>
        </w:tc>
        <w:tc>
          <w:tcPr>
            <w:tcW w:w="0" w:type="dxa"/>
            <w:vAlign w:val="bottom"/>
          </w:tcPr>
          <w:p>
            <w:pPr>
              <w:spacing w:after="0"/>
              <w:rPr>
                <w:sz w:val="1"/>
                <w:szCs w:val="1"/>
                <w:color w:val="auto"/>
              </w:rPr>
            </w:pPr>
          </w:p>
        </w:tc>
      </w:tr>
      <w:tr>
        <w:trPr>
          <w:trHeight w:val="200"/>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South America</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1,079</w:t>
            </w:r>
          </w:p>
        </w:tc>
        <w:tc>
          <w:tcPr>
            <w:tcW w:w="10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95</w:t>
            </w: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8.8 %</w:t>
            </w:r>
          </w:p>
        </w:tc>
        <w:tc>
          <w:tcPr>
            <w:tcW w:w="10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951</w:t>
            </w:r>
          </w:p>
        </w:tc>
        <w:tc>
          <w:tcPr>
            <w:tcW w:w="10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85</w:t>
            </w: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8.9 %</w:t>
            </w:r>
          </w:p>
        </w:tc>
        <w:tc>
          <w:tcPr>
            <w:tcW w:w="0" w:type="dxa"/>
            <w:vAlign w:val="bottom"/>
          </w:tcPr>
          <w:p>
            <w:pPr>
              <w:spacing w:after="0"/>
              <w:rPr>
                <w:sz w:val="1"/>
                <w:szCs w:val="1"/>
                <w:color w:val="auto"/>
              </w:rPr>
            </w:pPr>
          </w:p>
        </w:tc>
      </w:tr>
      <w:tr>
        <w:trPr>
          <w:trHeight w:val="192"/>
        </w:trPr>
        <w:tc>
          <w:tcPr>
            <w:tcW w:w="3360" w:type="dxa"/>
            <w:vAlign w:val="bottom"/>
          </w:tcPr>
          <w:p>
            <w:pPr>
              <w:ind w:left="20"/>
              <w:spacing w:after="0"/>
              <w:rPr>
                <w:sz w:val="20"/>
                <w:szCs w:val="20"/>
                <w:color w:val="auto"/>
              </w:rPr>
            </w:pPr>
            <w:r>
              <w:rPr>
                <w:rFonts w:ascii="Arial" w:cs="Arial" w:eastAsia="Arial" w:hAnsi="Arial"/>
                <w:sz w:val="14"/>
                <w:szCs w:val="14"/>
                <w:b w:val="1"/>
                <w:bCs w:val="1"/>
                <w:color w:val="auto"/>
              </w:rPr>
              <w:t>Total in GM markets</w:t>
            </w:r>
          </w:p>
        </w:tc>
        <w:tc>
          <w:tcPr>
            <w:tcW w:w="1140" w:type="dxa"/>
            <w:vAlign w:val="bottom"/>
          </w:tcPr>
          <w:p>
            <w:pPr>
              <w:jc w:val="right"/>
              <w:spacing w:after="0"/>
              <w:rPr>
                <w:sz w:val="20"/>
                <w:szCs w:val="20"/>
                <w:color w:val="auto"/>
              </w:rPr>
            </w:pPr>
            <w:r>
              <w:rPr>
                <w:rFonts w:ascii="Arial" w:cs="Arial" w:eastAsia="Arial" w:hAnsi="Arial"/>
                <w:sz w:val="14"/>
                <w:szCs w:val="14"/>
                <w:color w:val="auto"/>
              </w:rPr>
              <w:t>16,644</w:t>
            </w:r>
          </w:p>
        </w:tc>
        <w:tc>
          <w:tcPr>
            <w:tcW w:w="10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1,294</w:t>
            </w:r>
          </w:p>
        </w:tc>
        <w:tc>
          <w:tcPr>
            <w:tcW w:w="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7.8 %</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17,469</w:t>
            </w:r>
          </w:p>
        </w:tc>
        <w:tc>
          <w:tcPr>
            <w:tcW w:w="10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1,448</w:t>
            </w:r>
          </w:p>
        </w:tc>
        <w:tc>
          <w:tcPr>
            <w:tcW w:w="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8.3 %</w:t>
            </w:r>
          </w:p>
        </w:tc>
        <w:tc>
          <w:tcPr>
            <w:tcW w:w="0" w:type="dxa"/>
            <w:vAlign w:val="bottom"/>
          </w:tcPr>
          <w:p>
            <w:pPr>
              <w:spacing w:after="0"/>
              <w:rPr>
                <w:sz w:val="1"/>
                <w:szCs w:val="1"/>
                <w:color w:val="auto"/>
              </w:rPr>
            </w:pPr>
          </w:p>
        </w:tc>
      </w:tr>
      <w:tr>
        <w:trPr>
          <w:trHeight w:val="203"/>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Europe</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4,142</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4,238</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0"/>
        </w:trPr>
        <w:tc>
          <w:tcPr>
            <w:tcW w:w="3360" w:type="dxa"/>
            <w:vAlign w:val="bottom"/>
          </w:tcPr>
          <w:p>
            <w:pPr>
              <w:ind w:left="20"/>
              <w:spacing w:after="0"/>
              <w:rPr>
                <w:sz w:val="20"/>
                <w:szCs w:val="20"/>
                <w:color w:val="auto"/>
              </w:rPr>
            </w:pPr>
            <w:r>
              <w:rPr>
                <w:rFonts w:ascii="Arial" w:cs="Arial" w:eastAsia="Arial" w:hAnsi="Arial"/>
                <w:sz w:val="14"/>
                <w:szCs w:val="14"/>
                <w:b w:val="1"/>
                <w:bCs w:val="1"/>
                <w:color w:val="auto"/>
              </w:rPr>
              <w:t>Total Worldwide(b)</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20,786</w:t>
            </w:r>
          </w:p>
        </w:tc>
        <w:tc>
          <w:tcPr>
            <w:tcW w:w="10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1,295</w:t>
            </w:r>
          </w:p>
        </w:tc>
        <w:tc>
          <w:tcPr>
            <w:tcW w:w="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6.2 %</w:t>
            </w:r>
          </w:p>
        </w:tc>
        <w:tc>
          <w:tcPr>
            <w:tcW w:w="10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21,706</w:t>
            </w:r>
          </w:p>
        </w:tc>
        <w:tc>
          <w:tcPr>
            <w:tcW w:w="10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1,449</w:t>
            </w:r>
          </w:p>
        </w:tc>
        <w:tc>
          <w:tcPr>
            <w:tcW w:w="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6.7 %</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United States</w:t>
            </w: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360" w:type="dxa"/>
            <w:vAlign w:val="bottom"/>
          </w:tcPr>
          <w:p>
            <w:pPr>
              <w:ind w:left="20"/>
              <w:spacing w:after="0"/>
              <w:rPr>
                <w:sz w:val="20"/>
                <w:szCs w:val="20"/>
                <w:color w:val="auto"/>
              </w:rPr>
            </w:pPr>
            <w:r>
              <w:rPr>
                <w:rFonts w:ascii="Arial" w:cs="Arial" w:eastAsia="Arial" w:hAnsi="Arial"/>
                <w:sz w:val="14"/>
                <w:szCs w:val="14"/>
                <w:color w:val="auto"/>
              </w:rPr>
              <w:t>Cars</w:t>
            </w:r>
          </w:p>
        </w:tc>
        <w:tc>
          <w:tcPr>
            <w:tcW w:w="1140" w:type="dxa"/>
            <w:vAlign w:val="bottom"/>
          </w:tcPr>
          <w:p>
            <w:pPr>
              <w:jc w:val="right"/>
              <w:spacing w:after="0"/>
              <w:rPr>
                <w:sz w:val="20"/>
                <w:szCs w:val="20"/>
                <w:color w:val="auto"/>
              </w:rPr>
            </w:pPr>
            <w:r>
              <w:rPr>
                <w:rFonts w:ascii="Arial" w:cs="Arial" w:eastAsia="Arial" w:hAnsi="Arial"/>
                <w:sz w:val="14"/>
                <w:szCs w:val="14"/>
                <w:color w:val="auto"/>
              </w:rPr>
              <w:t>627</w:t>
            </w:r>
          </w:p>
        </w:tc>
        <w:tc>
          <w:tcPr>
            <w:tcW w:w="10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1.8 %</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707</w:t>
            </w:r>
          </w:p>
        </w:tc>
        <w:tc>
          <w:tcPr>
            <w:tcW w:w="10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2.5 %</w:t>
            </w:r>
          </w:p>
        </w:tc>
        <w:tc>
          <w:tcPr>
            <w:tcW w:w="0" w:type="dxa"/>
            <w:vAlign w:val="bottom"/>
          </w:tcPr>
          <w:p>
            <w:pPr>
              <w:spacing w:after="0"/>
              <w:rPr>
                <w:sz w:val="1"/>
                <w:szCs w:val="1"/>
                <w:color w:val="auto"/>
              </w:rPr>
            </w:pPr>
          </w:p>
        </w:tc>
      </w:tr>
      <w:tr>
        <w:trPr>
          <w:trHeight w:val="207"/>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Trucks</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1,010</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324</w:t>
            </w: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32.1 %</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1,053</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344</w:t>
            </w: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32.7 %</w:t>
            </w:r>
          </w:p>
        </w:tc>
        <w:tc>
          <w:tcPr>
            <w:tcW w:w="0" w:type="dxa"/>
            <w:vAlign w:val="bottom"/>
          </w:tcPr>
          <w:p>
            <w:pPr>
              <w:spacing w:after="0"/>
              <w:rPr>
                <w:sz w:val="1"/>
                <w:szCs w:val="1"/>
                <w:color w:val="auto"/>
              </w:rPr>
            </w:pPr>
          </w:p>
        </w:tc>
      </w:tr>
      <w:tr>
        <w:trPr>
          <w:trHeight w:val="198"/>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Crossovers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2,155</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291</w:t>
            </w:r>
          </w:p>
        </w:tc>
        <w:tc>
          <w:tcPr>
            <w:tcW w:w="80" w:type="dxa"/>
            <w:vAlign w:val="bottom"/>
            <w:tcBorders>
              <w:bottom w:val="single" w:sz="8" w:color="CCEEFF"/>
            </w:tcBorders>
          </w:tcPr>
          <w:p>
            <w:pPr>
              <w:spacing w:after="0"/>
              <w:rPr>
                <w:sz w:val="17"/>
                <w:szCs w:val="17"/>
                <w:color w:val="auto"/>
              </w:rPr>
            </w:pP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13.5 %</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2,272</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332</w:t>
            </w:r>
          </w:p>
        </w:tc>
        <w:tc>
          <w:tcPr>
            <w:tcW w:w="80" w:type="dxa"/>
            <w:vAlign w:val="bottom"/>
            <w:tcBorders>
              <w:bottom w:val="single" w:sz="8" w:color="CCEEFF"/>
            </w:tcBorders>
          </w:tcPr>
          <w:p>
            <w:pPr>
              <w:spacing w:after="0"/>
              <w:rPr>
                <w:sz w:val="17"/>
                <w:szCs w:val="17"/>
                <w:color w:val="auto"/>
              </w:rPr>
            </w:pP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14.6 %</w:t>
            </w:r>
          </w:p>
        </w:tc>
        <w:tc>
          <w:tcPr>
            <w:tcW w:w="0" w:type="dxa"/>
            <w:vAlign w:val="bottom"/>
          </w:tcPr>
          <w:p>
            <w:pPr>
              <w:spacing w:after="0"/>
              <w:rPr>
                <w:sz w:val="1"/>
                <w:szCs w:val="1"/>
                <w:color w:val="auto"/>
              </w:rPr>
            </w:pPr>
          </w:p>
        </w:tc>
      </w:tr>
      <w:tr>
        <w:trPr>
          <w:trHeight w:val="225"/>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United States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3,792</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626</w:t>
            </w:r>
          </w:p>
        </w:tc>
        <w:tc>
          <w:tcPr>
            <w:tcW w:w="8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16.5 %</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4,032</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693</w:t>
            </w:r>
          </w:p>
        </w:tc>
        <w:tc>
          <w:tcPr>
            <w:tcW w:w="8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17.2 %</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China(a)</w:t>
            </w: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36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SGMS</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116</w:t>
            </w: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119</w:t>
            </w: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SGMW</w:t>
            </w:r>
          </w:p>
        </w:tc>
        <w:tc>
          <w:tcPr>
            <w:tcW w:w="1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233</w:t>
            </w:r>
          </w:p>
        </w:tc>
        <w:tc>
          <w:tcPr>
            <w:tcW w:w="80" w:type="dxa"/>
            <w:vAlign w:val="bottom"/>
            <w:tcBorders>
              <w:bottom w:val="single" w:sz="8" w:color="CCEEFF"/>
            </w:tcBorders>
          </w:tcPr>
          <w:p>
            <w:pPr>
              <w:spacing w:after="0"/>
              <w:rPr>
                <w:sz w:val="17"/>
                <w:szCs w:val="17"/>
                <w:color w:val="auto"/>
              </w:rPr>
            </w:pPr>
          </w:p>
        </w:tc>
        <w:tc>
          <w:tcPr>
            <w:tcW w:w="13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324</w:t>
            </w:r>
          </w:p>
        </w:tc>
        <w:tc>
          <w:tcPr>
            <w:tcW w:w="80" w:type="dxa"/>
            <w:vAlign w:val="bottom"/>
            <w:tcBorders>
              <w:bottom w:val="single" w:sz="8" w:color="CCEEFF"/>
            </w:tcBorders>
          </w:tcPr>
          <w:p>
            <w:pPr>
              <w:spacing w:after="0"/>
              <w:rPr>
                <w:sz w:val="17"/>
                <w:szCs w:val="17"/>
                <w:color w:val="auto"/>
              </w:rPr>
            </w:pPr>
          </w:p>
        </w:tc>
        <w:tc>
          <w:tcPr>
            <w:tcW w:w="13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5,062</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349</w:t>
            </w:r>
          </w:p>
        </w:tc>
        <w:tc>
          <w:tcPr>
            <w:tcW w:w="8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6.9 %</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5,811</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443</w:t>
            </w:r>
          </w:p>
        </w:tc>
        <w:tc>
          <w:tcPr>
            <w:tcW w:w="8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7.6 %</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sales by the Automotive China JVs: SAIC General Motors Sales Co., Ltd. (SGMS) and SAIC GM Wuling Automobile Co., Ltd. (SGMW).</w:t>
      </w:r>
    </w:p>
    <w:p>
      <w:pPr>
        <w:spacing w:after="0" w:line="1" w:lineRule="exact"/>
        <w:rPr>
          <w:rFonts w:ascii="Arial" w:cs="Arial" w:eastAsia="Arial" w:hAnsi="Arial"/>
          <w:sz w:val="14"/>
          <w:szCs w:val="14"/>
          <w:color w:val="auto"/>
        </w:rPr>
      </w:pPr>
    </w:p>
    <w:p>
      <w:pPr>
        <w:ind w:left="340" w:hanging="332"/>
        <w:spacing w:after="0" w:line="284" w:lineRule="auto"/>
        <w:tabs>
          <w:tab w:leader="none" w:pos="327" w:val="left"/>
        </w:tabs>
        <w:numPr>
          <w:ilvl w:val="0"/>
          <w:numId w:val="15"/>
        </w:numPr>
        <w:rPr>
          <w:rFonts w:ascii="Arial" w:cs="Arial" w:eastAsia="Arial" w:hAnsi="Arial"/>
          <w:sz w:val="14"/>
          <w:szCs w:val="14"/>
          <w:color w:val="auto"/>
        </w:rPr>
      </w:pPr>
      <w:r>
        <w:rPr>
          <w:rFonts w:ascii="Arial" w:cs="Arial" w:eastAsia="Arial" w:hAnsi="Arial"/>
          <w:sz w:val="14"/>
          <w:szCs w:val="14"/>
          <w:color w:val="auto"/>
        </w:rPr>
        <w:t>Cuba, Iran, North Korea, and Sudan have been subject to broad economic sanctions. Accordingly, these countries are excluded from industry sales data and corresponding calculation of market share.</w:t>
      </w:r>
    </w:p>
    <w:p>
      <w:pPr>
        <w:spacing w:after="0" w:line="289" w:lineRule="exact"/>
        <w:rPr>
          <w:sz w:val="20"/>
          <w:szCs w:val="20"/>
          <w:color w:val="auto"/>
        </w:rPr>
      </w:pPr>
    </w:p>
    <w:p>
      <w:pPr>
        <w:jc w:val="both"/>
        <w:ind w:right="20" w:firstLine="162"/>
        <w:spacing w:after="0" w:line="266" w:lineRule="auto"/>
        <w:rPr>
          <w:sz w:val="20"/>
          <w:szCs w:val="20"/>
          <w:color w:val="auto"/>
        </w:rPr>
      </w:pPr>
      <w:r>
        <w:rPr>
          <w:rFonts w:ascii="Arial" w:cs="Arial" w:eastAsia="Arial" w:hAnsi="Arial"/>
          <w:sz w:val="16"/>
          <w:szCs w:val="16"/>
          <w:color w:val="auto"/>
        </w:rPr>
        <w:t>As discussed above, total vehicle sales and market share data provided in the table above includes fleet vehicles. Certain fleet transactions, particularly sales to daily rental car companies, are generally less profitable than retail sales to end customers. The following table summarizes estimated fleet sales and those sales as a percentage of total vehicle sales (vehicles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860" w:type="dxa"/>
            <w:vAlign w:val="bottom"/>
          </w:tcPr>
          <w:p>
            <w:pPr>
              <w:spacing w:after="0"/>
              <w:rPr>
                <w:sz w:val="17"/>
                <w:szCs w:val="17"/>
                <w:color w:val="auto"/>
              </w:rPr>
            </w:pPr>
          </w:p>
        </w:tc>
        <w:tc>
          <w:tcPr>
            <w:tcW w:w="3380" w:type="dxa"/>
            <w:vAlign w:val="bottom"/>
            <w:tcBorders>
              <w:bottom w:val="single" w:sz="8" w:color="auto"/>
            </w:tcBorders>
            <w:gridSpan w:val="3"/>
          </w:tcPr>
          <w:p>
            <w:pPr>
              <w:jc w:val="right"/>
              <w:ind w:right="901"/>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7860" w:type="dxa"/>
            <w:vAlign w:val="bottom"/>
          </w:tcPr>
          <w:p>
            <w:pPr>
              <w:spacing w:after="0"/>
              <w:rPr>
                <w:sz w:val="17"/>
                <w:szCs w:val="17"/>
                <w:color w:val="auto"/>
              </w:rPr>
            </w:pPr>
          </w:p>
        </w:tc>
        <w:tc>
          <w:tcPr>
            <w:tcW w:w="1740" w:type="dxa"/>
            <w:vAlign w:val="bottom"/>
            <w:gridSpan w:val="2"/>
          </w:tcPr>
          <w:p>
            <w:pPr>
              <w:ind w:left="320"/>
              <w:spacing w:after="0"/>
              <w:rPr>
                <w:sz w:val="20"/>
                <w:szCs w:val="20"/>
                <w:color w:val="auto"/>
              </w:rPr>
            </w:pPr>
            <w:r>
              <w:rPr>
                <w:rFonts w:ascii="Arial" w:cs="Arial" w:eastAsia="Arial" w:hAnsi="Arial"/>
                <w:sz w:val="14"/>
                <w:szCs w:val="14"/>
                <w:b w:val="1"/>
                <w:bCs w:val="1"/>
                <w:color w:val="auto"/>
              </w:rPr>
              <w:t>March 31, 2026</w:t>
            </w:r>
          </w:p>
        </w:tc>
        <w:tc>
          <w:tcPr>
            <w:tcW w:w="1640" w:type="dxa"/>
            <w:vAlign w:val="bottom"/>
          </w:tcPr>
          <w:p>
            <w:pPr>
              <w:jc w:val="right"/>
              <w:ind w:right="221"/>
              <w:spacing w:after="0"/>
              <w:rPr>
                <w:sz w:val="20"/>
                <w:szCs w:val="20"/>
                <w:color w:val="auto"/>
              </w:rPr>
            </w:pPr>
            <w:r>
              <w:rPr>
                <w:rFonts w:ascii="Arial" w:cs="Arial" w:eastAsia="Arial" w:hAnsi="Arial"/>
                <w:sz w:val="14"/>
                <w:szCs w:val="14"/>
                <w:b w:val="1"/>
                <w:bCs w:val="1"/>
                <w:color w:val="auto"/>
              </w:rPr>
              <w:t>March 31, 2025</w:t>
            </w:r>
          </w:p>
        </w:tc>
      </w:tr>
      <w:tr>
        <w:trPr>
          <w:trHeight w:val="210"/>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GMNA</w:t>
            </w:r>
          </w:p>
        </w:tc>
        <w:tc>
          <w:tcPr>
            <w:tcW w:w="1640" w:type="dxa"/>
            <w:vAlign w:val="bottom"/>
            <w:tcBorders>
              <w:top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184</w:t>
            </w: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172</w:t>
            </w:r>
          </w:p>
        </w:tc>
      </w:tr>
      <w:tr>
        <w:trPr>
          <w:trHeight w:val="215"/>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GMI</w:t>
            </w:r>
          </w:p>
        </w:tc>
        <w:tc>
          <w:tcPr>
            <w:tcW w:w="16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67</w:t>
            </w:r>
          </w:p>
        </w:tc>
      </w:tr>
      <w:tr>
        <w:trPr>
          <w:trHeight w:val="235"/>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fleet sales</w:t>
            </w:r>
          </w:p>
        </w:tc>
        <w:tc>
          <w:tcPr>
            <w:tcW w:w="164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266</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239</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Fleet sales as a percentage of total vehicle sales</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20.6 %</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sectPr>
      <w:pgSz w:w="11900" w:h="16838" w:orient="portrait"/>
      <w:cols w:equalWidth="0" w:num="1">
        <w:col w:w="11240"/>
      </w:cols>
      <w:pgMar w:left="320" w:top="6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lowerLetter"/>
      <w:start w:val="1"/>
    </w:lvl>
  </w:abstractNum>
  <w:abstractNum w:abstractNumId="3">
    <w:nsid w:val="12200854"/>
    <w:multiLevelType w:val="hybridMultilevel"/>
    <w:lvl w:ilvl="0">
      <w:lvlJc w:val="left"/>
      <w:lvlText w:val="(%1)"/>
      <w:numFmt w:val="lowerLetter"/>
      <w:start w:val="1"/>
    </w:lvl>
  </w:abstractNum>
  <w:abstractNum w:abstractNumId="4">
    <w:nsid w:val="4DB127F8"/>
    <w:multiLevelType w:val="hybridMultilevel"/>
    <w:lvl w:ilvl="0">
      <w:lvlJc w:val="left"/>
      <w:lvlText w:val="(%1)"/>
      <w:numFmt w:val="lowerLetter"/>
      <w:start w:val="1"/>
    </w:lvl>
  </w:abstractNum>
  <w:abstractNum w:abstractNumId="5">
    <w:nsid w:val="216231B"/>
    <w:multiLevelType w:val="hybridMultilevel"/>
    <w:lvl w:ilvl="0">
      <w:lvlJc w:val="left"/>
      <w:lvlText w:val="1"/>
      <w:numFmt w:val="bullet"/>
      <w:start w:val="1"/>
    </w:lvl>
  </w:abstractNum>
  <w:abstractNum w:abstractNumId="6">
    <w:nsid w:val="1F16E9E8"/>
    <w:multiLevelType w:val="hybridMultilevel"/>
    <w:lvl w:ilvl="0">
      <w:lvlJc w:val="left"/>
      <w:lvlText w:val="(%1)"/>
      <w:numFmt w:val="lowerLetter"/>
      <w:start w:val="1"/>
    </w:lvl>
  </w:abstractNum>
  <w:abstractNum w:abstractNumId="7">
    <w:nsid w:val="1190CDE7"/>
    <w:multiLevelType w:val="hybridMultilevel"/>
    <w:lvl w:ilvl="0">
      <w:lvlJc w:val="left"/>
      <w:lvlText w:val="(%1)"/>
      <w:numFmt w:val="lowerLetter"/>
      <w:start w:val="1"/>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2026-04-28T06:31:43Z</dcterms:created>
  <dcterms:modified xsi:type="dcterms:W3CDTF">2026-04-28T06:31:43Z</dcterms:modified>
</cp:coreProperties>
</file>