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2678194.xml.htm"/>
      <w:bookmarkStart w:id="1" w:name="kswkform4_17026781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Glidden Craig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RENAISSANCE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M/C: 482-C24-A68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DETROIT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48265-3000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General Motors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&amp; GC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58,841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58,841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58,841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("RSUs") reported in this item were awarded pursuant to the Company's 2020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do not have a conversion or exercise price. Upon vesting they will be settled in shares of the Company's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do not have a date on which they are exercisable. They will vest and settle on December 13,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do not have a date on which they will expire. They will vest and settle on December 13,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 Y. Turk, Attorney-In-Fact for Mr. Glidden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00309" TargetMode="External"/><Relationship Id="rId4" Type="http://schemas.openxmlformats.org/officeDocument/2006/relationships/hyperlink" Target="http://www.sec.gov/cgi-bin/browse-edgar?action=getcompany&amp;CIK=00014678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3518</Characters>
  <CharactersWithSpaces>4112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