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February 6, 2014</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77470</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14" w:lineRule="exact"/>
        <w:rPr>
          <w:sz w:val="20"/>
          <w:szCs w:val="20"/>
          <w:color w:val="auto"/>
        </w:rPr>
      </w:pPr>
    </w:p>
    <w:p>
      <w:pPr>
        <w:ind w:right="5039"/>
        <w:spacing w:after="0" w:line="277" w:lineRule="auto"/>
        <w:rPr>
          <w:sz w:val="20"/>
          <w:szCs w:val="20"/>
          <w:color w:val="auto"/>
        </w:rPr>
      </w:pPr>
      <w:r>
        <w:rPr>
          <w:rFonts w:ascii="Arial" w:cs="Arial" w:eastAsia="Arial" w:hAnsi="Arial"/>
          <w:sz w:val="16"/>
          <w:szCs w:val="16"/>
          <w:b w:val="1"/>
          <w:bCs w:val="1"/>
          <w:color w:val="auto"/>
        </w:rPr>
        <w:t>ITEM 2.02 RESULTS OF OPERATIONS AND FINANCIAL CONDITION ITEM 9.01 FINANCIAL STATEMENTS AND EXHIBITS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News Release Dated February 6, 2014 and Financial Statements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jc w:val="both"/>
        <w:ind w:firstLine="145"/>
        <w:spacing w:after="0" w:line="265" w:lineRule="auto"/>
        <w:rPr>
          <w:sz w:val="20"/>
          <w:szCs w:val="20"/>
          <w:color w:val="auto"/>
        </w:rPr>
      </w:pPr>
      <w:r>
        <w:rPr>
          <w:rFonts w:ascii="Arial" w:cs="Arial" w:eastAsia="Arial" w:hAnsi="Arial"/>
          <w:sz w:val="16"/>
          <w:szCs w:val="16"/>
          <w:color w:val="auto"/>
        </w:rPr>
        <w:t>On February 6, 2014 a news release was issued on the subject of 2013 fourth quarter and full year consolidated earnings for General Motors Company (GM). The news release did not include certain financial statements, related footnotes and certain other financial information that will be filed with the Securities and Exchange Commission as part of GM's Annual Report on Form 10-K. The news release and financial statements are incorporated as Exhibit 99.1.</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Charts furnished to securities analysts in connection with GM's 2013 fourth quarter and full year earnings release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1"/>
        </w:trPr>
        <w:tc>
          <w:tcPr>
            <w:tcW w:w="218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5720" w:type="dxa"/>
            <w:vAlign w:val="bottom"/>
            <w:gridSpan w:val="5"/>
          </w:tcPr>
          <w:p>
            <w:pPr>
              <w:ind w:left="1360"/>
              <w:spacing w:after="0"/>
              <w:rPr>
                <w:sz w:val="20"/>
                <w:szCs w:val="20"/>
                <w:color w:val="auto"/>
              </w:rPr>
            </w:pPr>
            <w:r>
              <w:rPr>
                <w:rFonts w:ascii="Arial" w:cs="Arial" w:eastAsia="Arial" w:hAnsi="Arial"/>
                <w:sz w:val="16"/>
                <w:szCs w:val="16"/>
                <w:color w:val="auto"/>
                <w:w w:val="94"/>
              </w:rPr>
              <w:t>News Release Dated February 6, 2014 and Financial Statements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218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5720" w:type="dxa"/>
            <w:vAlign w:val="bottom"/>
            <w:gridSpan w:val="5"/>
          </w:tcPr>
          <w:p>
            <w:pPr>
              <w:ind w:left="1360"/>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420"/>
          </w:cols>
          <w:pgMar w:left="240" w:top="7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firstLine="145"/>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THOMAS S. TIMKO</w:t>
            </w:r>
          </w:p>
        </w:tc>
        <w:tc>
          <w:tcPr>
            <w:tcW w:w="0" w:type="dxa"/>
            <w:vAlign w:val="bottom"/>
          </w:tcPr>
          <w:p>
            <w:pPr>
              <w:spacing w:after="0"/>
              <w:rPr>
                <w:sz w:val="1"/>
                <w:szCs w:val="1"/>
                <w:color w:val="auto"/>
              </w:rPr>
            </w:pPr>
          </w:p>
        </w:tc>
      </w:tr>
      <w:tr>
        <w:trPr>
          <w:trHeight w:val="24"/>
        </w:trPr>
        <w:tc>
          <w:tcPr>
            <w:tcW w:w="3140" w:type="dxa"/>
            <w:vAlign w:val="bottom"/>
            <w:vMerge w:val="restart"/>
          </w:tcPr>
          <w:p>
            <w:pPr>
              <w:spacing w:after="0"/>
              <w:rPr>
                <w:sz w:val="20"/>
                <w:szCs w:val="20"/>
                <w:color w:val="auto"/>
              </w:rPr>
            </w:pPr>
            <w:r>
              <w:rPr>
                <w:rFonts w:ascii="Arial" w:cs="Arial" w:eastAsia="Arial" w:hAnsi="Arial"/>
                <w:sz w:val="16"/>
                <w:szCs w:val="16"/>
                <w:color w:val="auto"/>
              </w:rPr>
              <w:t>Date: February 6, 2014</w:t>
            </w:r>
          </w:p>
        </w:tc>
        <w:tc>
          <w:tcPr>
            <w:tcW w:w="2280" w:type="dxa"/>
            <w:vAlign w:val="bottom"/>
            <w:vMerge w:val="restart"/>
          </w:tcPr>
          <w:p>
            <w:pPr>
              <w:ind w:left="166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Thomas S. Timko</w:t>
            </w: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6"/>
          <w:szCs w:val="2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Release: Thursday, Feb. 6, 2014, 7:30 a.m. EST</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23"/>
          <w:szCs w:val="23"/>
          <w:b w:val="1"/>
          <w:bCs w:val="1"/>
          <w:color w:val="auto"/>
        </w:rPr>
        <w:t>GM Reports 2013 Net Income of $3.8 Billion</w:t>
      </w:r>
    </w:p>
    <w:p>
      <w:pPr>
        <w:spacing w:after="0" w:line="22"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Full-year EBIT-adjusted of $8.6 billion, up from $7.9 billion in 2012</w:t>
      </w:r>
    </w:p>
    <w:p>
      <w:pPr>
        <w:spacing w:after="0" w:line="175"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Company posts fourth consecutive year of profits</w:t>
      </w:r>
    </w:p>
    <w:p>
      <w:pPr>
        <w:spacing w:after="0" w:line="25"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Fourth quarter net income of $0.9 billion, compared to $0.9 billion last year</w:t>
      </w:r>
    </w:p>
    <w:p>
      <w:pPr>
        <w:spacing w:after="0" w:line="9"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EBIT-adjusted of $1.9 billion in fourth quarter, up from $1.2 billion last year</w:t>
      </w:r>
    </w:p>
    <w:p>
      <w:pPr>
        <w:spacing w:after="0" w:line="9"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GM North America records best year ever with EBIT-adjusted of $7.5 billion</w:t>
      </w:r>
    </w:p>
    <w:p>
      <w:pPr>
        <w:spacing w:after="0" w:line="182" w:lineRule="exact"/>
        <w:rPr>
          <w:sz w:val="20"/>
          <w:szCs w:val="20"/>
          <w:color w:val="auto"/>
        </w:rPr>
      </w:pPr>
    </w:p>
    <w:p>
      <w:pPr>
        <w:ind w:left="4" w:right="240"/>
        <w:spacing w:after="0" w:line="250"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2013 calendar-year net income attributable to common stockholders of $3.8 billion, or $2.38</w:t>
      </w:r>
      <w:r>
        <w:rPr>
          <w:rFonts w:ascii="Arial" w:cs="Arial" w:eastAsia="Arial" w:hAnsi="Arial"/>
          <w:sz w:val="18"/>
          <w:szCs w:val="18"/>
          <w:b w:val="1"/>
          <w:bCs w:val="1"/>
          <w:color w:val="auto"/>
        </w:rPr>
        <w:t xml:space="preserve"> </w:t>
      </w:r>
      <w:r>
        <w:rPr>
          <w:rFonts w:ascii="Arial" w:cs="Arial" w:eastAsia="Arial" w:hAnsi="Arial"/>
          <w:sz w:val="18"/>
          <w:szCs w:val="18"/>
          <w:color w:val="auto"/>
        </w:rPr>
        <w:t>per fully diluted share, down from $4.9 billion, or $2.92 per fully diluted share in 2012. Operating performance improved during the year, but was more than offset by a net loss from special items and incremental tax expense.</w:t>
      </w:r>
    </w:p>
    <w:p>
      <w:pPr>
        <w:spacing w:after="0" w:line="167" w:lineRule="exact"/>
        <w:rPr>
          <w:sz w:val="20"/>
          <w:szCs w:val="20"/>
          <w:color w:val="auto"/>
        </w:rPr>
      </w:pPr>
    </w:p>
    <w:p>
      <w:pPr>
        <w:ind w:left="4" w:right="220"/>
        <w:spacing w:after="0" w:line="244" w:lineRule="auto"/>
        <w:rPr>
          <w:sz w:val="20"/>
          <w:szCs w:val="20"/>
          <w:color w:val="auto"/>
        </w:rPr>
      </w:pPr>
      <w:r>
        <w:rPr>
          <w:rFonts w:ascii="Arial" w:cs="Arial" w:eastAsia="Arial" w:hAnsi="Arial"/>
          <w:sz w:val="18"/>
          <w:szCs w:val="18"/>
          <w:color w:val="auto"/>
        </w:rPr>
        <w:t>Special items during the calendar year impacted full-year net income to common stockholders unfavorably, $(1.3) billion, or $(0.80) per share, compared to an unfavorable $(0.5) billion impact in 2012, or $(0.32) per share. These special items included charges for several strategic decisions taken to improve the company’s future competitiveness in key global markets. Full-year results were also impacted by incremental tax expense of $(1.7) billion or $(1.02) per fully diluted share compared to 2012.</w:t>
      </w:r>
    </w:p>
    <w:p>
      <w:pPr>
        <w:spacing w:after="0" w:line="171"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Revenue increased 2 percent to $155.4 billion, compared with $152.3 billion in 2012. Full-year earnings before interest and tax (EBIT) adjusted was $8.6 billion, compared with $7.9 billion in 2012. Full-year EBIT-adjusted for 2013 includes the impact of restructuring charges of $(0.4) billion.</w:t>
      </w:r>
    </w:p>
    <w:p>
      <w:pPr>
        <w:spacing w:after="0" w:line="137"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“Launches of some of the best vehicles in our history combined with significant improvements in our core business led to a solid year,” said GM CEO Mary Barra. “The tough decisions made during the year will further strengthen our operations. We’re now in execution mode and our sole focus will be on delivering results on a global basis.”</w:t>
      </w:r>
    </w:p>
    <w:p>
      <w:pPr>
        <w:spacing w:after="0" w:line="19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14"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 xml:space="preserve">Overview </w:t>
      </w:r>
      <w:r>
        <w:rPr>
          <w:rFonts w:ascii="Arial" w:cs="Arial" w:eastAsia="Arial" w:hAnsi="Arial"/>
          <w:sz w:val="15"/>
          <w:szCs w:val="15"/>
          <w:color w:val="auto"/>
        </w:rPr>
        <w:t>(in billions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Revenue</w:t>
      </w:r>
    </w:p>
    <w:p>
      <w:pPr>
        <w:spacing w:after="0" w:line="46" w:lineRule="exact"/>
        <w:rPr>
          <w:sz w:val="20"/>
          <w:szCs w:val="20"/>
          <w:color w:val="auto"/>
        </w:rPr>
      </w:pPr>
    </w:p>
    <w:p>
      <w:pPr>
        <w:ind w:left="580" w:right="1100"/>
        <w:spacing w:after="0" w:line="364" w:lineRule="auto"/>
        <w:rPr>
          <w:sz w:val="20"/>
          <w:szCs w:val="20"/>
          <w:color w:val="auto"/>
        </w:rPr>
      </w:pPr>
      <w:r>
        <w:rPr>
          <w:rFonts w:ascii="Arial" w:cs="Arial" w:eastAsia="Arial" w:hAnsi="Arial"/>
          <w:sz w:val="15"/>
          <w:szCs w:val="15"/>
          <w:b w:val="1"/>
          <w:bCs w:val="1"/>
          <w:color w:val="auto"/>
        </w:rPr>
        <w:t>Net income attributable to common stockholders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Earnings per share</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(EPS) fully diluted</w:t>
      </w:r>
    </w:p>
    <w:p>
      <w:pPr>
        <w:spacing w:after="0" w:line="26" w:lineRule="exact"/>
        <w:rPr>
          <w:sz w:val="20"/>
          <w:szCs w:val="20"/>
          <w:color w:val="auto"/>
        </w:rPr>
      </w:pPr>
    </w:p>
    <w:p>
      <w:pPr>
        <w:ind w:left="580" w:right="760"/>
        <w:spacing w:after="0" w:line="263" w:lineRule="auto"/>
        <w:rPr>
          <w:sz w:val="20"/>
          <w:szCs w:val="20"/>
          <w:color w:val="auto"/>
        </w:rPr>
      </w:pPr>
      <w:r>
        <w:rPr>
          <w:rFonts w:ascii="Arial" w:cs="Arial" w:eastAsia="Arial" w:hAnsi="Arial"/>
          <w:sz w:val="18"/>
          <w:szCs w:val="18"/>
          <w:b w:val="1"/>
          <w:bCs w:val="1"/>
          <w:color w:val="auto"/>
        </w:rPr>
        <w:t>Impact of special items on EPS fully diluted</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EBIT-adjusted</w:t>
      </w:r>
    </w:p>
    <w:p>
      <w:pPr>
        <w:spacing w:after="0" w:line="46" w:lineRule="exact"/>
        <w:rPr>
          <w:sz w:val="20"/>
          <w:szCs w:val="20"/>
          <w:color w:val="auto"/>
        </w:rPr>
      </w:pPr>
    </w:p>
    <w:p>
      <w:pPr>
        <w:ind w:left="580" w:right="780"/>
        <w:spacing w:after="0" w:line="263" w:lineRule="auto"/>
        <w:rPr>
          <w:sz w:val="20"/>
          <w:szCs w:val="20"/>
          <w:color w:val="auto"/>
        </w:rPr>
      </w:pPr>
      <w:r>
        <w:rPr>
          <w:rFonts w:ascii="Arial" w:cs="Arial" w:eastAsia="Arial" w:hAnsi="Arial"/>
          <w:sz w:val="18"/>
          <w:szCs w:val="18"/>
          <w:b w:val="1"/>
          <w:bCs w:val="1"/>
          <w:color w:val="auto"/>
        </w:rPr>
        <w:t>Automotive net cash flow from operating activities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Adjusted automotive</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free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Q4 2012</w:t>
            </w:r>
          </w:p>
        </w:tc>
        <w:tc>
          <w:tcPr>
            <w:tcW w:w="1640" w:type="dxa"/>
            <w:vAlign w:val="bottom"/>
          </w:tcPr>
          <w:p>
            <w:pPr>
              <w:jc w:val="center"/>
              <w:ind w:right="72"/>
              <w:spacing w:after="0"/>
              <w:rPr>
                <w:sz w:val="20"/>
                <w:szCs w:val="20"/>
                <w:color w:val="auto"/>
              </w:rPr>
            </w:pPr>
            <w:r>
              <w:rPr>
                <w:rFonts w:ascii="Arial" w:cs="Arial" w:eastAsia="Arial" w:hAnsi="Arial"/>
                <w:sz w:val="18"/>
                <w:szCs w:val="18"/>
                <w:b w:val="1"/>
                <w:bCs w:val="1"/>
                <w:color w:val="auto"/>
                <w:w w:val="92"/>
              </w:rPr>
              <w:t>Q4 2013</w:t>
            </w:r>
          </w:p>
        </w:tc>
        <w:tc>
          <w:tcPr>
            <w:tcW w:w="2160" w:type="dxa"/>
            <w:vAlign w:val="bottom"/>
          </w:tcPr>
          <w:p>
            <w:pPr>
              <w:ind w:left="600"/>
              <w:spacing w:after="0"/>
              <w:rPr>
                <w:sz w:val="20"/>
                <w:szCs w:val="20"/>
                <w:color w:val="auto"/>
              </w:rPr>
            </w:pPr>
            <w:r>
              <w:rPr>
                <w:rFonts w:ascii="Arial" w:cs="Arial" w:eastAsia="Arial" w:hAnsi="Arial"/>
                <w:sz w:val="18"/>
                <w:szCs w:val="18"/>
                <w:b w:val="1"/>
                <w:bCs w:val="1"/>
                <w:color w:val="auto"/>
              </w:rPr>
              <w:t>Full-year 2012</w:t>
            </w:r>
          </w:p>
        </w:tc>
        <w:tc>
          <w:tcPr>
            <w:tcW w:w="1540" w:type="dxa"/>
            <w:vAlign w:val="bottom"/>
          </w:tcPr>
          <w:p>
            <w:pPr>
              <w:ind w:left="460"/>
              <w:spacing w:after="0"/>
              <w:rPr>
                <w:sz w:val="20"/>
                <w:szCs w:val="20"/>
                <w:color w:val="auto"/>
              </w:rPr>
            </w:pPr>
            <w:r>
              <w:rPr>
                <w:rFonts w:ascii="Arial" w:cs="Arial" w:eastAsia="Arial" w:hAnsi="Arial"/>
                <w:sz w:val="18"/>
                <w:szCs w:val="18"/>
                <w:b w:val="1"/>
                <w:bCs w:val="1"/>
                <w:color w:val="auto"/>
                <w:w w:val="88"/>
              </w:rPr>
              <w:t>Full-year 2013</w:t>
            </w:r>
          </w:p>
        </w:tc>
      </w:tr>
      <w:tr>
        <w:trPr>
          <w:trHeight w:val="941"/>
        </w:trPr>
        <w:tc>
          <w:tcPr>
            <w:tcW w:w="1060" w:type="dxa"/>
            <w:vAlign w:val="bottom"/>
          </w:tcPr>
          <w:p>
            <w:pPr>
              <w:jc w:val="center"/>
              <w:ind w:right="372"/>
              <w:spacing w:after="0"/>
              <w:rPr>
                <w:sz w:val="20"/>
                <w:szCs w:val="20"/>
                <w:color w:val="auto"/>
              </w:rPr>
            </w:pPr>
            <w:r>
              <w:rPr>
                <w:rFonts w:ascii="Arial" w:cs="Arial" w:eastAsia="Arial" w:hAnsi="Arial"/>
                <w:sz w:val="18"/>
                <w:szCs w:val="18"/>
                <w:color w:val="auto"/>
                <w:w w:val="88"/>
              </w:rPr>
              <w:t>$39.3</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88"/>
              </w:rPr>
              <w:t>$40.5</w:t>
            </w:r>
          </w:p>
        </w:tc>
        <w:tc>
          <w:tcPr>
            <w:tcW w:w="2160" w:type="dxa"/>
            <w:vAlign w:val="bottom"/>
          </w:tcPr>
          <w:p>
            <w:pPr>
              <w:jc w:val="center"/>
              <w:ind w:left="52"/>
              <w:spacing w:after="0"/>
              <w:rPr>
                <w:sz w:val="20"/>
                <w:szCs w:val="20"/>
                <w:color w:val="auto"/>
              </w:rPr>
            </w:pPr>
            <w:r>
              <w:rPr>
                <w:rFonts w:ascii="Arial" w:cs="Arial" w:eastAsia="Arial" w:hAnsi="Arial"/>
                <w:sz w:val="18"/>
                <w:szCs w:val="18"/>
                <w:color w:val="auto"/>
                <w:w w:val="90"/>
              </w:rPr>
              <w:t>$152.3</w:t>
            </w:r>
          </w:p>
        </w:tc>
        <w:tc>
          <w:tcPr>
            <w:tcW w:w="1540" w:type="dxa"/>
            <w:vAlign w:val="bottom"/>
          </w:tcPr>
          <w:p>
            <w:pPr>
              <w:jc w:val="center"/>
              <w:ind w:left="372"/>
              <w:spacing w:after="0"/>
              <w:rPr>
                <w:sz w:val="20"/>
                <w:szCs w:val="20"/>
                <w:color w:val="auto"/>
              </w:rPr>
            </w:pPr>
            <w:r>
              <w:rPr>
                <w:rFonts w:ascii="Arial" w:cs="Arial" w:eastAsia="Arial" w:hAnsi="Arial"/>
                <w:sz w:val="18"/>
                <w:szCs w:val="18"/>
                <w:color w:val="auto"/>
                <w:w w:val="87"/>
              </w:rPr>
              <w:t>$155.4</w:t>
            </w:r>
          </w:p>
        </w:tc>
      </w:tr>
      <w:tr>
        <w:trPr>
          <w:trHeight w:val="350"/>
        </w:trPr>
        <w:tc>
          <w:tcPr>
            <w:tcW w:w="1060" w:type="dxa"/>
            <w:vAlign w:val="bottom"/>
          </w:tcPr>
          <w:p>
            <w:pPr>
              <w:jc w:val="center"/>
              <w:ind w:right="372"/>
              <w:spacing w:after="0"/>
              <w:rPr>
                <w:sz w:val="20"/>
                <w:szCs w:val="20"/>
                <w:color w:val="auto"/>
              </w:rPr>
            </w:pPr>
            <w:r>
              <w:rPr>
                <w:rFonts w:ascii="Arial" w:cs="Arial" w:eastAsia="Arial" w:hAnsi="Arial"/>
                <w:sz w:val="18"/>
                <w:szCs w:val="18"/>
                <w:color w:val="auto"/>
                <w:w w:val="91"/>
              </w:rPr>
              <w:t>$0.9</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91"/>
              </w:rPr>
              <w:t>$0.9</w:t>
            </w:r>
          </w:p>
        </w:tc>
        <w:tc>
          <w:tcPr>
            <w:tcW w:w="2160" w:type="dxa"/>
            <w:vAlign w:val="bottom"/>
          </w:tcPr>
          <w:p>
            <w:pPr>
              <w:jc w:val="center"/>
              <w:ind w:left="52"/>
              <w:spacing w:after="0"/>
              <w:rPr>
                <w:sz w:val="20"/>
                <w:szCs w:val="20"/>
                <w:color w:val="auto"/>
              </w:rPr>
            </w:pPr>
            <w:r>
              <w:rPr>
                <w:rFonts w:ascii="Arial" w:cs="Arial" w:eastAsia="Arial" w:hAnsi="Arial"/>
                <w:sz w:val="18"/>
                <w:szCs w:val="18"/>
                <w:color w:val="auto"/>
                <w:w w:val="85"/>
              </w:rPr>
              <w:t>$4.9</w:t>
            </w:r>
          </w:p>
        </w:tc>
        <w:tc>
          <w:tcPr>
            <w:tcW w:w="1540" w:type="dxa"/>
            <w:vAlign w:val="bottom"/>
          </w:tcPr>
          <w:p>
            <w:pPr>
              <w:jc w:val="center"/>
              <w:ind w:left="372"/>
              <w:spacing w:after="0"/>
              <w:rPr>
                <w:sz w:val="20"/>
                <w:szCs w:val="20"/>
                <w:color w:val="auto"/>
              </w:rPr>
            </w:pPr>
            <w:r>
              <w:rPr>
                <w:rFonts w:ascii="Arial" w:cs="Arial" w:eastAsia="Arial" w:hAnsi="Arial"/>
                <w:sz w:val="18"/>
                <w:szCs w:val="18"/>
                <w:color w:val="auto"/>
                <w:w w:val="91"/>
              </w:rPr>
              <w:t>$3.8</w:t>
            </w:r>
          </w:p>
        </w:tc>
      </w:tr>
      <w:tr>
        <w:trPr>
          <w:trHeight w:val="555"/>
        </w:trPr>
        <w:tc>
          <w:tcPr>
            <w:tcW w:w="1060" w:type="dxa"/>
            <w:vAlign w:val="bottom"/>
          </w:tcPr>
          <w:p>
            <w:pPr>
              <w:jc w:val="center"/>
              <w:ind w:right="372"/>
              <w:spacing w:after="0"/>
              <w:rPr>
                <w:sz w:val="20"/>
                <w:szCs w:val="20"/>
                <w:color w:val="auto"/>
              </w:rPr>
            </w:pPr>
            <w:r>
              <w:rPr>
                <w:rFonts w:ascii="Arial" w:cs="Arial" w:eastAsia="Arial" w:hAnsi="Arial"/>
                <w:sz w:val="18"/>
                <w:szCs w:val="18"/>
                <w:color w:val="auto"/>
                <w:w w:val="88"/>
              </w:rPr>
              <w:t>$0.54</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88"/>
              </w:rPr>
              <w:t>$0.57</w:t>
            </w:r>
          </w:p>
        </w:tc>
        <w:tc>
          <w:tcPr>
            <w:tcW w:w="2160" w:type="dxa"/>
            <w:vAlign w:val="bottom"/>
          </w:tcPr>
          <w:p>
            <w:pPr>
              <w:jc w:val="center"/>
              <w:ind w:left="52"/>
              <w:spacing w:after="0"/>
              <w:rPr>
                <w:sz w:val="20"/>
                <w:szCs w:val="20"/>
                <w:color w:val="auto"/>
              </w:rPr>
            </w:pPr>
            <w:r>
              <w:rPr>
                <w:rFonts w:ascii="Arial" w:cs="Arial" w:eastAsia="Arial" w:hAnsi="Arial"/>
                <w:sz w:val="18"/>
                <w:szCs w:val="18"/>
                <w:color w:val="auto"/>
                <w:w w:val="84"/>
              </w:rPr>
              <w:t>$2.92</w:t>
            </w:r>
          </w:p>
        </w:tc>
        <w:tc>
          <w:tcPr>
            <w:tcW w:w="1540" w:type="dxa"/>
            <w:vAlign w:val="bottom"/>
          </w:tcPr>
          <w:p>
            <w:pPr>
              <w:jc w:val="center"/>
              <w:ind w:left="372"/>
              <w:spacing w:after="0"/>
              <w:rPr>
                <w:sz w:val="20"/>
                <w:szCs w:val="20"/>
                <w:color w:val="auto"/>
              </w:rPr>
            </w:pPr>
            <w:r>
              <w:rPr>
                <w:rFonts w:ascii="Arial" w:cs="Arial" w:eastAsia="Arial" w:hAnsi="Arial"/>
                <w:sz w:val="18"/>
                <w:szCs w:val="18"/>
                <w:color w:val="auto"/>
                <w:w w:val="88"/>
              </w:rPr>
              <w:t>$2.38</w:t>
            </w:r>
          </w:p>
        </w:tc>
      </w:tr>
      <w:tr>
        <w:trPr>
          <w:trHeight w:val="458"/>
        </w:trPr>
        <w:tc>
          <w:tcPr>
            <w:tcW w:w="1060" w:type="dxa"/>
            <w:vAlign w:val="bottom"/>
          </w:tcPr>
          <w:p>
            <w:pPr>
              <w:jc w:val="center"/>
              <w:ind w:right="372"/>
              <w:spacing w:after="0"/>
              <w:rPr>
                <w:sz w:val="20"/>
                <w:szCs w:val="20"/>
                <w:color w:val="auto"/>
              </w:rPr>
            </w:pPr>
            <w:r>
              <w:rPr>
                <w:rFonts w:ascii="Arial" w:cs="Arial" w:eastAsia="Arial" w:hAnsi="Arial"/>
                <w:sz w:val="18"/>
                <w:szCs w:val="18"/>
                <w:color w:val="auto"/>
                <w:w w:val="88"/>
              </w:rPr>
              <w:t>$0.06</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91"/>
              </w:rPr>
              <w:t>$(0.10)</w:t>
            </w:r>
          </w:p>
        </w:tc>
        <w:tc>
          <w:tcPr>
            <w:tcW w:w="2160" w:type="dxa"/>
            <w:vAlign w:val="bottom"/>
          </w:tcPr>
          <w:p>
            <w:pPr>
              <w:jc w:val="center"/>
              <w:ind w:left="52"/>
              <w:spacing w:after="0"/>
              <w:rPr>
                <w:sz w:val="20"/>
                <w:szCs w:val="20"/>
                <w:color w:val="auto"/>
              </w:rPr>
            </w:pPr>
            <w:r>
              <w:rPr>
                <w:rFonts w:ascii="Arial" w:cs="Arial" w:eastAsia="Arial" w:hAnsi="Arial"/>
                <w:sz w:val="18"/>
                <w:szCs w:val="18"/>
                <w:color w:val="auto"/>
                <w:w w:val="87"/>
              </w:rPr>
              <w:t>$(0.32)</w:t>
            </w:r>
          </w:p>
        </w:tc>
        <w:tc>
          <w:tcPr>
            <w:tcW w:w="1540" w:type="dxa"/>
            <w:vAlign w:val="bottom"/>
          </w:tcPr>
          <w:p>
            <w:pPr>
              <w:jc w:val="center"/>
              <w:ind w:left="372"/>
              <w:spacing w:after="0"/>
              <w:rPr>
                <w:sz w:val="20"/>
                <w:szCs w:val="20"/>
                <w:color w:val="auto"/>
              </w:rPr>
            </w:pPr>
            <w:r>
              <w:rPr>
                <w:rFonts w:ascii="Arial" w:cs="Arial" w:eastAsia="Arial" w:hAnsi="Arial"/>
                <w:sz w:val="18"/>
                <w:szCs w:val="18"/>
                <w:color w:val="auto"/>
                <w:w w:val="91"/>
              </w:rPr>
              <w:t>$(0.80)</w:t>
            </w:r>
          </w:p>
        </w:tc>
      </w:tr>
      <w:tr>
        <w:trPr>
          <w:trHeight w:val="470"/>
        </w:trPr>
        <w:tc>
          <w:tcPr>
            <w:tcW w:w="1060" w:type="dxa"/>
            <w:vAlign w:val="bottom"/>
          </w:tcPr>
          <w:p>
            <w:pPr>
              <w:jc w:val="center"/>
              <w:ind w:right="372"/>
              <w:spacing w:after="0"/>
              <w:rPr>
                <w:sz w:val="20"/>
                <w:szCs w:val="20"/>
                <w:color w:val="auto"/>
              </w:rPr>
            </w:pPr>
            <w:r>
              <w:rPr>
                <w:rFonts w:ascii="Arial" w:cs="Arial" w:eastAsia="Arial" w:hAnsi="Arial"/>
                <w:sz w:val="18"/>
                <w:szCs w:val="18"/>
                <w:color w:val="auto"/>
                <w:w w:val="91"/>
              </w:rPr>
              <w:t>$1.2</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91"/>
              </w:rPr>
              <w:t>$1.9</w:t>
            </w:r>
          </w:p>
        </w:tc>
        <w:tc>
          <w:tcPr>
            <w:tcW w:w="2160" w:type="dxa"/>
            <w:vAlign w:val="bottom"/>
          </w:tcPr>
          <w:p>
            <w:pPr>
              <w:jc w:val="center"/>
              <w:ind w:left="52"/>
              <w:spacing w:after="0"/>
              <w:rPr>
                <w:sz w:val="20"/>
                <w:szCs w:val="20"/>
                <w:color w:val="auto"/>
              </w:rPr>
            </w:pPr>
            <w:r>
              <w:rPr>
                <w:rFonts w:ascii="Arial" w:cs="Arial" w:eastAsia="Arial" w:hAnsi="Arial"/>
                <w:sz w:val="18"/>
                <w:szCs w:val="18"/>
                <w:color w:val="auto"/>
                <w:w w:val="85"/>
              </w:rPr>
              <w:t>$7.9</w:t>
            </w:r>
          </w:p>
        </w:tc>
        <w:tc>
          <w:tcPr>
            <w:tcW w:w="1540" w:type="dxa"/>
            <w:vAlign w:val="bottom"/>
          </w:tcPr>
          <w:p>
            <w:pPr>
              <w:jc w:val="center"/>
              <w:ind w:left="372"/>
              <w:spacing w:after="0"/>
              <w:rPr>
                <w:sz w:val="20"/>
                <w:szCs w:val="20"/>
                <w:color w:val="auto"/>
              </w:rPr>
            </w:pPr>
            <w:r>
              <w:rPr>
                <w:rFonts w:ascii="Arial" w:cs="Arial" w:eastAsia="Arial" w:hAnsi="Arial"/>
                <w:sz w:val="18"/>
                <w:szCs w:val="18"/>
                <w:color w:val="auto"/>
                <w:w w:val="91"/>
              </w:rPr>
              <w:t>$8.6</w:t>
            </w:r>
          </w:p>
        </w:tc>
      </w:tr>
      <w:tr>
        <w:trPr>
          <w:trHeight w:val="350"/>
        </w:trPr>
        <w:tc>
          <w:tcPr>
            <w:tcW w:w="1060" w:type="dxa"/>
            <w:vAlign w:val="bottom"/>
          </w:tcPr>
          <w:p>
            <w:pPr>
              <w:jc w:val="center"/>
              <w:ind w:right="372"/>
              <w:spacing w:after="0"/>
              <w:rPr>
                <w:sz w:val="20"/>
                <w:szCs w:val="20"/>
                <w:color w:val="auto"/>
              </w:rPr>
            </w:pPr>
            <w:r>
              <w:rPr>
                <w:rFonts w:ascii="Arial" w:cs="Arial" w:eastAsia="Arial" w:hAnsi="Arial"/>
                <w:sz w:val="18"/>
                <w:szCs w:val="18"/>
                <w:color w:val="auto"/>
                <w:w w:val="91"/>
              </w:rPr>
              <w:t>$0.5</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91"/>
              </w:rPr>
              <w:t>$2.8</w:t>
            </w:r>
          </w:p>
        </w:tc>
        <w:tc>
          <w:tcPr>
            <w:tcW w:w="2160" w:type="dxa"/>
            <w:vAlign w:val="bottom"/>
          </w:tcPr>
          <w:p>
            <w:pPr>
              <w:jc w:val="center"/>
              <w:ind w:left="52"/>
              <w:spacing w:after="0"/>
              <w:rPr>
                <w:sz w:val="20"/>
                <w:szCs w:val="20"/>
                <w:color w:val="auto"/>
              </w:rPr>
            </w:pPr>
            <w:r>
              <w:rPr>
                <w:rFonts w:ascii="Arial" w:cs="Arial" w:eastAsia="Arial" w:hAnsi="Arial"/>
                <w:sz w:val="18"/>
                <w:szCs w:val="18"/>
                <w:color w:val="auto"/>
                <w:w w:val="85"/>
              </w:rPr>
              <w:t>$9.6</w:t>
            </w:r>
          </w:p>
        </w:tc>
        <w:tc>
          <w:tcPr>
            <w:tcW w:w="1540" w:type="dxa"/>
            <w:vAlign w:val="bottom"/>
          </w:tcPr>
          <w:p>
            <w:pPr>
              <w:jc w:val="center"/>
              <w:ind w:left="372"/>
              <w:spacing w:after="0"/>
              <w:rPr>
                <w:sz w:val="20"/>
                <w:szCs w:val="20"/>
                <w:color w:val="auto"/>
              </w:rPr>
            </w:pPr>
            <w:r>
              <w:rPr>
                <w:rFonts w:ascii="Arial" w:cs="Arial" w:eastAsia="Arial" w:hAnsi="Arial"/>
                <w:sz w:val="18"/>
                <w:szCs w:val="18"/>
                <w:color w:val="auto"/>
                <w:w w:val="88"/>
              </w:rPr>
              <w:t>$11.0</w:t>
            </w:r>
          </w:p>
        </w:tc>
      </w:tr>
      <w:tr>
        <w:trPr>
          <w:trHeight w:val="555"/>
        </w:trPr>
        <w:tc>
          <w:tcPr>
            <w:tcW w:w="1060" w:type="dxa"/>
            <w:vAlign w:val="bottom"/>
          </w:tcPr>
          <w:p>
            <w:pPr>
              <w:jc w:val="center"/>
              <w:ind w:right="372"/>
              <w:spacing w:after="0"/>
              <w:rPr>
                <w:sz w:val="20"/>
                <w:szCs w:val="20"/>
                <w:color w:val="auto"/>
              </w:rPr>
            </w:pPr>
            <w:r>
              <w:rPr>
                <w:rFonts w:ascii="Arial" w:cs="Arial" w:eastAsia="Arial" w:hAnsi="Arial"/>
                <w:sz w:val="18"/>
                <w:szCs w:val="18"/>
                <w:color w:val="auto"/>
                <w:w w:val="91"/>
              </w:rPr>
              <w:t>$1.1</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91"/>
              </w:rPr>
              <w:t>$1.1</w:t>
            </w:r>
          </w:p>
        </w:tc>
        <w:tc>
          <w:tcPr>
            <w:tcW w:w="2160" w:type="dxa"/>
            <w:vAlign w:val="bottom"/>
          </w:tcPr>
          <w:p>
            <w:pPr>
              <w:jc w:val="center"/>
              <w:ind w:left="52"/>
              <w:spacing w:after="0"/>
              <w:rPr>
                <w:sz w:val="20"/>
                <w:szCs w:val="20"/>
                <w:color w:val="auto"/>
              </w:rPr>
            </w:pPr>
            <w:r>
              <w:rPr>
                <w:rFonts w:ascii="Arial" w:cs="Arial" w:eastAsia="Arial" w:hAnsi="Arial"/>
                <w:sz w:val="18"/>
                <w:szCs w:val="18"/>
                <w:color w:val="auto"/>
                <w:w w:val="85"/>
              </w:rPr>
              <w:t>$4.3</w:t>
            </w:r>
          </w:p>
        </w:tc>
        <w:tc>
          <w:tcPr>
            <w:tcW w:w="1540" w:type="dxa"/>
            <w:vAlign w:val="bottom"/>
          </w:tcPr>
          <w:p>
            <w:pPr>
              <w:jc w:val="center"/>
              <w:ind w:left="372"/>
              <w:spacing w:after="0"/>
              <w:rPr>
                <w:sz w:val="20"/>
                <w:szCs w:val="20"/>
                <w:color w:val="auto"/>
              </w:rPr>
            </w:pPr>
            <w:r>
              <w:rPr>
                <w:rFonts w:ascii="Arial" w:cs="Arial" w:eastAsia="Arial" w:hAnsi="Arial"/>
                <w:sz w:val="18"/>
                <w:szCs w:val="18"/>
                <w:color w:val="auto"/>
                <w:w w:val="91"/>
              </w:rPr>
              <w:t>$3.7</w:t>
            </w:r>
          </w:p>
        </w:tc>
      </w:tr>
    </w:tbl>
    <w:p>
      <w:pPr>
        <w:spacing w:after="0" w:line="397" w:lineRule="exact"/>
        <w:rPr>
          <w:sz w:val="20"/>
          <w:szCs w:val="20"/>
          <w:color w:val="auto"/>
        </w:rPr>
      </w:pPr>
    </w:p>
    <w:p>
      <w:pPr>
        <w:sectPr>
          <w:pgSz w:w="11900" w:h="16838" w:orient="portrait"/>
          <w:cols w:equalWidth="0" w:num="2">
            <w:col w:w="3680" w:space="300"/>
            <w:col w:w="7440"/>
          </w:cols>
          <w:pgMar w:left="240" w:top="722" w:right="239" w:bottom="1440" w:gutter="0" w:footer="0" w:header="0"/>
        </w:sect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Revenue in the fourth quarter of 2013 increased 3 percent to $40.5 billion, compared with the fourth quarter of 2012. GM’s fourth quarter 2013 net income attributable to common stockholders was $0.9 billion, or $0.57 per fully diluted share, including a net loss from special items of $(0.2) billion or $(0.10) per fully diluted share.</w:t>
      </w:r>
    </w:p>
    <w:p>
      <w:pPr>
        <w:spacing w:after="0" w:line="1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fourth quarter of 2012, GM’s net income attributable to common stockholders was $0.9 billion, or $0.54 per fully diluted share, including a net gain from special items of $0.1 billion or $0.06 per fully diluted share.</w:t>
      </w:r>
    </w:p>
    <w:p>
      <w:pPr>
        <w:spacing w:after="0" w:line="16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EBIT-adjusted was $1.9 billion in the fourth quarter of 2013, compared with $1.2 billion in the fourth quarter of 2012. Fourth quarter EBIT-adjusted for 2013 includes the impact of restructuring charges of $(0.2) billion.</w:t>
      </w:r>
    </w:p>
    <w:p>
      <w:pPr>
        <w:spacing w:after="0" w:line="162"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GM’s fourth quarter 2013 special items impact to net income of $(0.2) billion includes a $(0.7) billion charge related to the exit of the Chevrolet brand from Europe, and a $(0.5) billion asset impairment related to the termination of manufacturing operations in Australia. A favorable tax settlement and a gain on the sale of an equity investment in Ally Financial, along with other smaller items, partially offset these charges.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 w:lineRule="exact"/>
        <w:rPr>
          <w:sz w:val="20"/>
          <w:szCs w:val="20"/>
          <w:color w:val="auto"/>
        </w:rPr>
      </w:pPr>
    </w:p>
    <w:p>
      <w:pPr>
        <w:ind w:left="580" w:right="180" w:hanging="294"/>
        <w:spacing w:after="0" w:line="251"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7"/>
          <w:szCs w:val="17"/>
          <w:color w:val="auto"/>
        </w:rPr>
        <w:t>GM North America (GMNA) reported EBIT-adjusted of $1.9 billion in the fourth quarter of 2013 compared with $1.1 billion in 2012. Full-year EBIT-adjusted was $7.5 billion in 2013 compared to $6.5 billion in 2012, setting a record for earnings in North America. Based on GMNA’s 2013 financial performance, the company will pay profit sharing of up to $7,500 to approximately 48,500 eligible GM U.S. hourly employees.</w:t>
      </w:r>
    </w:p>
    <w:p>
      <w:pPr>
        <w:spacing w:after="0" w:line="1" w:lineRule="exact"/>
        <w:rPr>
          <w:rFonts w:ascii="Arial" w:cs="Arial" w:eastAsia="Arial" w:hAnsi="Arial"/>
          <w:sz w:val="15"/>
          <w:szCs w:val="15"/>
          <w:color w:val="auto"/>
        </w:rPr>
      </w:pPr>
    </w:p>
    <w:p>
      <w:pPr>
        <w:ind w:left="580" w:right="20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Europe (GME) reported EBIT-adjusted of $(0.3) billion in the fourth quarter of 2013, compared to $(0.8) billion in 2012. Full-year EBIT-adjusted was $(0.8) billion in 2013, compared with $(1.9) billion in 2012.</w:t>
      </w:r>
    </w:p>
    <w:p>
      <w:pPr>
        <w:spacing w:after="0" w:line="1" w:lineRule="exact"/>
        <w:rPr>
          <w:rFonts w:ascii="Arial" w:cs="Arial" w:eastAsia="Arial" w:hAnsi="Arial"/>
          <w:sz w:val="16"/>
          <w:szCs w:val="16"/>
          <w:color w:val="auto"/>
        </w:rPr>
      </w:pPr>
    </w:p>
    <w:p>
      <w:pPr>
        <w:ind w:left="580" w:right="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International Operations (GMIO) reported EBIT-adjusted of $0.2 billion in the fourth quarter of 2013 compared with $0.7 billion in 2012. Full-year EBIT-adjusted was $1.2 billion in 2013 compared with $2.5 billion in 2012.</w:t>
      </w:r>
    </w:p>
    <w:p>
      <w:pPr>
        <w:spacing w:after="0" w:line="1" w:lineRule="exact"/>
        <w:rPr>
          <w:rFonts w:ascii="Arial" w:cs="Arial" w:eastAsia="Arial" w:hAnsi="Arial"/>
          <w:sz w:val="16"/>
          <w:szCs w:val="16"/>
          <w:color w:val="auto"/>
        </w:rPr>
      </w:pPr>
    </w:p>
    <w:p>
      <w:pPr>
        <w:ind w:left="580" w:right="1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South America (GMSA) reported EBIT-adjusted of $0.0 billion in the fourth quarter of 2013, compared with $0.1 billion in 2012. Full-year EBIT-adjusted was $0.3 billion in 2013 compared with EBIT-adjusted of $0.5 billion in 2012.</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722" w:right="239" w:bottom="1440" w:gutter="0" w:footer="0" w:header="0"/>
          <w:type w:val="continuous"/>
        </w:sectPr>
      </w:pPr>
    </w:p>
    <w:bookmarkStart w:id="6" w:name="page7"/>
    <w:bookmarkEnd w:id="6"/>
    <w:p>
      <w:pPr>
        <w:ind w:left="580" w:right="60" w:hanging="294"/>
        <w:spacing w:after="0" w:line="256"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8"/>
          <w:szCs w:val="18"/>
          <w:color w:val="auto"/>
        </w:rPr>
        <w:t>GM Financial reported earnings before taxes (EBT) of $0.2 billion in the fourth quarter of 2013, compared with $0.1 billion in 2012. Full-year EBT was $0.9 billion, compared to $0.7 billion in 2012.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1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For the fourth quarter of 2013, automotive cash flow from operating activities was $2.8 billion, compared to $0.5 billion in 2012. In the fourth quarter of 2013, adjusted automotive free cash flow was $1.1 billion, unchanged from 2012. For the year, adjusted automotive free cash flow was $3.7 billion, compared to $4.3 billion a year ago.</w:t>
      </w:r>
    </w:p>
    <w:p>
      <w:pPr>
        <w:spacing w:after="0" w:line="176"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GM ended 2013 with strong total automotive liquidity of $38.3 billion compared with $37.2 billion at year-end in 2012. Automotive cash and marketable securities was $27.9 billion at the end of 2013, compared with $26.1 billion a year earlier.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GM expects capital expenditures for 2014 to be approximately $7.5 billion.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Update</w:t>
      </w:r>
    </w:p>
    <w:p>
      <w:pPr>
        <w:spacing w:after="0" w:line="1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GM’s year-end global pension obligations of $99 billion were approximately 80 percent funded at the end of 2013. The year-end unfunded position was $19.9 billion, down from $27.8 billion at the end of 2012.</w:t>
      </w:r>
    </w:p>
    <w:p>
      <w:pPr>
        <w:spacing w:after="0" w:line="175" w:lineRule="exact"/>
        <w:rPr>
          <w:sz w:val="20"/>
          <w:szCs w:val="20"/>
          <w:color w:val="auto"/>
        </w:rPr>
      </w:pPr>
    </w:p>
    <w:p>
      <w:pPr>
        <w:ind w:right="160"/>
        <w:spacing w:after="0" w:line="356" w:lineRule="auto"/>
        <w:rPr>
          <w:sz w:val="20"/>
          <w:szCs w:val="20"/>
          <w:color w:val="auto"/>
        </w:rPr>
      </w:pPr>
      <w:r>
        <w:rPr>
          <w:rFonts w:ascii="Arial" w:cs="Arial" w:eastAsia="Arial" w:hAnsi="Arial"/>
          <w:sz w:val="15"/>
          <w:szCs w:val="15"/>
          <w:color w:val="auto"/>
        </w:rPr>
        <w:t>GM’s U.S. defined benefit pension plan obligations of $71.5 billion ended the year approximately 90 percent funded. The year-end underfunded position was $7.3 billion, down by almost half from $14 billion the year prior. For 2013, the return on U.S. defined benefit pension plan assets was approximately 3 percent.</w:t>
      </w:r>
    </w:p>
    <w:p>
      <w:pPr>
        <w:spacing w:after="0" w:line="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current economic conditions, GM expects no mandatory contributions to U.S. defined benefit pension plans for at least five years. While the company will continue to evaluate opportunities to make voluntary cash contributions, it has no current plans to do so in 2014.</w:t>
      </w:r>
    </w:p>
    <w:p>
      <w:pPr>
        <w:spacing w:after="0" w:line="16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2013, we strengthened our fortress balance sheet and delivered consistent earnings, providing the foundation for a quarterly dividend for our shareholders this year,” said Chuck Stevens, GM executive vice president and chief financial officer. “This year we’ll leverage our strength in the U.S. and China to execute important restructuring activities in other key global operations.”</w:t>
      </w:r>
    </w:p>
    <w:p>
      <w:pPr>
        <w:spacing w:after="0" w:line="167" w:lineRule="exact"/>
        <w:rPr>
          <w:sz w:val="20"/>
          <w:szCs w:val="20"/>
          <w:color w:val="auto"/>
        </w:rPr>
      </w:pPr>
    </w:p>
    <w:p>
      <w:pPr>
        <w:ind w:right="260"/>
        <w:spacing w:after="0" w:line="323" w:lineRule="auto"/>
        <w:rPr>
          <w:sz w:val="20"/>
          <w:szCs w:val="20"/>
          <w:color w:val="auto"/>
        </w:rPr>
      </w:pPr>
      <w:r>
        <w:rPr>
          <w:rFonts w:ascii="Arial" w:cs="Arial" w:eastAsia="Arial" w:hAnsi="Arial"/>
          <w:sz w:val="14"/>
          <w:szCs w:val="14"/>
          <w:b w:val="1"/>
          <w:bCs w:val="1"/>
          <w:color w:val="auto"/>
        </w:rPr>
        <w:t xml:space="preserve">General Motors Co. </w:t>
      </w:r>
      <w:r>
        <w:rPr>
          <w:rFonts w:ascii="Arial" w:cs="Arial" w:eastAsia="Arial" w:hAnsi="Arial"/>
          <w:sz w:val="14"/>
          <w:szCs w:val="14"/>
          <w:color w:val="auto"/>
        </w:rPr>
        <w:t>(NYSE:GM, TSX: GMM) and its partners produce vehicles in 30 countries, and the company has leadership positions in the world's largest and fastest-growing automotive markets. GM’s brands include Chevrolet and Cadillac, as well as Baojun, Buick, GMC, Holden, Daewoo, Jiefang, Opel, Vauxhall and Wuling. More information on the company and its subsidiaries, including OnStar, a global leader in vehicle safety, security and information services, can be found at http://www.gm.com.</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40" w:type="dxa"/>
            <w:vAlign w:val="bottom"/>
            <w:gridSpan w:val="3"/>
          </w:tcPr>
          <w:p>
            <w:pPr>
              <w:spacing w:after="0"/>
              <w:rPr>
                <w:sz w:val="20"/>
                <w:szCs w:val="20"/>
                <w:color w:val="auto"/>
              </w:rPr>
            </w:pPr>
            <w:r>
              <w:rPr>
                <w:rFonts w:ascii="Arial" w:cs="Arial" w:eastAsia="Arial" w:hAnsi="Arial"/>
                <w:sz w:val="16"/>
                <w:szCs w:val="16"/>
                <w:b w:val="1"/>
                <w:bCs w:val="1"/>
                <w:color w:val="auto"/>
              </w:rPr>
              <w:t>CONTACTS:</w:t>
            </w:r>
          </w:p>
        </w:tc>
        <w:tc>
          <w:tcPr>
            <w:tcW w:w="1580" w:type="dxa"/>
            <w:vAlign w:val="bottom"/>
          </w:tcPr>
          <w:p>
            <w:pPr>
              <w:spacing w:after="0"/>
              <w:rPr>
                <w:sz w:val="18"/>
                <w:szCs w:val="18"/>
                <w:color w:val="auto"/>
              </w:rPr>
            </w:pPr>
          </w:p>
        </w:tc>
      </w:tr>
      <w:tr>
        <w:trPr>
          <w:trHeight w:val="325"/>
        </w:trPr>
        <w:tc>
          <w:tcPr>
            <w:tcW w:w="4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Tom Henderson</w:t>
            </w:r>
          </w:p>
        </w:tc>
        <w:tc>
          <w:tcPr>
            <w:tcW w:w="1580" w:type="dxa"/>
            <w:vAlign w:val="bottom"/>
          </w:tcPr>
          <w:p>
            <w:pPr>
              <w:spacing w:after="0"/>
              <w:rPr>
                <w:sz w:val="20"/>
                <w:szCs w:val="20"/>
                <w:color w:val="auto"/>
              </w:rPr>
            </w:pPr>
            <w:r>
              <w:rPr>
                <w:rFonts w:ascii="Arial" w:cs="Arial" w:eastAsia="Arial" w:hAnsi="Arial"/>
                <w:sz w:val="16"/>
                <w:szCs w:val="16"/>
                <w:color w:val="auto"/>
              </w:rPr>
              <w:t>Randy Arickx</w:t>
            </w:r>
          </w:p>
        </w:tc>
      </w:tr>
      <w:tr>
        <w:trPr>
          <w:trHeight w:val="193"/>
        </w:trPr>
        <w:tc>
          <w:tcPr>
            <w:tcW w:w="2140" w:type="dxa"/>
            <w:vAlign w:val="bottom"/>
            <w:gridSpan w:val="2"/>
          </w:tcPr>
          <w:p>
            <w:pPr>
              <w:ind w:left="400"/>
              <w:spacing w:after="0"/>
              <w:rPr>
                <w:sz w:val="20"/>
                <w:szCs w:val="20"/>
                <w:color w:val="auto"/>
              </w:rPr>
            </w:pPr>
            <w:r>
              <w:rPr>
                <w:rFonts w:ascii="Arial" w:cs="Arial" w:eastAsia="Arial" w:hAnsi="Arial"/>
                <w:sz w:val="16"/>
                <w:szCs w:val="16"/>
                <w:color w:val="auto"/>
              </w:rPr>
              <w:t>313-410-2704</w:t>
            </w:r>
          </w:p>
        </w:tc>
        <w:tc>
          <w:tcPr>
            <w:tcW w:w="360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313-268-7070</w:t>
            </w:r>
          </w:p>
        </w:tc>
      </w:tr>
      <w:tr>
        <w:trPr>
          <w:trHeight w:val="193"/>
        </w:trPr>
        <w:tc>
          <w:tcPr>
            <w:tcW w:w="40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GM Financial Communications</w:t>
            </w:r>
          </w:p>
        </w:tc>
        <w:tc>
          <w:tcPr>
            <w:tcW w:w="1580" w:type="dxa"/>
            <w:vAlign w:val="bottom"/>
          </w:tcPr>
          <w:p>
            <w:pPr>
              <w:spacing w:after="0"/>
              <w:rPr>
                <w:sz w:val="20"/>
                <w:szCs w:val="20"/>
                <w:color w:val="auto"/>
              </w:rPr>
            </w:pPr>
            <w:r>
              <w:rPr>
                <w:rFonts w:ascii="Arial" w:cs="Arial" w:eastAsia="Arial" w:hAnsi="Arial"/>
                <w:sz w:val="16"/>
                <w:szCs w:val="16"/>
                <w:color w:val="auto"/>
                <w:w w:val="98"/>
              </w:rPr>
              <w:t>GM Investor Relations</w:t>
            </w:r>
          </w:p>
        </w:tc>
      </w:tr>
      <w:tr>
        <w:trPr>
          <w:trHeight w:val="169"/>
        </w:trPr>
        <w:tc>
          <w:tcPr>
            <w:tcW w:w="400" w:type="dxa"/>
            <w:vAlign w:val="bottom"/>
          </w:tcPr>
          <w:p>
            <w:pPr>
              <w:spacing w:after="0"/>
              <w:rPr>
                <w:sz w:val="14"/>
                <w:szCs w:val="14"/>
                <w:color w:val="auto"/>
              </w:rPr>
            </w:pPr>
          </w:p>
        </w:tc>
        <w:tc>
          <w:tcPr>
            <w:tcW w:w="174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89"/>
              </w:rPr>
              <w:t>tom.e.henderson@gm.com</w:t>
            </w:r>
          </w:p>
        </w:tc>
        <w:tc>
          <w:tcPr>
            <w:tcW w:w="3600" w:type="dxa"/>
            <w:vAlign w:val="bottom"/>
          </w:tcPr>
          <w:p>
            <w:pPr>
              <w:spacing w:after="0"/>
              <w:rPr>
                <w:sz w:val="14"/>
                <w:szCs w:val="14"/>
                <w:color w:val="auto"/>
              </w:rPr>
            </w:pPr>
          </w:p>
        </w:tc>
        <w:tc>
          <w:tcPr>
            <w:tcW w:w="158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90"/>
              </w:rPr>
              <w:t>randy.c.arickx@gm.com</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4"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our ability to remain competitive in Korea and our ability to continue to attract new customers, particularly for our new products. GM's most recent annual report on Form 10-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35" w:right="239"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auto"/>
        </w:rPr>
        <w:t>K and quarterly reports on Form 10-Q provide information about these and other factors, which we may revise or supplement in future reports to the SEC.</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19"/>
          </w:cols>
          <w:pgMar w:left="240" w:top="541" w:right="1440" w:bottom="1440" w:gutter="0" w:footer="0" w:header="0"/>
          <w:type w:val="continuous"/>
        </w:sectPr>
      </w:pPr>
    </w:p>
    <w:bookmarkStart w:id="8" w:name="page9"/>
    <w:bookmarkEnd w:id="8"/>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6" w:lineRule="exact"/>
        <w:rPr>
          <w:sz w:val="20"/>
          <w:szCs w:val="20"/>
          <w:color w:val="auto"/>
        </w:rPr>
      </w:pPr>
    </w:p>
    <w:p>
      <w:pPr>
        <w:ind w:left="4" w:right="80" w:firstLine="145"/>
        <w:spacing w:after="0" w:line="268"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(EBIT-adjusted) and Adjusted automotive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36" w:lineRule="exact"/>
        <w:rPr>
          <w:sz w:val="20"/>
          <w:szCs w:val="20"/>
          <w:color w:val="auto"/>
        </w:rPr>
      </w:pPr>
    </w:p>
    <w:p>
      <w:pPr>
        <w:ind w:left="4" w:right="120" w:firstLine="145"/>
        <w:spacing w:after="0" w:line="289"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24" w:lineRule="exact"/>
        <w:rPr>
          <w:sz w:val="20"/>
          <w:szCs w:val="20"/>
          <w:color w:val="auto"/>
        </w:rPr>
      </w:pPr>
    </w:p>
    <w:p>
      <w:pPr>
        <w:ind w:left="4" w:right="280" w:firstLine="145"/>
        <w:spacing w:after="0" w:line="289" w:lineRule="auto"/>
        <w:rPr>
          <w:sz w:val="20"/>
          <w:szCs w:val="20"/>
          <w:color w:val="auto"/>
        </w:rPr>
      </w:pPr>
      <w:r>
        <w:rPr>
          <w:rFonts w:ascii="Arial" w:cs="Arial" w:eastAsia="Arial" w:hAnsi="Arial"/>
          <w:sz w:val="13"/>
          <w:szCs w:val="13"/>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stockholders. Due to these limitations, these non-GAAP financial measures are used as a supplement to U.S. GAAP measures.</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the reconciliation of EBIT-adjusted to its most comparable U.S. GAAP measure (dollars in millions):</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2013</w:t>
            </w: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2012</w:t>
            </w: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2013</w:t>
            </w:r>
          </w:p>
        </w:tc>
        <w:tc>
          <w:tcPr>
            <w:tcW w:w="260" w:type="dxa"/>
            <w:vAlign w:val="bottom"/>
          </w:tcPr>
          <w:p>
            <w:pPr>
              <w:spacing w:after="0"/>
              <w:rPr>
                <w:sz w:val="20"/>
                <w:szCs w:val="20"/>
                <w:color w:val="auto"/>
              </w:rPr>
            </w:pPr>
          </w:p>
        </w:tc>
        <w:tc>
          <w:tcPr>
            <w:tcW w:w="1180" w:type="dxa"/>
            <w:vAlign w:val="bottom"/>
          </w:tcPr>
          <w:p>
            <w:pPr>
              <w:jc w:val="right"/>
              <w:ind w:right="196"/>
              <w:spacing w:after="0"/>
              <w:rPr>
                <w:sz w:val="20"/>
                <w:szCs w:val="20"/>
                <w:color w:val="auto"/>
              </w:rPr>
            </w:pPr>
            <w:r>
              <w:rPr>
                <w:rFonts w:ascii="Arial" w:cs="Arial" w:eastAsia="Arial" w:hAnsi="Arial"/>
                <w:sz w:val="11"/>
                <w:szCs w:val="11"/>
                <w:b w:val="1"/>
                <w:bCs w:val="1"/>
                <w:color w:val="auto"/>
                <w:w w:val="90"/>
              </w:rPr>
              <w:t>December 31, 2012</w:t>
            </w:r>
          </w:p>
        </w:tc>
        <w:tc>
          <w:tcPr>
            <w:tcW w:w="0" w:type="dxa"/>
            <w:vAlign w:val="bottom"/>
          </w:tcPr>
          <w:p>
            <w:pPr>
              <w:spacing w:after="0"/>
              <w:rPr>
                <w:sz w:val="1"/>
                <w:szCs w:val="1"/>
                <w:color w:val="auto"/>
              </w:rPr>
            </w:pPr>
          </w:p>
        </w:tc>
      </w:tr>
      <w:tr>
        <w:trPr>
          <w:trHeight w:val="231"/>
        </w:trPr>
        <w:tc>
          <w:tcPr>
            <w:tcW w:w="5060" w:type="dxa"/>
            <w:vAlign w:val="bottom"/>
          </w:tcPr>
          <w:p>
            <w:pPr>
              <w:ind w:left="20"/>
              <w:spacing w:after="0"/>
              <w:rPr>
                <w:sz w:val="20"/>
                <w:szCs w:val="20"/>
                <w:color w:val="auto"/>
              </w:rPr>
            </w:pPr>
            <w:r>
              <w:rPr>
                <w:rFonts w:ascii="Arial" w:cs="Arial" w:eastAsia="Arial" w:hAnsi="Arial"/>
                <w:sz w:val="13"/>
                <w:szCs w:val="13"/>
                <w:b w:val="1"/>
                <w:bCs w:val="1"/>
                <w:color w:val="auto"/>
              </w:rPr>
              <w:t>Operating segments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GMNA(a)</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1,884</w:t>
            </w:r>
          </w:p>
        </w:tc>
        <w:tc>
          <w:tcPr>
            <w:tcW w:w="120" w:type="dxa"/>
            <w:vAlign w:val="bottom"/>
          </w:tcPr>
          <w:p>
            <w:pPr>
              <w:spacing w:after="0"/>
              <w:rPr>
                <w:sz w:val="20"/>
                <w:szCs w:val="20"/>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7,461</w:t>
            </w:r>
          </w:p>
        </w:tc>
        <w:tc>
          <w:tcPr>
            <w:tcW w:w="100" w:type="dxa"/>
            <w:vAlign w:val="bottom"/>
          </w:tcPr>
          <w:p>
            <w:pPr>
              <w:spacing w:after="0"/>
              <w:rPr>
                <w:sz w:val="20"/>
                <w:szCs w:val="20"/>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6,470</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GME(a)</w:t>
            </w:r>
          </w:p>
        </w:tc>
        <w:tc>
          <w:tcPr>
            <w:tcW w:w="18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(1,939)</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GMIO(a)</w:t>
            </w:r>
          </w:p>
        </w:tc>
        <w:tc>
          <w:tcPr>
            <w:tcW w:w="18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676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2,528</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GMSA(a)</w:t>
            </w:r>
          </w:p>
        </w:tc>
        <w:tc>
          <w:tcPr>
            <w:tcW w:w="18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246"/>
        </w:trPr>
        <w:tc>
          <w:tcPr>
            <w:tcW w:w="5060" w:type="dxa"/>
            <w:vAlign w:val="bottom"/>
          </w:tcPr>
          <w:p>
            <w:pPr>
              <w:ind w:left="20"/>
              <w:spacing w:after="0"/>
              <w:rPr>
                <w:sz w:val="20"/>
                <w:szCs w:val="20"/>
                <w:color w:val="auto"/>
              </w:rPr>
            </w:pPr>
            <w:r>
              <w:rPr>
                <w:rFonts w:ascii="Arial" w:cs="Arial" w:eastAsia="Arial" w:hAnsi="Arial"/>
                <w:sz w:val="13"/>
                <w:szCs w:val="13"/>
                <w:color w:val="auto"/>
              </w:rPr>
              <w:t>GM Financial(b)</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216"/>
        </w:trPr>
        <w:tc>
          <w:tcPr>
            <w:tcW w:w="5060" w:type="dxa"/>
            <w:vAlign w:val="bottom"/>
          </w:tcPr>
          <w:p>
            <w:pPr>
              <w:ind w:left="160"/>
              <w:spacing w:after="0"/>
              <w:rPr>
                <w:sz w:val="20"/>
                <w:szCs w:val="20"/>
                <w:color w:val="auto"/>
              </w:rPr>
            </w:pPr>
            <w:r>
              <w:rPr>
                <w:rFonts w:ascii="Arial" w:cs="Arial" w:eastAsia="Arial" w:hAnsi="Arial"/>
                <w:sz w:val="13"/>
                <w:szCs w:val="13"/>
                <w:color w:val="auto"/>
              </w:rPr>
              <w:t>Total operating segments(c)</w:t>
            </w:r>
          </w:p>
        </w:tc>
        <w:tc>
          <w:tcPr>
            <w:tcW w:w="18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9,072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8,260</w:t>
            </w:r>
          </w:p>
        </w:tc>
        <w:tc>
          <w:tcPr>
            <w:tcW w:w="0" w:type="dxa"/>
            <w:vAlign w:val="bottom"/>
          </w:tcPr>
          <w:p>
            <w:pPr>
              <w:spacing w:after="0"/>
              <w:rPr>
                <w:sz w:val="1"/>
                <w:szCs w:val="1"/>
                <w:color w:val="auto"/>
              </w:rPr>
            </w:pPr>
          </w:p>
        </w:tc>
      </w:tr>
      <w:tr>
        <w:trPr>
          <w:trHeight w:val="246"/>
        </w:trPr>
        <w:tc>
          <w:tcPr>
            <w:tcW w:w="5060" w:type="dxa"/>
            <w:vAlign w:val="bottom"/>
          </w:tcPr>
          <w:p>
            <w:pPr>
              <w:ind w:left="160"/>
              <w:spacing w:after="0"/>
              <w:rPr>
                <w:sz w:val="20"/>
                <w:szCs w:val="20"/>
                <w:color w:val="auto"/>
              </w:rPr>
            </w:pPr>
            <w:r>
              <w:rPr>
                <w:rFonts w:ascii="Arial" w:cs="Arial" w:eastAsia="Arial" w:hAnsi="Arial"/>
                <w:sz w:val="13"/>
                <w:szCs w:val="13"/>
                <w:color w:val="auto"/>
              </w:rPr>
              <w:t>Corporate and eliminations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3"/>
                <w:szCs w:val="13"/>
                <w:b w:val="1"/>
                <w:bCs w:val="1"/>
                <w:color w:val="auto"/>
              </w:rPr>
              <w:t>EBIT-adjusted(c)</w:t>
            </w:r>
          </w:p>
        </w:tc>
        <w:tc>
          <w:tcPr>
            <w:tcW w:w="18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b w:val="1"/>
                <w:bCs w:val="1"/>
                <w:color w:val="auto"/>
              </w:rPr>
              <w:t>1,899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b w:val="1"/>
                <w:bCs w:val="1"/>
                <w:color w:val="auto"/>
              </w:rPr>
              <w:t>1,248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b w:val="1"/>
                <w:bCs w:val="1"/>
                <w:color w:val="auto"/>
              </w:rPr>
              <w:t>8,578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b w:val="1"/>
                <w:bCs w:val="1"/>
                <w:color w:val="auto"/>
              </w:rPr>
              <w:t>7,859</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(691)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(35,418)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(805)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(36,106)</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Corporate interest income</w:t>
            </w:r>
          </w:p>
        </w:tc>
        <w:tc>
          <w:tcPr>
            <w:tcW w:w="18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rPr>
              <w:t>(Gain) loss on extinguishment of debt</w:t>
            </w:r>
          </w:p>
        </w:tc>
        <w:tc>
          <w:tcPr>
            <w:tcW w:w="18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46"/>
        </w:trPr>
        <w:tc>
          <w:tcPr>
            <w:tcW w:w="506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(35,645)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2,127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(34,831)</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stockholders</w:t>
            </w:r>
          </w:p>
        </w:tc>
        <w:tc>
          <w:tcPr>
            <w:tcW w:w="18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b w:val="1"/>
                <w:bCs w:val="1"/>
                <w:color w:val="auto"/>
              </w:rPr>
              <w:t>1,040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b w:val="1"/>
                <w:bCs w:val="1"/>
                <w:color w:val="auto"/>
              </w:rPr>
              <w:t>1,194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b w:val="1"/>
                <w:bCs w:val="1"/>
                <w:color w:val="auto"/>
              </w:rPr>
              <w:t>5,346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b w:val="1"/>
                <w:bCs w:val="1"/>
                <w:color w:val="auto"/>
              </w:rPr>
              <w:t>6,188</w:t>
            </w:r>
          </w:p>
        </w:tc>
        <w:tc>
          <w:tcPr>
            <w:tcW w:w="0" w:type="dxa"/>
            <w:vAlign w:val="bottom"/>
          </w:tcPr>
          <w:p>
            <w:pPr>
              <w:spacing w:after="0"/>
              <w:rPr>
                <w:sz w:val="1"/>
                <w:szCs w:val="1"/>
                <w:color w:val="auto"/>
              </w:rPr>
            </w:pPr>
          </w:p>
        </w:tc>
      </w:tr>
      <w:tr>
        <w:trPr>
          <w:trHeight w:val="241"/>
        </w:trPr>
        <w:tc>
          <w:tcPr>
            <w:tcW w:w="5060" w:type="dxa"/>
            <w:vAlign w:val="bottom"/>
          </w:tcPr>
          <w:p>
            <w:pPr>
              <w:ind w:left="20"/>
              <w:spacing w:after="0"/>
              <w:rPr>
                <w:sz w:val="20"/>
                <w:szCs w:val="20"/>
                <w:color w:val="auto"/>
              </w:rPr>
            </w:pPr>
            <w:r>
              <w:rPr>
                <w:rFonts w:ascii="Arial" w:cs="Arial" w:eastAsia="Arial" w:hAnsi="Arial"/>
                <w:sz w:val="13"/>
                <w:szCs w:val="13"/>
                <w:color w:val="auto"/>
                <w:w w:val="90"/>
              </w:rPr>
              <w:t>Less: cumulative dividends on preferred stock and charge related to purchase of preferred stock</w:t>
            </w:r>
          </w:p>
        </w:tc>
        <w:tc>
          <w:tcPr>
            <w:tcW w:w="18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(1,576)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246"/>
        </w:trPr>
        <w:tc>
          <w:tcPr>
            <w:tcW w:w="5060" w:type="dxa"/>
            <w:vAlign w:val="bottom"/>
          </w:tcPr>
          <w:p>
            <w:pPr>
              <w:ind w:left="20"/>
              <w:spacing w:after="0"/>
              <w:rPr>
                <w:sz w:val="20"/>
                <w:szCs w:val="20"/>
                <w:color w:val="auto"/>
              </w:rPr>
            </w:pPr>
            <w:r>
              <w:rPr>
                <w:rFonts w:ascii="Arial" w:cs="Arial" w:eastAsia="Arial" w:hAnsi="Arial"/>
                <w:sz w:val="13"/>
                <w:szCs w:val="13"/>
                <w:color w:val="auto"/>
                <w:w w:val="97"/>
              </w:rPr>
              <w:t>Less: undistributed earnings allocated to Series B Preferred Stock participating security(d)</w:t>
            </w:r>
          </w:p>
        </w:tc>
        <w:tc>
          <w:tcPr>
            <w:tcW w:w="18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214"/>
        </w:trPr>
        <w:tc>
          <w:tcPr>
            <w:tcW w:w="506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common stockholders</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913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892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3,770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4,859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284" w:right="20" w:hanging="284"/>
        <w:spacing w:after="0" w:line="251" w:lineRule="auto"/>
        <w:tabs>
          <w:tab w:leader="none" w:pos="28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three months ended March 31, 2013 GM changed its managerial and reporting structure to report segment revenues and profits based on the geographic region in which a vehicle is sold. Previously, segment results included the impacts of intersegment sales and profits. Prior year operating segment results have been reclassified so all information is shown on a comparable basis. Consolidated results are unaffected by this change.</w:t>
      </w:r>
    </w:p>
    <w:p>
      <w:pPr>
        <w:spacing w:after="0" w:line="1" w:lineRule="exact"/>
        <w:rPr>
          <w:rFonts w:ascii="Arial" w:cs="Arial" w:eastAsia="Arial" w:hAnsi="Arial"/>
          <w:sz w:val="14"/>
          <w:szCs w:val="14"/>
          <w:color w:val="auto"/>
        </w:rPr>
      </w:pPr>
    </w:p>
    <w:p>
      <w:pPr>
        <w:ind w:left="284" w:hanging="284"/>
        <w:spacing w:after="0"/>
        <w:tabs>
          <w:tab w:leader="none" w:pos="284" w:val="left"/>
        </w:tabs>
        <w:numPr>
          <w:ilvl w:val="0"/>
          <w:numId w:val="5"/>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w:t>
      </w:r>
    </w:p>
    <w:p>
      <w:pPr>
        <w:spacing w:after="0" w:line="7" w:lineRule="exact"/>
        <w:rPr>
          <w:rFonts w:ascii="Arial" w:cs="Arial" w:eastAsia="Arial" w:hAnsi="Arial"/>
          <w:sz w:val="14"/>
          <w:szCs w:val="14"/>
          <w:color w:val="auto"/>
        </w:rPr>
      </w:pPr>
    </w:p>
    <w:p>
      <w:pPr>
        <w:ind w:left="284" w:right="20" w:hanging="284"/>
        <w:spacing w:after="0" w:line="251" w:lineRule="auto"/>
        <w:tabs>
          <w:tab w:leader="none" w:pos="284" w:val="left"/>
        </w:tabs>
        <w:numPr>
          <w:ilvl w:val="0"/>
          <w:numId w:val="5"/>
        </w:numPr>
        <w:rPr>
          <w:rFonts w:ascii="Arial" w:cs="Arial" w:eastAsia="Arial" w:hAnsi="Arial"/>
          <w:sz w:val="14"/>
          <w:szCs w:val="14"/>
          <w:color w:val="auto"/>
        </w:rPr>
      </w:pPr>
      <w:r>
        <w:rPr>
          <w:rFonts w:ascii="Arial" w:cs="Arial" w:eastAsia="Arial" w:hAnsi="Arial"/>
          <w:sz w:val="14"/>
          <w:szCs w:val="14"/>
          <w:color w:val="auto"/>
        </w:rPr>
        <w:t>GM's automotive operations interest and income taxes are recorded centrally in Corporate; therefore, there are no reconciling items for GM's automotive operating segments between EBIT-adjusted and Net income attributable to stockholders.</w:t>
      </w:r>
    </w:p>
    <w:p>
      <w:pPr>
        <w:jc w:val="both"/>
        <w:ind w:left="284" w:hanging="284"/>
        <w:spacing w:after="0" w:line="256" w:lineRule="auto"/>
        <w:tabs>
          <w:tab w:leader="none" w:pos="28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three months and year ended December 31, 2012 GM was required to use the two-class method for calculating earnings per share as the applicable market value of its common stock was below $33.00 per common share; accordingly, a portion of undistributed earnings were allocated to the Series B Preferred Stock for determining earnings per share. In the three months and year ended December 31, 2013 GM was required to use the if-converted method for calculating earnings per share as the applicable market value of its common stock was within the price range of $33.00 to $39.60 per common share.</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3"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impact of special items to EBIT-adjusted (in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Year Ended December 31, 2013</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33"/>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Total</w:t>
            </w:r>
          </w:p>
        </w:tc>
      </w:tr>
      <w:tr>
        <w:trPr>
          <w:trHeight w:val="214"/>
        </w:trPr>
        <w:tc>
          <w:tcPr>
            <w:tcW w:w="5360" w:type="dxa"/>
            <w:vAlign w:val="bottom"/>
          </w:tcPr>
          <w:p>
            <w:pPr>
              <w:spacing w:after="0"/>
              <w:rPr>
                <w:sz w:val="20"/>
                <w:szCs w:val="20"/>
                <w:color w:val="auto"/>
              </w:rPr>
            </w:pPr>
            <w:r>
              <w:rPr>
                <w:rFonts w:ascii="Arial" w:cs="Arial" w:eastAsia="Arial" w:hAnsi="Arial"/>
                <w:sz w:val="16"/>
                <w:szCs w:val="16"/>
                <w:color w:val="auto"/>
              </w:rPr>
              <w:t>Impairment charges of property and intangible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(774)</w:t>
            </w:r>
          </w:p>
        </w:tc>
      </w:tr>
      <w:tr>
        <w:trPr>
          <w:trHeight w:val="229"/>
        </w:trPr>
        <w:tc>
          <w:tcPr>
            <w:tcW w:w="5360" w:type="dxa"/>
            <w:vAlign w:val="bottom"/>
          </w:tcPr>
          <w:p>
            <w:pPr>
              <w:spacing w:after="0"/>
              <w:rPr>
                <w:sz w:val="20"/>
                <w:szCs w:val="20"/>
                <w:color w:val="auto"/>
              </w:rPr>
            </w:pPr>
            <w:r>
              <w:rPr>
                <w:rFonts w:ascii="Arial" w:cs="Arial" w:eastAsia="Arial" w:hAnsi="Arial"/>
                <w:sz w:val="16"/>
                <w:szCs w:val="16"/>
                <w:color w:val="auto"/>
                <w:w w:val="93"/>
              </w:rPr>
              <w:t>Costs related to our plans to cease mainstream distribution of Chevrolet brand in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5"/>
        </w:trPr>
        <w:tc>
          <w:tcPr>
            <w:tcW w:w="5360" w:type="dxa"/>
            <w:vAlign w:val="bottom"/>
          </w:tcPr>
          <w:p>
            <w:pPr>
              <w:ind w:left="1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Reversal of GM Korea wage litigation accrual</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577</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Gain on sale of equity investment in Ally Financial</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483</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Venezuela currency devaluation</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Gain on sale of equity investment in PSA</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152</w:t>
            </w:r>
          </w:p>
        </w:tc>
      </w:tr>
      <w:tr>
        <w:trPr>
          <w:trHeight w:val="229"/>
        </w:trPr>
        <w:tc>
          <w:tcPr>
            <w:tcW w:w="5360" w:type="dxa"/>
            <w:vAlign w:val="bottom"/>
          </w:tcPr>
          <w:p>
            <w:pPr>
              <w:spacing w:after="0"/>
              <w:rPr>
                <w:sz w:val="20"/>
                <w:szCs w:val="20"/>
                <w:color w:val="auto"/>
              </w:rPr>
            </w:pPr>
            <w:r>
              <w:rPr>
                <w:rFonts w:ascii="Arial" w:cs="Arial" w:eastAsia="Arial" w:hAnsi="Arial"/>
                <w:sz w:val="16"/>
                <w:szCs w:val="16"/>
                <w:color w:val="auto"/>
              </w:rPr>
              <w:t>Noncontrolling interests related to redemption of the GM Korea mandatorily</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5"/>
        </w:trPr>
        <w:tc>
          <w:tcPr>
            <w:tcW w:w="5360" w:type="dxa"/>
            <w:vAlign w:val="bottom"/>
          </w:tcPr>
          <w:p>
            <w:pPr>
              <w:ind w:left="140"/>
              <w:spacing w:after="0"/>
              <w:rPr>
                <w:sz w:val="20"/>
                <w:szCs w:val="20"/>
                <w:color w:val="auto"/>
              </w:rPr>
            </w:pPr>
            <w:r>
              <w:rPr>
                <w:rFonts w:ascii="Arial" w:cs="Arial" w:eastAsia="Arial" w:hAnsi="Arial"/>
                <w:sz w:val="16"/>
                <w:szCs w:val="16"/>
                <w:color w:val="auto"/>
              </w:rPr>
              <w:t>redeemable preferred shares</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67</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Pension settlement charges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Charges related to PSA product development agreement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Income related to insurance recoveries</w:t>
            </w: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35</w:t>
            </w:r>
          </w:p>
        </w:tc>
      </w:tr>
      <w:tr>
        <w:trPr>
          <w:trHeight w:val="24"/>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6"/>
                <w:szCs w:val="16"/>
                <w:color w:val="auto"/>
              </w:rPr>
              <w:t>Total adjustments to automotive 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32"/>
        </w:trPr>
        <w:tc>
          <w:tcPr>
            <w:tcW w:w="5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Year Ended December 31, 2012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33"/>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Total</w:t>
            </w:r>
          </w:p>
        </w:tc>
      </w:tr>
      <w:tr>
        <w:trPr>
          <w:trHeight w:val="214"/>
        </w:trPr>
        <w:tc>
          <w:tcPr>
            <w:tcW w:w="536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(26,399)</w:t>
            </w:r>
          </w:p>
        </w:tc>
        <w:tc>
          <w:tcPr>
            <w:tcW w:w="12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(27,121)</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Impairment charges of property</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(3,714)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(3,714)</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Pension settlement charges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(2,662)</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Impairment charges of intangible assets</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(1,755)</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Premium paid to purchase our common stock from the UST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GM Korea wage litigation accrual</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Impairment charge related to investment in PSA</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Income related to insurance recoveries</w:t>
            </w: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155</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Charge to record GMS assets and liabilities to estimated fair value</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29"/>
        </w:trPr>
        <w:tc>
          <w:tcPr>
            <w:tcW w:w="5360" w:type="dxa"/>
            <w:vAlign w:val="bottom"/>
          </w:tcPr>
          <w:p>
            <w:pPr>
              <w:spacing w:after="0"/>
              <w:rPr>
                <w:sz w:val="20"/>
                <w:szCs w:val="20"/>
                <w:color w:val="auto"/>
              </w:rPr>
            </w:pPr>
            <w:r>
              <w:rPr>
                <w:rFonts w:ascii="Arial" w:cs="Arial" w:eastAsia="Arial" w:hAnsi="Arial"/>
                <w:sz w:val="16"/>
                <w:szCs w:val="16"/>
                <w:color w:val="auto"/>
              </w:rPr>
              <w:t>Noncontrolling interests related to redemption of the GM Korea mandatorily</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5"/>
        </w:trPr>
        <w:tc>
          <w:tcPr>
            <w:tcW w:w="5360" w:type="dxa"/>
            <w:vAlign w:val="bottom"/>
          </w:tcPr>
          <w:p>
            <w:pPr>
              <w:ind w:left="140"/>
              <w:spacing w:after="0"/>
              <w:rPr>
                <w:sz w:val="20"/>
                <w:szCs w:val="20"/>
                <w:color w:val="auto"/>
              </w:rPr>
            </w:pPr>
            <w:r>
              <w:rPr>
                <w:rFonts w:ascii="Arial" w:cs="Arial" w:eastAsia="Arial" w:hAnsi="Arial"/>
                <w:sz w:val="16"/>
                <w:szCs w:val="16"/>
                <w:color w:val="auto"/>
              </w:rPr>
              <w:t>redeemable preferred shares</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68</w:t>
            </w:r>
          </w:p>
        </w:tc>
      </w:tr>
      <w:tr>
        <w:trPr>
          <w:trHeight w:val="24"/>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6"/>
                <w:szCs w:val="16"/>
                <w:color w:val="auto"/>
              </w:rPr>
              <w:t>Total adjustments to automotive 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(36,106)</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762"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summarizes the reconciliation of Automotive adjusted free cash flow to Automotive net cash provided by operating activities (dollars in millions):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3"/>
                <w:szCs w:val="13"/>
                <w:b w:val="1"/>
                <w:bCs w:val="1"/>
                <w:color w:val="auto"/>
              </w:rPr>
              <w:t>Years Ended</w:t>
            </w:r>
          </w:p>
        </w:tc>
      </w:tr>
      <w:tr>
        <w:trPr>
          <w:trHeight w:val="233"/>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December 31, 2013</w:t>
            </w: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December 31, 2012</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auto"/>
              </w:rPr>
              <w:t>December 31, 2013</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3"/>
                <w:szCs w:val="13"/>
                <w:b w:val="1"/>
                <w:bCs w:val="1"/>
                <w:color w:val="auto"/>
                <w:w w:val="85"/>
              </w:rPr>
              <w:t>December 31, 2012</w:t>
            </w:r>
          </w:p>
        </w:tc>
      </w:tr>
      <w:tr>
        <w:trPr>
          <w:trHeight w:val="214"/>
        </w:trPr>
        <w:tc>
          <w:tcPr>
            <w:tcW w:w="6040" w:type="dxa"/>
            <w:vAlign w:val="bottom"/>
          </w:tcPr>
          <w:p>
            <w:pPr>
              <w:spacing w:after="0"/>
              <w:rPr>
                <w:sz w:val="20"/>
                <w:szCs w:val="20"/>
                <w:color w:val="auto"/>
              </w:rPr>
            </w:pPr>
            <w:r>
              <w:rPr>
                <w:rFonts w:ascii="Arial" w:cs="Arial" w:eastAsia="Arial" w:hAnsi="Arial"/>
                <w:sz w:val="16"/>
                <w:szCs w:val="16"/>
                <w:color w:val="auto"/>
              </w:rPr>
              <w:t>Automotive adjusted free cash flow</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4,288</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Less: Adjustments</w:t>
            </w:r>
          </w:p>
        </w:tc>
        <w:tc>
          <w:tcPr>
            <w:tcW w:w="120" w:type="dxa"/>
            <w:vAlign w:val="bottom"/>
          </w:tcPr>
          <w:p>
            <w:pPr>
              <w:spacing w:after="0"/>
              <w:rPr>
                <w:sz w:val="20"/>
                <w:szCs w:val="20"/>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2,712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2,712</w:t>
            </w:r>
          </w:p>
        </w:tc>
      </w:tr>
      <w:tr>
        <w:trPr>
          <w:trHeight w:val="24"/>
        </w:trPr>
        <w:tc>
          <w:tcPr>
            <w:tcW w:w="6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12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1,576</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20"/>
                <w:szCs w:val="20"/>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1,779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7,549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8,055</w:t>
            </w:r>
          </w:p>
        </w:tc>
      </w:tr>
      <w:tr>
        <w:trPr>
          <w:trHeight w:val="24"/>
        </w:trPr>
        <w:tc>
          <w:tcPr>
            <w:tcW w:w="6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6"/>
                <w:szCs w:val="16"/>
                <w:b w:val="1"/>
                <w:bCs w:val="1"/>
                <w:color w:val="auto"/>
              </w:rPr>
              <w:t>Automotive net cash provided by operating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2,752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486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11,021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9,631</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firstLine="145"/>
        <w:spacing w:after="0" w:line="291" w:lineRule="auto"/>
        <w:rPr>
          <w:sz w:val="20"/>
          <w:szCs w:val="20"/>
          <w:color w:val="auto"/>
        </w:rPr>
      </w:pPr>
      <w:r>
        <w:rPr>
          <w:rFonts w:ascii="Arial" w:cs="Arial" w:eastAsia="Arial" w:hAnsi="Arial"/>
          <w:sz w:val="15"/>
          <w:szCs w:val="15"/>
          <w:color w:val="auto"/>
        </w:rPr>
        <w:t>Adjustments to free cash flow included the following items: accrued interest on the prepayment of the HCT notes of $0.2 billion in October 2013 and pension contributions of $0.1 billion related to the previously announced annuitization of the U.S. salaried pension plan in March 2013; voluntary contributions to the U.S. salaried pension plan of $2.3 billion for the purchase of annuity contracts and the premium paid to purchase our common stock from the UST of $0.4 billion in December 2012.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533"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Three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25,117</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5,280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4,857</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4,098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39,388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1,101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40,485</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1,278</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1,231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2,764</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2,922</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385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390</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Three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22,836</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5,200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6,301</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4,441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38,777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529</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39,307</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940</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5,742</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7,022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7,088</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419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421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421</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95,099</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20,110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20,263</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16,478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150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152,100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3,344</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155,427</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5,466</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770</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772</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444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92</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7,549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7,565</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4,216</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406</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1,806</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522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63</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7,012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498</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7,500</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1,794</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1,810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1,810</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89,910</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20,689</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22,954</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16,700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150,293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1,961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152,256</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4,766</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1,035</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1,225</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77</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8,055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8,068</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3,663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6,570</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638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483</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49</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11,402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225</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11,617</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1,552</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1,562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1,562</w:t>
            </w:r>
          </w:p>
        </w:tc>
      </w:tr>
    </w:tbl>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60" w:top="533" w:right="219" w:bottom="1440" w:gutter="0" w:footer="0" w:header="0"/>
        </w:sectPr>
      </w:pPr>
    </w:p>
    <w:bookmarkStart w:id="12" w:name="page13"/>
    <w:bookmarkEnd w:id="12"/>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8"/>
              </w:rPr>
              <w:t>Years Ended</w:t>
            </w:r>
          </w:p>
        </w:tc>
        <w:tc>
          <w:tcPr>
            <w:tcW w:w="1600" w:type="dxa"/>
            <w:vAlign w:val="bottom"/>
            <w:tcBorders>
              <w:bottom w:val="single" w:sz="8" w:color="auto"/>
            </w:tcBorders>
          </w:tcPr>
          <w:p>
            <w:pPr>
              <w:spacing w:after="0"/>
              <w:rPr>
                <w:sz w:val="14"/>
                <w:szCs w:val="14"/>
                <w:color w:val="auto"/>
              </w:rPr>
            </w:pPr>
          </w:p>
        </w:tc>
      </w:tr>
      <w:tr>
        <w:trPr>
          <w:trHeight w:val="230"/>
        </w:trPr>
        <w:tc>
          <w:tcPr>
            <w:tcW w:w="6400" w:type="dxa"/>
            <w:vAlign w:val="bottom"/>
          </w:tcPr>
          <w:p>
            <w:pPr>
              <w:spacing w:after="0"/>
              <w:rPr>
                <w:sz w:val="20"/>
                <w:szCs w:val="20"/>
                <w:color w:val="auto"/>
              </w:rPr>
            </w:pPr>
          </w:p>
        </w:tc>
        <w:tc>
          <w:tcPr>
            <w:tcW w:w="1740" w:type="dxa"/>
            <w:vAlign w:val="bottom"/>
            <w:gridSpan w:val="2"/>
          </w:tcPr>
          <w:p>
            <w:pPr>
              <w:ind w:left="300"/>
              <w:spacing w:after="0"/>
              <w:rPr>
                <w:sz w:val="20"/>
                <w:szCs w:val="20"/>
                <w:color w:val="auto"/>
              </w:rPr>
            </w:pPr>
            <w:r>
              <w:rPr>
                <w:rFonts w:ascii="Arial" w:cs="Arial" w:eastAsia="Arial" w:hAnsi="Arial"/>
                <w:sz w:val="13"/>
                <w:szCs w:val="13"/>
                <w:b w:val="1"/>
                <w:bCs w:val="1"/>
                <w:color w:val="auto"/>
              </w:rPr>
              <w:t>December 31, 2013</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December 31, 2012</w:t>
            </w:r>
          </w:p>
        </w:tc>
        <w:tc>
          <w:tcPr>
            <w:tcW w:w="1600" w:type="dxa"/>
            <w:vAlign w:val="bottom"/>
          </w:tcPr>
          <w:p>
            <w:pPr>
              <w:jc w:val="right"/>
              <w:ind w:right="201"/>
              <w:spacing w:after="0"/>
              <w:rPr>
                <w:sz w:val="20"/>
                <w:szCs w:val="20"/>
                <w:color w:val="auto"/>
              </w:rPr>
            </w:pPr>
            <w:r>
              <w:rPr>
                <w:rFonts w:ascii="Arial" w:cs="Arial" w:eastAsia="Arial" w:hAnsi="Arial"/>
                <w:sz w:val="13"/>
                <w:szCs w:val="13"/>
                <w:b w:val="1"/>
                <w:bCs w:val="1"/>
                <w:color w:val="auto"/>
              </w:rPr>
              <w:t>December 31, 2011</w:t>
            </w:r>
          </w:p>
        </w:tc>
      </w:tr>
      <w:tr>
        <w:trPr>
          <w:trHeight w:val="217"/>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Worldwide Employment (thousands)</w:t>
            </w: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41"/>
        </w:trPr>
        <w:tc>
          <w:tcPr>
            <w:tcW w:w="6400" w:type="dxa"/>
            <w:vAlign w:val="bottom"/>
          </w:tcPr>
          <w:p>
            <w:pPr>
              <w:ind w:left="20"/>
              <w:spacing w:after="0"/>
              <w:rPr>
                <w:sz w:val="20"/>
                <w:szCs w:val="20"/>
                <w:color w:val="auto"/>
              </w:rPr>
            </w:pPr>
            <w:r>
              <w:rPr>
                <w:rFonts w:ascii="Arial" w:cs="Arial" w:eastAsia="Arial" w:hAnsi="Arial"/>
                <w:sz w:val="16"/>
                <w:szCs w:val="16"/>
                <w:color w:val="auto"/>
              </w:rPr>
              <w:t>GMNA(a)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98</w:t>
            </w:r>
          </w:p>
        </w:tc>
      </w:tr>
      <w:tr>
        <w:trPr>
          <w:trHeight w:val="241"/>
        </w:trPr>
        <w:tc>
          <w:tcPr>
            <w:tcW w:w="6400" w:type="dxa"/>
            <w:vAlign w:val="bottom"/>
          </w:tcPr>
          <w:p>
            <w:pPr>
              <w:ind w:left="20"/>
              <w:spacing w:after="0"/>
              <w:rPr>
                <w:sz w:val="20"/>
                <w:szCs w:val="20"/>
                <w:color w:val="auto"/>
              </w:rPr>
            </w:pPr>
            <w:r>
              <w:rPr>
                <w:rFonts w:ascii="Arial" w:cs="Arial" w:eastAsia="Arial" w:hAnsi="Arial"/>
                <w:sz w:val="16"/>
                <w:szCs w:val="16"/>
                <w:color w:val="auto"/>
              </w:rPr>
              <w:t>GME</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39</w:t>
            </w:r>
          </w:p>
        </w:tc>
      </w:tr>
      <w:tr>
        <w:trPr>
          <w:trHeight w:val="241"/>
        </w:trPr>
        <w:tc>
          <w:tcPr>
            <w:tcW w:w="6400" w:type="dxa"/>
            <w:vAlign w:val="bottom"/>
          </w:tcPr>
          <w:p>
            <w:pPr>
              <w:ind w:left="20"/>
              <w:spacing w:after="0"/>
              <w:rPr>
                <w:sz w:val="20"/>
                <w:szCs w:val="20"/>
                <w:color w:val="auto"/>
              </w:rPr>
            </w:pPr>
            <w:r>
              <w:rPr>
                <w:rFonts w:ascii="Arial" w:cs="Arial" w:eastAsia="Arial" w:hAnsi="Arial"/>
                <w:sz w:val="16"/>
                <w:szCs w:val="16"/>
                <w:color w:val="auto"/>
              </w:rPr>
              <w:t>GMIO(b)</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34</w:t>
            </w:r>
          </w:p>
        </w:tc>
      </w:tr>
      <w:tr>
        <w:trPr>
          <w:trHeight w:val="241"/>
        </w:trPr>
        <w:tc>
          <w:tcPr>
            <w:tcW w:w="6400" w:type="dxa"/>
            <w:vAlign w:val="bottom"/>
          </w:tcPr>
          <w:p>
            <w:pPr>
              <w:ind w:left="20"/>
              <w:spacing w:after="0"/>
              <w:rPr>
                <w:sz w:val="20"/>
                <w:szCs w:val="20"/>
                <w:color w:val="auto"/>
              </w:rPr>
            </w:pPr>
            <w:r>
              <w:rPr>
                <w:rFonts w:ascii="Arial" w:cs="Arial" w:eastAsia="Arial" w:hAnsi="Arial"/>
                <w:sz w:val="16"/>
                <w:szCs w:val="16"/>
                <w:color w:val="auto"/>
              </w:rPr>
              <w:t>GMSA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33</w:t>
            </w:r>
          </w:p>
        </w:tc>
      </w:tr>
      <w:tr>
        <w:trPr>
          <w:trHeight w:val="241"/>
        </w:trPr>
        <w:tc>
          <w:tcPr>
            <w:tcW w:w="6400" w:type="dxa"/>
            <w:vAlign w:val="bottom"/>
          </w:tcPr>
          <w:p>
            <w:pPr>
              <w:ind w:left="20"/>
              <w:spacing w:after="0"/>
              <w:rPr>
                <w:sz w:val="20"/>
                <w:szCs w:val="20"/>
                <w:color w:val="auto"/>
              </w:rPr>
            </w:pPr>
            <w:r>
              <w:rPr>
                <w:rFonts w:ascii="Arial" w:cs="Arial" w:eastAsia="Arial" w:hAnsi="Arial"/>
                <w:sz w:val="16"/>
                <w:szCs w:val="16"/>
                <w:color w:val="auto"/>
              </w:rPr>
              <w:t>GM Financial(c)</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4"/>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219</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213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207</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0"/>
        </w:trPr>
        <w:tc>
          <w:tcPr>
            <w:tcW w:w="6400" w:type="dxa"/>
            <w:vAlign w:val="bottom"/>
          </w:tcPr>
          <w:p>
            <w:pPr>
              <w:ind w:left="20"/>
              <w:spacing w:after="0"/>
              <w:rPr>
                <w:sz w:val="20"/>
                <w:szCs w:val="20"/>
                <w:color w:val="auto"/>
              </w:rPr>
            </w:pPr>
            <w:r>
              <w:rPr>
                <w:rFonts w:ascii="Arial" w:cs="Arial" w:eastAsia="Arial" w:hAnsi="Arial"/>
                <w:sz w:val="16"/>
                <w:szCs w:val="16"/>
                <w:color w:val="auto"/>
              </w:rPr>
              <w:t>U.S. - Salaried</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4"/>
                <w:szCs w:val="24"/>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29</w:t>
            </w:r>
          </w:p>
        </w:tc>
      </w:tr>
      <w:tr>
        <w:trPr>
          <w:trHeight w:val="241"/>
        </w:trPr>
        <w:tc>
          <w:tcPr>
            <w:tcW w:w="6400" w:type="dxa"/>
            <w:vAlign w:val="bottom"/>
          </w:tcPr>
          <w:p>
            <w:pPr>
              <w:ind w:left="20"/>
              <w:spacing w:after="0"/>
              <w:rPr>
                <w:sz w:val="20"/>
                <w:szCs w:val="20"/>
                <w:color w:val="auto"/>
              </w:rPr>
            </w:pPr>
            <w:r>
              <w:rPr>
                <w:rFonts w:ascii="Arial" w:cs="Arial" w:eastAsia="Arial" w:hAnsi="Arial"/>
                <w:sz w:val="16"/>
                <w:szCs w:val="16"/>
                <w:color w:val="auto"/>
              </w:rPr>
              <w:t>U.S. - Hourly</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48</w:t>
            </w:r>
          </w:p>
        </w:tc>
      </w:tr>
      <w:tr>
        <w:trPr>
          <w:trHeight w:val="217"/>
        </w:trPr>
        <w:tc>
          <w:tcPr>
            <w:tcW w:w="6400" w:type="dxa"/>
            <w:vAlign w:val="bottom"/>
          </w:tcPr>
          <w:p>
            <w:pPr>
              <w:spacing w:after="0"/>
              <w:rPr>
                <w:sz w:val="20"/>
                <w:szCs w:val="20"/>
                <w:color w:val="auto"/>
              </w:rPr>
            </w:pPr>
            <w:r>
              <w:rPr>
                <w:rFonts w:ascii="Arial" w:cs="Arial" w:eastAsia="Arial" w:hAnsi="Arial"/>
                <w:sz w:val="16"/>
                <w:szCs w:val="16"/>
                <w:color w:val="auto"/>
              </w:rPr>
              <w:t>_________</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ind w:left="284" w:right="20" w:hanging="284"/>
        <w:spacing w:after="0" w:line="274"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Increase in GMNA employees in the year ended December 31, 2013 includes an increase of approximately 4,000 employees due to insourcing of certain information technology support functions that were previously provided by outside parties and an increase of approximately 3,000 employees due to increase in launches and ramp up in manufacturing volume.</w:t>
      </w:r>
    </w:p>
    <w:p>
      <w:pPr>
        <w:ind w:left="284" w:hanging="284"/>
        <w:spacing w:after="0"/>
        <w:tabs>
          <w:tab w:leader="none" w:pos="284"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 in GMIO employees in the year ended December 31, 2012 includes an increase of 4,000 employees due to the acquisition of GM India.</w:t>
      </w:r>
    </w:p>
    <w:p>
      <w:pPr>
        <w:spacing w:after="0" w:line="7" w:lineRule="exact"/>
        <w:rPr>
          <w:rFonts w:ascii="Arial" w:cs="Arial" w:eastAsia="Arial" w:hAnsi="Arial"/>
          <w:sz w:val="14"/>
          <w:szCs w:val="14"/>
          <w:color w:val="auto"/>
        </w:rPr>
      </w:pPr>
    </w:p>
    <w:p>
      <w:pPr>
        <w:ind w:left="284" w:hanging="284"/>
        <w:spacing w:after="0"/>
        <w:tabs>
          <w:tab w:leader="none" w:pos="284"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 in GM Financial employees in the year ended December 31, 2013 is due to the acquisition of certain Ally Financial international operations.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Wholesale and Retail Vehicle Sales</w:t>
      </w:r>
    </w:p>
    <w:p>
      <w:pPr>
        <w:spacing w:after="0" w:line="206" w:lineRule="exact"/>
        <w:rPr>
          <w:sz w:val="20"/>
          <w:szCs w:val="20"/>
          <w:color w:val="auto"/>
        </w:rPr>
      </w:pPr>
    </w:p>
    <w:p>
      <w:pPr>
        <w:ind w:left="4" w:right="80" w:firstLine="145"/>
        <w:spacing w:after="0" w:line="261" w:lineRule="auto"/>
        <w:rPr>
          <w:sz w:val="20"/>
          <w:szCs w:val="20"/>
          <w:color w:val="auto"/>
        </w:rPr>
      </w:pPr>
      <w:r>
        <w:rPr>
          <w:rFonts w:ascii="Arial" w:cs="Arial" w:eastAsia="Arial" w:hAnsi="Arial"/>
          <w:sz w:val="16"/>
          <w:szCs w:val="16"/>
          <w:color w:val="auto"/>
        </w:rPr>
        <w:t>GM presents both wholesale and retail vehicle sales data to assist in the analysis of its revenue and market share. Worldwide market share and retail vehicle sales data exclude the markets of Cuba,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Wholesale Vehicle Sales</w:t>
      </w:r>
    </w:p>
    <w:p>
      <w:pPr>
        <w:spacing w:after="0" w:line="202" w:lineRule="exact"/>
        <w:rPr>
          <w:sz w:val="20"/>
          <w:szCs w:val="20"/>
          <w:color w:val="auto"/>
        </w:rPr>
      </w:pPr>
    </w:p>
    <w:p>
      <w:pPr>
        <w:ind w:left="144"/>
        <w:spacing w:after="0"/>
        <w:rPr>
          <w:sz w:val="20"/>
          <w:szCs w:val="20"/>
          <w:color w:val="auto"/>
        </w:rPr>
      </w:pPr>
      <w:r>
        <w:rPr>
          <w:rFonts w:ascii="Arial" w:cs="Arial" w:eastAsia="Arial" w:hAnsi="Arial"/>
          <w:sz w:val="16"/>
          <w:szCs w:val="16"/>
          <w:color w:val="auto"/>
        </w:rPr>
        <w:t>The following table summarizes total wholesale vehicle sales of new motor vehicles by automotive segment (vehicles in thousands):</w:t>
      </w:r>
    </w:p>
    <w:p>
      <w:pPr>
        <w:spacing w:after="0" w:line="207" w:lineRule="exact"/>
        <w:rPr>
          <w:sz w:val="20"/>
          <w:szCs w:val="20"/>
          <w:color w:val="auto"/>
        </w:rPr>
      </w:pPr>
    </w:p>
    <w:tbl>
      <w:tblPr>
        <w:tblLayout w:type="fixed"/>
        <w:tblInd w:w="24"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3"/>
                <w:szCs w:val="13"/>
                <w:b w:val="1"/>
                <w:bCs w:val="1"/>
                <w:color w:val="auto"/>
              </w:rPr>
              <w:t>Years Ended</w:t>
            </w:r>
          </w:p>
        </w:tc>
      </w:tr>
      <w:tr>
        <w:trPr>
          <w:trHeight w:val="233"/>
        </w:trPr>
        <w:tc>
          <w:tcPr>
            <w:tcW w:w="604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2013</w:t>
            </w: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2012</w:t>
            </w:r>
          </w:p>
        </w:tc>
        <w:tc>
          <w:tcPr>
            <w:tcW w:w="13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5"/>
              </w:rPr>
              <w:t>December 31, 2013</w:t>
            </w:r>
          </w:p>
        </w:tc>
        <w:tc>
          <w:tcPr>
            <w:tcW w:w="1260" w:type="dxa"/>
            <w:vAlign w:val="bottom"/>
          </w:tcPr>
          <w:p>
            <w:pPr>
              <w:jc w:val="right"/>
              <w:ind w:right="42"/>
              <w:spacing w:after="0"/>
              <w:rPr>
                <w:sz w:val="20"/>
                <w:szCs w:val="20"/>
                <w:color w:val="auto"/>
              </w:rPr>
            </w:pPr>
            <w:r>
              <w:rPr>
                <w:rFonts w:ascii="Arial" w:cs="Arial" w:eastAsia="Arial" w:hAnsi="Arial"/>
                <w:sz w:val="13"/>
                <w:szCs w:val="13"/>
                <w:b w:val="1"/>
                <w:bCs w:val="1"/>
                <w:color w:val="auto"/>
                <w:w w:val="95"/>
              </w:rPr>
              <w:t>December 31, 2012</w:t>
            </w:r>
          </w:p>
        </w:tc>
      </w:tr>
      <w:tr>
        <w:trPr>
          <w:trHeight w:val="214"/>
        </w:trPr>
        <w:tc>
          <w:tcPr>
            <w:tcW w:w="6040" w:type="dxa"/>
            <w:vAlign w:val="bottom"/>
          </w:tcPr>
          <w:p>
            <w:pPr>
              <w:spacing w:after="0"/>
              <w:rPr>
                <w:sz w:val="20"/>
                <w:szCs w:val="20"/>
                <w:color w:val="auto"/>
              </w:rPr>
            </w:pPr>
            <w:r>
              <w:rPr>
                <w:rFonts w:ascii="Arial" w:cs="Arial" w:eastAsia="Arial" w:hAnsi="Arial"/>
                <w:sz w:val="16"/>
                <w:szCs w:val="16"/>
                <w:color w:val="auto"/>
              </w:rPr>
              <w:t>GMNA</w:t>
            </w:r>
          </w:p>
        </w:tc>
        <w:tc>
          <w:tcPr>
            <w:tcW w:w="128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3,207</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GME</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1,079</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GMIO</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1,109</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GMSA</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1,050</w:t>
            </w:r>
          </w:p>
        </w:tc>
      </w:tr>
      <w:tr>
        <w:trPr>
          <w:trHeight w:val="24"/>
        </w:trPr>
        <w:tc>
          <w:tcPr>
            <w:tcW w:w="6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1,651</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1,672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6,413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6,445</w:t>
            </w: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4"/>
          </w:cols>
          <w:pgMar w:left="236" w:top="726" w:right="219" w:bottom="1440" w:gutter="0" w:footer="0" w:header="0"/>
        </w:sectPr>
      </w:pPr>
    </w:p>
    <w:bookmarkStart w:id="13" w:name="page14"/>
    <w:bookmarkEnd w:id="13"/>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Retail Vehicle Sales and Market Share</w:t>
      </w:r>
    </w:p>
    <w:p>
      <w:pPr>
        <w:spacing w:after="0" w:line="202" w:lineRule="exact"/>
        <w:rPr>
          <w:sz w:val="20"/>
          <w:szCs w:val="20"/>
          <w:color w:val="auto"/>
        </w:rPr>
      </w:pPr>
    </w:p>
    <w:p>
      <w:pPr>
        <w:ind w:left="184"/>
        <w:spacing w:after="0"/>
        <w:rPr>
          <w:sz w:val="20"/>
          <w:szCs w:val="20"/>
          <w:color w:val="auto"/>
        </w:rPr>
      </w:pPr>
      <w:r>
        <w:rPr>
          <w:rFonts w:ascii="Arial" w:cs="Arial" w:eastAsia="Arial" w:hAnsi="Arial"/>
          <w:sz w:val="16"/>
          <w:szCs w:val="16"/>
          <w:color w:val="auto"/>
        </w:rPr>
        <w:t>The following tables summarize total retail vehicle sales volume and market share by geographic region (vehicles in thousands):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 2013</w:t>
            </w: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2012</w:t>
            </w:r>
          </w:p>
        </w:tc>
        <w:tc>
          <w:tcPr>
            <w:tcW w:w="14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2013</w:t>
            </w:r>
          </w:p>
        </w:tc>
        <w:tc>
          <w:tcPr>
            <w:tcW w:w="1380" w:type="dxa"/>
            <w:vAlign w:val="bottom"/>
          </w:tcPr>
          <w:p>
            <w:pPr>
              <w:jc w:val="right"/>
              <w:ind w:right="100"/>
              <w:spacing w:after="0"/>
              <w:rPr>
                <w:sz w:val="20"/>
                <w:szCs w:val="20"/>
                <w:color w:val="auto"/>
              </w:rPr>
            </w:pPr>
            <w:r>
              <w:rPr>
                <w:rFonts w:ascii="Arial" w:cs="Arial" w:eastAsia="Arial" w:hAnsi="Arial"/>
                <w:sz w:val="13"/>
                <w:szCs w:val="13"/>
                <w:b w:val="1"/>
                <w:bCs w:val="1"/>
                <w:color w:val="auto"/>
              </w:rPr>
              <w:t>December 31, 2012</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Retail Vehicle Sales(a)(b)(c)</w:t>
            </w: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Chevrolet - Cars</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Chevrolet - Trucks</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Chevrolet - Crossovers</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Cadillac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Buick</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GMC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40"/>
              <w:spacing w:after="0"/>
              <w:rPr>
                <w:sz w:val="20"/>
                <w:szCs w:val="20"/>
                <w:color w:val="auto"/>
              </w:rPr>
            </w:pPr>
            <w:r>
              <w:rPr>
                <w:rFonts w:ascii="Arial" w:cs="Arial" w:eastAsia="Arial" w:hAnsi="Arial"/>
                <w:sz w:val="16"/>
                <w:szCs w:val="16"/>
                <w:b w:val="1"/>
                <w:bCs w:val="1"/>
                <w:color w:val="auto"/>
              </w:rPr>
              <w:t>Total United States</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669</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628</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2,786</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2,596</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Canada, Mexico and 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40"/>
              <w:spacing w:after="0"/>
              <w:rPr>
                <w:sz w:val="20"/>
                <w:szCs w:val="20"/>
                <w:color w:val="auto"/>
              </w:rPr>
            </w:pPr>
            <w:r>
              <w:rPr>
                <w:rFonts w:ascii="Arial" w:cs="Arial" w:eastAsia="Arial" w:hAnsi="Arial"/>
                <w:sz w:val="16"/>
                <w:szCs w:val="16"/>
                <w:b w:val="1"/>
                <w:bCs w:val="1"/>
                <w:color w:val="auto"/>
              </w:rPr>
              <w:t>Total North America</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785</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736</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3,234</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3,019</w:t>
            </w:r>
          </w:p>
        </w:tc>
        <w:tc>
          <w:tcPr>
            <w:tcW w:w="0" w:type="dxa"/>
            <w:vAlign w:val="bottom"/>
          </w:tcPr>
          <w:p>
            <w:pPr>
              <w:spacing w:after="0"/>
              <w:rPr>
                <w:sz w:val="1"/>
                <w:szCs w:val="1"/>
                <w:color w:val="auto"/>
              </w:rPr>
            </w:pPr>
          </w:p>
        </w:tc>
      </w:tr>
      <w:tr>
        <w:trPr>
          <w:trHeight w:val="24"/>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Europe</w:t>
            </w: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Opel/Vauxhall</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Chevrolet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40"/>
              <w:spacing w:after="0"/>
              <w:rPr>
                <w:sz w:val="20"/>
                <w:szCs w:val="20"/>
                <w:color w:val="auto"/>
              </w:rPr>
            </w:pPr>
            <w:r>
              <w:rPr>
                <w:rFonts w:ascii="Arial" w:cs="Arial" w:eastAsia="Arial" w:hAnsi="Arial"/>
                <w:sz w:val="16"/>
                <w:szCs w:val="16"/>
                <w:b w:val="1"/>
                <w:bCs w:val="1"/>
                <w:color w:val="auto"/>
              </w:rPr>
              <w:t>Total Europe</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371</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374</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1,557</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1,611</w:t>
            </w:r>
          </w:p>
        </w:tc>
        <w:tc>
          <w:tcPr>
            <w:tcW w:w="0" w:type="dxa"/>
            <w:vAlign w:val="bottom"/>
          </w:tcPr>
          <w:p>
            <w:pPr>
              <w:spacing w:after="0"/>
              <w:rPr>
                <w:sz w:val="1"/>
                <w:szCs w:val="1"/>
                <w:color w:val="auto"/>
              </w:rPr>
            </w:pPr>
          </w:p>
        </w:tc>
      </w:tr>
      <w:tr>
        <w:trPr>
          <w:trHeight w:val="24"/>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Asia/Pacific, Middle East and Africa</w:t>
            </w: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Chevrolet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Wuling</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Buick</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Holden</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GMC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Cadillac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40"/>
              <w:spacing w:after="0"/>
              <w:rPr>
                <w:sz w:val="20"/>
                <w:szCs w:val="20"/>
                <w:color w:val="auto"/>
              </w:rPr>
            </w:pPr>
            <w:r>
              <w:rPr>
                <w:rFonts w:ascii="Arial" w:cs="Arial" w:eastAsia="Arial" w:hAnsi="Arial"/>
                <w:sz w:val="16"/>
                <w:szCs w:val="16"/>
                <w:b w:val="1"/>
                <w:bCs w:val="1"/>
                <w:color w:val="auto"/>
              </w:rPr>
              <w:t>Total Asia/Pacific, Middle East and Africa(d)</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1,040</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968</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3,886</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3,616</w:t>
            </w:r>
          </w:p>
        </w:tc>
        <w:tc>
          <w:tcPr>
            <w:tcW w:w="0" w:type="dxa"/>
            <w:vAlign w:val="bottom"/>
          </w:tcPr>
          <w:p>
            <w:pPr>
              <w:spacing w:after="0"/>
              <w:rPr>
                <w:sz w:val="1"/>
                <w:szCs w:val="1"/>
                <w:color w:val="auto"/>
              </w:rPr>
            </w:pPr>
          </w:p>
        </w:tc>
      </w:tr>
      <w:tr>
        <w:trPr>
          <w:trHeight w:val="24"/>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South America</w:t>
            </w: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Chevrolet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241"/>
        </w:trPr>
        <w:tc>
          <w:tcPr>
            <w:tcW w:w="5600" w:type="dxa"/>
            <w:vAlign w:val="bottom"/>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40"/>
              <w:spacing w:after="0"/>
              <w:rPr>
                <w:sz w:val="20"/>
                <w:szCs w:val="20"/>
                <w:color w:val="auto"/>
              </w:rPr>
            </w:pPr>
            <w:r>
              <w:rPr>
                <w:rFonts w:ascii="Arial" w:cs="Arial" w:eastAsia="Arial" w:hAnsi="Arial"/>
                <w:sz w:val="16"/>
                <w:szCs w:val="16"/>
                <w:b w:val="1"/>
                <w:bCs w:val="1"/>
                <w:color w:val="auto"/>
              </w:rPr>
              <w:t>Total South America</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268</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265</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1,037</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1,051</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2,463</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2,342</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9,715</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9,297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84" w:right="60" w:hanging="284"/>
        <w:spacing w:after="0" w:line="274"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tabs>
          <w:tab w:leader="none" w:pos="284"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fleet sales that are accounted for as operating leases are included in vehicle sales at the time of delivery to the daily rental car companies.</w:t>
      </w:r>
    </w:p>
    <w:p>
      <w:pPr>
        <w:spacing w:after="0" w:line="7" w:lineRule="exact"/>
        <w:rPr>
          <w:rFonts w:ascii="Arial" w:cs="Arial" w:eastAsia="Arial" w:hAnsi="Arial"/>
          <w:sz w:val="14"/>
          <w:szCs w:val="14"/>
          <w:color w:val="auto"/>
        </w:rPr>
      </w:pPr>
    </w:p>
    <w:p>
      <w:pPr>
        <w:ind w:left="284" w:hanging="284"/>
        <w:spacing w:after="0"/>
        <w:tabs>
          <w:tab w:leader="none" w:pos="284" w:val="left"/>
        </w:tabs>
        <w:numPr>
          <w:ilvl w:val="0"/>
          <w:numId w:val="7"/>
        </w:numPr>
        <w:rPr>
          <w:rFonts w:ascii="Arial" w:cs="Arial" w:eastAsia="Arial" w:hAnsi="Arial"/>
          <w:sz w:val="14"/>
          <w:szCs w:val="14"/>
          <w:color w:val="auto"/>
        </w:rPr>
      </w:pPr>
      <w:r>
        <w:rPr>
          <w:rFonts w:ascii="Arial" w:cs="Arial" w:eastAsia="Arial" w:hAnsi="Arial"/>
          <w:sz w:val="14"/>
          <w:szCs w:val="14"/>
          <w:color w:val="auto"/>
        </w:rPr>
        <w:t>Vehicle sales data may include rounding differences.</w:t>
      </w:r>
    </w:p>
    <w:p>
      <w:pPr>
        <w:spacing w:after="0" w:line="7" w:lineRule="exact"/>
        <w:rPr>
          <w:rFonts w:ascii="Arial" w:cs="Arial" w:eastAsia="Arial" w:hAnsi="Arial"/>
          <w:sz w:val="14"/>
          <w:szCs w:val="14"/>
          <w:color w:val="auto"/>
        </w:rPr>
      </w:pPr>
    </w:p>
    <w:p>
      <w:pPr>
        <w:ind w:left="284" w:right="60" w:hanging="284"/>
        <w:spacing w:after="0" w:line="266" w:lineRule="auto"/>
        <w:tabs>
          <w:tab w:leader="none" w:pos="284"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vehicle sales for joint ventures in the table below. Joint venture vehicle sales for General Motors India Private Limited and Chevrolet Sales India Private Limited (collectively GM India) are included in the table below through August 31, 2012.</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4"/>
          </w:cols>
          <w:pgMar w:left="236" w:top="533" w:right="219" w:bottom="1440" w:gutter="0" w:footer="0" w:header="0"/>
        </w:sectPr>
      </w:pPr>
    </w:p>
    <w:bookmarkStart w:id="14" w:name="page15"/>
    <w:bookmarkEnd w:id="14"/>
    <w:tbl>
      <w:tblPr>
        <w:tblLayout w:type="fixed"/>
        <w:tblInd w:w="4" w:type="dxa"/>
        <w:tblCellMar>
          <w:top w:w="0" w:type="dxa"/>
          <w:left w:w="0" w:type="dxa"/>
          <w:bottom w:w="0" w:type="dxa"/>
          <w:right w:w="0" w:type="dxa"/>
        </w:tblCellMar>
      </w:tblPr>
      <w:tr>
        <w:trPr>
          <w:trHeight w:val="153"/>
        </w:trPr>
        <w:tc>
          <w:tcPr>
            <w:tcW w:w="4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1340"/>
              <w:spacing w:after="0"/>
              <w:rPr>
                <w:sz w:val="20"/>
                <w:szCs w:val="20"/>
                <w:color w:val="auto"/>
              </w:rPr>
            </w:pPr>
            <w:r>
              <w:rPr>
                <w:rFonts w:ascii="Arial" w:cs="Arial" w:eastAsia="Arial" w:hAnsi="Arial"/>
                <w:sz w:val="11"/>
                <w:szCs w:val="11"/>
                <w:b w:val="1"/>
                <w:bCs w:val="1"/>
                <w:color w:val="auto"/>
                <w:w w:val="89"/>
              </w:rPr>
              <w:t>Years Ended</w:t>
            </w:r>
          </w:p>
        </w:tc>
        <w:tc>
          <w:tcPr>
            <w:tcW w:w="1340" w:type="dxa"/>
            <w:vAlign w:val="bottom"/>
            <w:tcBorders>
              <w:bottom w:val="single" w:sz="8" w:color="auto"/>
            </w:tcBorders>
          </w:tcPr>
          <w:p>
            <w:pPr>
              <w:spacing w:after="0"/>
              <w:rPr>
                <w:sz w:val="13"/>
                <w:szCs w:val="13"/>
                <w:color w:val="auto"/>
              </w:rPr>
            </w:pPr>
          </w:p>
        </w:tc>
      </w:tr>
      <w:tr>
        <w:trPr>
          <w:trHeight w:val="233"/>
        </w:trPr>
        <w:tc>
          <w:tcPr>
            <w:tcW w:w="4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0"/>
              </w:rPr>
              <w:t>December 31, 2013</w:t>
            </w:r>
          </w:p>
        </w:tc>
        <w:tc>
          <w:tcPr>
            <w:tcW w:w="1340" w:type="dxa"/>
            <w:vAlign w:val="bottom"/>
          </w:tcPr>
          <w:p>
            <w:pPr>
              <w:jc w:val="right"/>
              <w:ind w:right="284"/>
              <w:spacing w:after="0"/>
              <w:rPr>
                <w:sz w:val="20"/>
                <w:szCs w:val="20"/>
                <w:color w:val="auto"/>
              </w:rPr>
            </w:pPr>
            <w:r>
              <w:rPr>
                <w:rFonts w:ascii="Arial" w:cs="Arial" w:eastAsia="Arial" w:hAnsi="Arial"/>
                <w:sz w:val="11"/>
                <w:szCs w:val="11"/>
                <w:b w:val="1"/>
                <w:bCs w:val="1"/>
                <w:color w:val="auto"/>
                <w:w w:val="96"/>
              </w:rPr>
              <w:t>December 31, 2012</w:t>
            </w:r>
          </w:p>
        </w:tc>
      </w:tr>
      <w:tr>
        <w:trPr>
          <w:trHeight w:val="231"/>
        </w:trPr>
        <w:tc>
          <w:tcPr>
            <w:tcW w:w="4680" w:type="dxa"/>
            <w:vAlign w:val="bottom"/>
          </w:tcPr>
          <w:p>
            <w:pPr>
              <w:ind w:left="20"/>
              <w:spacing w:after="0"/>
              <w:rPr>
                <w:sz w:val="20"/>
                <w:szCs w:val="20"/>
                <w:color w:val="auto"/>
              </w:rPr>
            </w:pPr>
            <w:r>
              <w:rPr>
                <w:rFonts w:ascii="Arial" w:cs="Arial" w:eastAsia="Arial" w:hAnsi="Arial"/>
                <w:sz w:val="13"/>
                <w:szCs w:val="13"/>
                <w:b w:val="1"/>
                <w:bCs w:val="1"/>
                <w:color w:val="auto"/>
              </w:rPr>
              <w:t>Joint venture sales in China</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41"/>
        </w:trPr>
        <w:tc>
          <w:tcPr>
            <w:tcW w:w="4680" w:type="dxa"/>
            <w:vAlign w:val="bottom"/>
          </w:tcPr>
          <w:p>
            <w:pPr>
              <w:ind w:left="160"/>
              <w:spacing w:after="0"/>
              <w:rPr>
                <w:sz w:val="20"/>
                <w:szCs w:val="20"/>
                <w:color w:val="auto"/>
              </w:rPr>
            </w:pPr>
            <w:r>
              <w:rPr>
                <w:rFonts w:ascii="Arial" w:cs="Arial" w:eastAsia="Arial" w:hAnsi="Arial"/>
                <w:sz w:val="13"/>
                <w:szCs w:val="13"/>
                <w:color w:val="auto"/>
              </w:rPr>
              <w:t>SAIC General Motors Sales Co., Ltd.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3"/>
                <w:szCs w:val="13"/>
                <w:color w:val="auto"/>
              </w:rPr>
              <w:t>1,512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4"/>
              <w:spacing w:after="0"/>
              <w:rPr>
                <w:sz w:val="20"/>
                <w:szCs w:val="20"/>
                <w:color w:val="auto"/>
              </w:rPr>
            </w:pPr>
            <w:r>
              <w:rPr>
                <w:rFonts w:ascii="Arial" w:cs="Arial" w:eastAsia="Arial" w:hAnsi="Arial"/>
                <w:sz w:val="13"/>
                <w:szCs w:val="13"/>
                <w:color w:val="auto"/>
              </w:rPr>
              <w:t>1,331</w:t>
            </w:r>
          </w:p>
        </w:tc>
      </w:tr>
      <w:tr>
        <w:trPr>
          <w:trHeight w:val="241"/>
        </w:trPr>
        <w:tc>
          <w:tcPr>
            <w:tcW w:w="4680" w:type="dxa"/>
            <w:vAlign w:val="bottom"/>
          </w:tcPr>
          <w:p>
            <w:pPr>
              <w:ind w:left="160"/>
              <w:spacing w:after="0"/>
              <w:rPr>
                <w:sz w:val="20"/>
                <w:szCs w:val="20"/>
                <w:color w:val="auto"/>
              </w:rPr>
            </w:pPr>
            <w:r>
              <w:rPr>
                <w:rFonts w:ascii="Arial" w:cs="Arial" w:eastAsia="Arial" w:hAnsi="Arial"/>
                <w:sz w:val="13"/>
                <w:szCs w:val="13"/>
                <w:color w:val="auto"/>
              </w:rPr>
              <w:t>SGMW and FAW-GM</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3"/>
                <w:szCs w:val="13"/>
                <w:color w:val="auto"/>
              </w:rPr>
              <w:t>1,644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4"/>
              <w:spacing w:after="0"/>
              <w:rPr>
                <w:sz w:val="20"/>
                <w:szCs w:val="20"/>
                <w:color w:val="auto"/>
              </w:rPr>
            </w:pPr>
            <w:r>
              <w:rPr>
                <w:rFonts w:ascii="Arial" w:cs="Arial" w:eastAsia="Arial" w:hAnsi="Arial"/>
                <w:sz w:val="13"/>
                <w:szCs w:val="13"/>
                <w:color w:val="auto"/>
              </w:rPr>
              <w:t>1,501</w:t>
            </w:r>
          </w:p>
        </w:tc>
      </w:tr>
      <w:tr>
        <w:trPr>
          <w:trHeight w:val="241"/>
        </w:trPr>
        <w:tc>
          <w:tcPr>
            <w:tcW w:w="4680" w:type="dxa"/>
            <w:vAlign w:val="bottom"/>
          </w:tcPr>
          <w:p>
            <w:pPr>
              <w:ind w:left="20"/>
              <w:spacing w:after="0"/>
              <w:rPr>
                <w:sz w:val="20"/>
                <w:szCs w:val="20"/>
                <w:color w:val="auto"/>
              </w:rPr>
            </w:pPr>
            <w:r>
              <w:rPr>
                <w:rFonts w:ascii="Arial" w:cs="Arial" w:eastAsia="Arial" w:hAnsi="Arial"/>
                <w:sz w:val="13"/>
                <w:szCs w:val="13"/>
                <w:b w:val="1"/>
                <w:bCs w:val="1"/>
                <w:color w:val="auto"/>
              </w:rPr>
              <w:t>Joint venture sales in India</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1"/>
        </w:trPr>
        <w:tc>
          <w:tcPr>
            <w:tcW w:w="4680" w:type="dxa"/>
            <w:vAlign w:val="bottom"/>
          </w:tcPr>
          <w:p>
            <w:pPr>
              <w:ind w:left="160"/>
              <w:spacing w:after="0"/>
              <w:rPr>
                <w:sz w:val="20"/>
                <w:szCs w:val="20"/>
                <w:color w:val="auto"/>
              </w:rPr>
            </w:pPr>
            <w:r>
              <w:rPr>
                <w:rFonts w:ascii="Arial" w:cs="Arial" w:eastAsia="Arial" w:hAnsi="Arial"/>
                <w:sz w:val="13"/>
                <w:szCs w:val="13"/>
                <w:color w:val="auto"/>
              </w:rPr>
              <w:t>GM India</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4"/>
              <w:spacing w:after="0"/>
              <w:rPr>
                <w:sz w:val="20"/>
                <w:szCs w:val="20"/>
                <w:color w:val="auto"/>
              </w:rPr>
            </w:pPr>
            <w:r>
              <w:rPr>
                <w:rFonts w:ascii="Arial" w:cs="Arial" w:eastAsia="Arial" w:hAnsi="Arial"/>
                <w:sz w:val="13"/>
                <w:szCs w:val="13"/>
                <w:color w:val="auto"/>
              </w:rPr>
              <w:t>64</w:t>
            </w:r>
          </w:p>
        </w:tc>
      </w:tr>
      <w:tr>
        <w:trPr>
          <w:trHeight w:val="560"/>
        </w:trPr>
        <w:tc>
          <w:tcPr>
            <w:tcW w:w="4680" w:type="dxa"/>
            <w:vAlign w:val="bottom"/>
          </w:tcPr>
          <w:p>
            <w:pPr>
              <w:spacing w:after="0"/>
              <w:rPr>
                <w:sz w:val="24"/>
                <w:szCs w:val="24"/>
                <w:color w:val="auto"/>
              </w:rPr>
            </w:pPr>
          </w:p>
        </w:tc>
        <w:tc>
          <w:tcPr>
            <w:tcW w:w="3340" w:type="dxa"/>
            <w:vAlign w:val="bottom"/>
            <w:tcBorders>
              <w:bottom w:val="single" w:sz="8" w:color="auto"/>
            </w:tcBorders>
            <w:gridSpan w:val="3"/>
          </w:tcPr>
          <w:p>
            <w:pPr>
              <w:ind w:left="10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3"/>
                <w:szCs w:val="13"/>
                <w:b w:val="1"/>
                <w:bCs w:val="1"/>
                <w:color w:val="auto"/>
              </w:rPr>
              <w:t>Years Ended</w:t>
            </w:r>
          </w:p>
        </w:tc>
      </w:tr>
      <w:tr>
        <w:trPr>
          <w:trHeight w:val="230"/>
        </w:trPr>
        <w:tc>
          <w:tcPr>
            <w:tcW w:w="4680" w:type="dxa"/>
            <w:vAlign w:val="bottom"/>
          </w:tcPr>
          <w:p>
            <w:pPr>
              <w:spacing w:after="0"/>
              <w:rPr>
                <w:sz w:val="20"/>
                <w:szCs w:val="20"/>
                <w:color w:val="auto"/>
              </w:rPr>
            </w:pPr>
          </w:p>
        </w:tc>
        <w:tc>
          <w:tcPr>
            <w:tcW w:w="1740" w:type="dxa"/>
            <w:vAlign w:val="bottom"/>
            <w:gridSpan w:val="2"/>
          </w:tcPr>
          <w:p>
            <w:pPr>
              <w:ind w:left="300"/>
              <w:spacing w:after="0"/>
              <w:rPr>
                <w:sz w:val="20"/>
                <w:szCs w:val="20"/>
                <w:color w:val="auto"/>
              </w:rPr>
            </w:pPr>
            <w:r>
              <w:rPr>
                <w:rFonts w:ascii="Arial" w:cs="Arial" w:eastAsia="Arial" w:hAnsi="Arial"/>
                <w:sz w:val="13"/>
                <w:szCs w:val="13"/>
                <w:b w:val="1"/>
                <w:bCs w:val="1"/>
                <w:color w:val="auto"/>
              </w:rPr>
              <w:t>December 31, 2013</w:t>
            </w:r>
          </w:p>
        </w:tc>
        <w:tc>
          <w:tcPr>
            <w:tcW w:w="1700" w:type="dxa"/>
            <w:vAlign w:val="bottom"/>
            <w:gridSpan w:val="2"/>
          </w:tcPr>
          <w:p>
            <w:pPr>
              <w:ind w:left="280"/>
              <w:spacing w:after="0"/>
              <w:rPr>
                <w:sz w:val="20"/>
                <w:szCs w:val="20"/>
                <w:color w:val="auto"/>
              </w:rPr>
            </w:pPr>
            <w:r>
              <w:rPr>
                <w:rFonts w:ascii="Arial" w:cs="Arial" w:eastAsia="Arial" w:hAnsi="Arial"/>
                <w:sz w:val="13"/>
                <w:szCs w:val="13"/>
                <w:b w:val="1"/>
                <w:bCs w:val="1"/>
                <w:color w:val="auto"/>
              </w:rPr>
              <w:t>December 31, 2012</w:t>
            </w:r>
          </w:p>
        </w:tc>
        <w:tc>
          <w:tcPr>
            <w:tcW w:w="20" w:type="dxa"/>
            <w:vAlign w:val="bottom"/>
          </w:tcPr>
          <w:p>
            <w:pPr>
              <w:spacing w:after="0"/>
              <w:rPr>
                <w:sz w:val="20"/>
                <w:szCs w:val="20"/>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8"/>
              </w:rPr>
              <w:t>December 31, 2013</w:t>
            </w:r>
          </w:p>
        </w:tc>
        <w:tc>
          <w:tcPr>
            <w:tcW w:w="1340" w:type="dxa"/>
            <w:vAlign w:val="bottom"/>
          </w:tcPr>
          <w:p>
            <w:pPr>
              <w:jc w:val="right"/>
              <w:ind w:right="204"/>
              <w:spacing w:after="0"/>
              <w:rPr>
                <w:sz w:val="20"/>
                <w:szCs w:val="20"/>
                <w:color w:val="auto"/>
              </w:rPr>
            </w:pPr>
            <w:r>
              <w:rPr>
                <w:rFonts w:ascii="Arial" w:cs="Arial" w:eastAsia="Arial" w:hAnsi="Arial"/>
                <w:sz w:val="13"/>
                <w:szCs w:val="13"/>
                <w:b w:val="1"/>
                <w:bCs w:val="1"/>
                <w:color w:val="auto"/>
                <w:w w:val="88"/>
              </w:rPr>
              <w:t>December 31, 2012</w:t>
            </w:r>
          </w:p>
        </w:tc>
      </w:tr>
      <w:tr>
        <w:trPr>
          <w:trHeight w:val="217"/>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Market Share(a)(b)</w:t>
            </w: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United States - Cars</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13.6%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12.7%</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14.3%</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United States - Trucks</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23.1%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24.9%</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23.5%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23.7%</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United States - Crossovers</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16.9%</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16.6%</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17.4%</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Total United States</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17.1%</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17.5%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17.5%</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Total North America</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16.7%</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16.6%</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16.9%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16.9%</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Total Europe</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7.9%</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8.3%</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3"/>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3"/>
              </w:rPr>
              <w:t>8.5%</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Total Asia/Pacific, Middle East and Africa(c)</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9.8%</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9.8%</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3"/>
              </w:rPr>
              <w:t>9.5%</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Total South America</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17.7%</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17.5%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18.0%</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b w:val="1"/>
                <w:bCs w:val="1"/>
                <w:color w:val="auto"/>
              </w:rPr>
              <w:t>Total Worldwide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11.4%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11.6%</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84"/>
              <w:spacing w:after="0"/>
              <w:rPr>
                <w:sz w:val="20"/>
                <w:szCs w:val="20"/>
                <w:color w:val="auto"/>
              </w:rPr>
            </w:pPr>
            <w:r>
              <w:rPr>
                <w:rFonts w:ascii="Arial" w:cs="Arial" w:eastAsia="Arial" w:hAnsi="Arial"/>
                <w:sz w:val="16"/>
                <w:szCs w:val="16"/>
                <w:b w:val="1"/>
                <w:bCs w:val="1"/>
                <w:color w:val="auto"/>
                <w:w w:val="96"/>
              </w:rPr>
              <w:t>11.5%</w:t>
            </w:r>
          </w:p>
        </w:tc>
      </w:tr>
      <w:tr>
        <w:trPr>
          <w:trHeight w:val="482"/>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U.S. Retail/Fleet Mix</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 Fleet Sales - Cars</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21.9%</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27.9%</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26.4%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30.6%</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 Fleet Sales - Trucks</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24.4%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21.8%</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24.2%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25.3%</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color w:val="auto"/>
              </w:rPr>
              <w:t>% Fleet Sales - Crossovers</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15.6%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16.7%</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18.6%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19.2%</w:t>
            </w:r>
          </w:p>
        </w:tc>
      </w:tr>
      <w:tr>
        <w:trPr>
          <w:trHeight w:val="241"/>
        </w:trPr>
        <w:tc>
          <w:tcPr>
            <w:tcW w:w="4680" w:type="dxa"/>
            <w:vAlign w:val="bottom"/>
          </w:tcPr>
          <w:p>
            <w:pPr>
              <w:ind w:left="160"/>
              <w:spacing w:after="0"/>
              <w:rPr>
                <w:sz w:val="20"/>
                <w:szCs w:val="20"/>
                <w:color w:val="auto"/>
              </w:rPr>
            </w:pPr>
            <w:r>
              <w:rPr>
                <w:rFonts w:ascii="Arial" w:cs="Arial" w:eastAsia="Arial" w:hAnsi="Arial"/>
                <w:sz w:val="16"/>
                <w:szCs w:val="16"/>
                <w:b w:val="1"/>
                <w:bCs w:val="1"/>
                <w:color w:val="auto"/>
              </w:rPr>
              <w:t>Total Vehicles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21.3%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22.7%</w:t>
            </w: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23.6%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84"/>
              <w:spacing w:after="0"/>
              <w:rPr>
                <w:sz w:val="20"/>
                <w:szCs w:val="20"/>
                <w:color w:val="auto"/>
              </w:rPr>
            </w:pPr>
            <w:r>
              <w:rPr>
                <w:rFonts w:ascii="Arial" w:cs="Arial" w:eastAsia="Arial" w:hAnsi="Arial"/>
                <w:sz w:val="16"/>
                <w:szCs w:val="16"/>
                <w:b w:val="1"/>
                <w:bCs w:val="1"/>
                <w:color w:val="auto"/>
                <w:w w:val="96"/>
              </w:rPr>
              <w:t>25.9%</w:t>
            </w:r>
          </w:p>
        </w:tc>
      </w:tr>
      <w:tr>
        <w:trPr>
          <w:trHeight w:val="482"/>
        </w:trPr>
        <w:tc>
          <w:tcPr>
            <w:tcW w:w="4680" w:type="dxa"/>
            <w:vAlign w:val="bottom"/>
          </w:tcPr>
          <w:p>
            <w:pPr>
              <w:ind w:left="20"/>
              <w:spacing w:after="0"/>
              <w:rPr>
                <w:sz w:val="20"/>
                <w:szCs w:val="20"/>
                <w:color w:val="auto"/>
              </w:rPr>
            </w:pPr>
            <w:r>
              <w:rPr>
                <w:rFonts w:ascii="Arial" w:cs="Arial" w:eastAsia="Arial" w:hAnsi="Arial"/>
                <w:sz w:val="16"/>
                <w:szCs w:val="16"/>
                <w:color w:val="auto"/>
              </w:rPr>
              <w:t>North America Capacity Utilization</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101.7%</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93.4%</w:t>
            </w:r>
          </w:p>
        </w:tc>
        <w:tc>
          <w:tcPr>
            <w:tcW w:w="10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2"/>
              </w:rPr>
              <w:t>99.6%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204"/>
              <w:spacing w:after="0"/>
              <w:rPr>
                <w:sz w:val="20"/>
                <w:szCs w:val="20"/>
                <w:color w:val="auto"/>
              </w:rPr>
            </w:pPr>
            <w:r>
              <w:rPr>
                <w:rFonts w:ascii="Arial" w:cs="Arial" w:eastAsia="Arial" w:hAnsi="Arial"/>
                <w:sz w:val="16"/>
                <w:szCs w:val="16"/>
                <w:color w:val="auto"/>
                <w:w w:val="92"/>
              </w:rPr>
              <w:t>97.5%</w:t>
            </w:r>
          </w:p>
        </w:tc>
      </w:tr>
      <w:tr>
        <w:trPr>
          <w:trHeight w:val="217"/>
        </w:trPr>
        <w:tc>
          <w:tcPr>
            <w:tcW w:w="4680" w:type="dxa"/>
            <w:vAlign w:val="bottom"/>
          </w:tcPr>
          <w:p>
            <w:pPr>
              <w:spacing w:after="0"/>
              <w:rPr>
                <w:sz w:val="20"/>
                <w:szCs w:val="20"/>
                <w:color w:val="auto"/>
              </w:rPr>
            </w:pPr>
            <w:r>
              <w:rPr>
                <w:rFonts w:ascii="Arial" w:cs="Arial" w:eastAsia="Arial" w:hAnsi="Arial"/>
                <w:sz w:val="16"/>
                <w:szCs w:val="16"/>
                <w:color w:val="auto"/>
              </w:rPr>
              <w:t>________</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ind w:left="204" w:hanging="204"/>
        <w:spacing w:after="0"/>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Share information is based on retail vehicles sales volume.</w:t>
      </w:r>
    </w:p>
    <w:p>
      <w:pPr>
        <w:spacing w:after="0" w:line="11" w:lineRule="exact"/>
        <w:rPr>
          <w:rFonts w:ascii="Arial" w:cs="Arial" w:eastAsia="Arial" w:hAnsi="Arial"/>
          <w:sz w:val="14"/>
          <w:szCs w:val="14"/>
          <w:color w:val="auto"/>
        </w:rPr>
      </w:pPr>
    </w:p>
    <w:p>
      <w:pPr>
        <w:ind w:left="284" w:right="20" w:hanging="284"/>
        <w:spacing w:after="0" w:line="271" w:lineRule="auto"/>
        <w:tabs>
          <w:tab w:leader="none" w:pos="199" w:val="left"/>
        </w:tabs>
        <w:numPr>
          <w:ilvl w:val="0"/>
          <w:numId w:val="8"/>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284" w:right="20" w:hanging="284"/>
        <w:spacing w:after="0" w:line="266" w:lineRule="auto"/>
        <w:tabs>
          <w:tab w:leader="none" w:pos="19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the vehicle sales for joint ventures in the table below. Joint venture vehicle sales for General Motors India Private Limited and Chevrolet Sales India Private Limited (collectively GM India) are included in the table below through August 31, 2012.</w:t>
      </w:r>
    </w:p>
    <w:p>
      <w:pPr>
        <w:spacing w:after="0" w:line="179" w:lineRule="exact"/>
        <w:rPr>
          <w:sz w:val="20"/>
          <w:szCs w:val="20"/>
          <w:color w:val="auto"/>
        </w:rPr>
      </w:pPr>
    </w:p>
    <w:tbl>
      <w:tblPr>
        <w:tblLayout w:type="fixed"/>
        <w:tblInd w:w="24" w:type="dxa"/>
        <w:tblCellMar>
          <w:top w:w="0" w:type="dxa"/>
          <w:left w:w="0" w:type="dxa"/>
          <w:bottom w:w="0" w:type="dxa"/>
          <w:right w:w="0" w:type="dxa"/>
        </w:tblCellMar>
      </w:tblPr>
      <w:tr>
        <w:trPr>
          <w:trHeight w:val="153"/>
        </w:trPr>
        <w:tc>
          <w:tcPr>
            <w:tcW w:w="7580" w:type="dxa"/>
            <w:vAlign w:val="bottom"/>
          </w:tcPr>
          <w:p>
            <w:pPr>
              <w:spacing w:after="0"/>
              <w:rPr>
                <w:sz w:val="13"/>
                <w:szCs w:val="13"/>
                <w:color w:val="auto"/>
              </w:rPr>
            </w:pPr>
          </w:p>
        </w:tc>
        <w:tc>
          <w:tcPr>
            <w:tcW w:w="2080" w:type="dxa"/>
            <w:vAlign w:val="bottom"/>
            <w:tcBorders>
              <w:bottom w:val="single" w:sz="8" w:color="auto"/>
            </w:tcBorders>
            <w:gridSpan w:val="3"/>
          </w:tcPr>
          <w:p>
            <w:pPr>
              <w:ind w:left="1420"/>
              <w:spacing w:after="0"/>
              <w:rPr>
                <w:sz w:val="20"/>
                <w:szCs w:val="20"/>
                <w:color w:val="auto"/>
              </w:rPr>
            </w:pPr>
            <w:r>
              <w:rPr>
                <w:rFonts w:ascii="Arial" w:cs="Arial" w:eastAsia="Arial" w:hAnsi="Arial"/>
                <w:sz w:val="11"/>
                <w:szCs w:val="11"/>
                <w:b w:val="1"/>
                <w:bCs w:val="1"/>
                <w:color w:val="auto"/>
                <w:w w:val="95"/>
              </w:rPr>
              <w:t>Years Ended</w:t>
            </w:r>
          </w:p>
        </w:tc>
        <w:tc>
          <w:tcPr>
            <w:tcW w:w="1340" w:type="dxa"/>
            <w:vAlign w:val="bottom"/>
            <w:tcBorders>
              <w:bottom w:val="single" w:sz="8" w:color="auto"/>
            </w:tcBorders>
          </w:tcPr>
          <w:p>
            <w:pPr>
              <w:spacing w:after="0"/>
              <w:rPr>
                <w:sz w:val="13"/>
                <w:szCs w:val="13"/>
                <w:color w:val="auto"/>
              </w:rPr>
            </w:pPr>
          </w:p>
        </w:tc>
      </w:tr>
      <w:tr>
        <w:trPr>
          <w:trHeight w:val="233"/>
        </w:trPr>
        <w:tc>
          <w:tcPr>
            <w:tcW w:w="7580" w:type="dxa"/>
            <w:vAlign w:val="bottom"/>
          </w:tcPr>
          <w:p>
            <w:pPr>
              <w:spacing w:after="0"/>
              <w:rPr>
                <w:sz w:val="20"/>
                <w:szCs w:val="20"/>
                <w:color w:val="auto"/>
              </w:rPr>
            </w:pPr>
          </w:p>
        </w:tc>
        <w:tc>
          <w:tcPr>
            <w:tcW w:w="2080" w:type="dxa"/>
            <w:vAlign w:val="bottom"/>
            <w:gridSpan w:val="3"/>
          </w:tcPr>
          <w:p>
            <w:pPr>
              <w:ind w:left="380"/>
              <w:spacing w:after="0"/>
              <w:rPr>
                <w:sz w:val="20"/>
                <w:szCs w:val="20"/>
                <w:color w:val="auto"/>
              </w:rPr>
            </w:pPr>
            <w:r>
              <w:rPr>
                <w:rFonts w:ascii="Arial" w:cs="Arial" w:eastAsia="Arial" w:hAnsi="Arial"/>
                <w:sz w:val="11"/>
                <w:szCs w:val="11"/>
                <w:b w:val="1"/>
                <w:bCs w:val="1"/>
                <w:color w:val="auto"/>
              </w:rPr>
              <w:t>December 31, 2013</w:t>
            </w:r>
          </w:p>
        </w:tc>
        <w:tc>
          <w:tcPr>
            <w:tcW w:w="1340" w:type="dxa"/>
            <w:vAlign w:val="bottom"/>
          </w:tcPr>
          <w:p>
            <w:pPr>
              <w:jc w:val="right"/>
              <w:ind w:right="298"/>
              <w:spacing w:after="0"/>
              <w:rPr>
                <w:sz w:val="20"/>
                <w:szCs w:val="20"/>
                <w:color w:val="auto"/>
              </w:rPr>
            </w:pPr>
            <w:r>
              <w:rPr>
                <w:rFonts w:ascii="Arial" w:cs="Arial" w:eastAsia="Arial" w:hAnsi="Arial"/>
                <w:sz w:val="11"/>
                <w:szCs w:val="11"/>
                <w:b w:val="1"/>
                <w:bCs w:val="1"/>
                <w:color w:val="auto"/>
                <w:w w:val="96"/>
              </w:rPr>
              <w:t>December 31, 2012</w:t>
            </w:r>
          </w:p>
        </w:tc>
      </w:tr>
      <w:tr>
        <w:trPr>
          <w:trHeight w:val="231"/>
        </w:trPr>
        <w:tc>
          <w:tcPr>
            <w:tcW w:w="7580" w:type="dxa"/>
            <w:vAlign w:val="bottom"/>
          </w:tcPr>
          <w:p>
            <w:pPr>
              <w:spacing w:after="0"/>
              <w:rPr>
                <w:sz w:val="20"/>
                <w:szCs w:val="20"/>
                <w:color w:val="auto"/>
              </w:rPr>
            </w:pPr>
            <w:r>
              <w:rPr>
                <w:rFonts w:ascii="Arial" w:cs="Arial" w:eastAsia="Arial" w:hAnsi="Arial"/>
                <w:sz w:val="13"/>
                <w:szCs w:val="13"/>
                <w:b w:val="1"/>
                <w:bCs w:val="1"/>
                <w:color w:val="auto"/>
              </w:rPr>
              <w:t>Joint venture sales in China</w:t>
            </w: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41"/>
        </w:trPr>
        <w:tc>
          <w:tcPr>
            <w:tcW w:w="7580" w:type="dxa"/>
            <w:vAlign w:val="bottom"/>
          </w:tcPr>
          <w:p>
            <w:pPr>
              <w:ind w:left="140"/>
              <w:spacing w:after="0"/>
              <w:rPr>
                <w:sz w:val="20"/>
                <w:szCs w:val="20"/>
                <w:color w:val="auto"/>
              </w:rPr>
            </w:pPr>
            <w:r>
              <w:rPr>
                <w:rFonts w:ascii="Arial" w:cs="Arial" w:eastAsia="Arial" w:hAnsi="Arial"/>
                <w:sz w:val="13"/>
                <w:szCs w:val="13"/>
                <w:color w:val="auto"/>
              </w:rPr>
              <w:t>SAIC General Motors Sales Co., Ltd.</w:t>
            </w:r>
          </w:p>
        </w:tc>
        <w:tc>
          <w:tcPr>
            <w:tcW w:w="1680" w:type="dxa"/>
            <w:vAlign w:val="bottom"/>
          </w:tcPr>
          <w:p>
            <w:pPr>
              <w:jc w:val="right"/>
              <w:ind w:right="60"/>
              <w:spacing w:after="0"/>
              <w:rPr>
                <w:sz w:val="20"/>
                <w:szCs w:val="20"/>
                <w:color w:val="auto"/>
              </w:rPr>
            </w:pPr>
            <w:r>
              <w:rPr>
                <w:rFonts w:ascii="Arial" w:cs="Arial" w:eastAsia="Arial" w:hAnsi="Arial"/>
                <w:sz w:val="13"/>
                <w:szCs w:val="13"/>
                <w:color w:val="auto"/>
              </w:rPr>
              <w:t>1,512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3"/>
                <w:szCs w:val="13"/>
                <w:color w:val="auto"/>
              </w:rPr>
              <w:t>1,331</w:t>
            </w:r>
          </w:p>
        </w:tc>
      </w:tr>
      <w:tr>
        <w:trPr>
          <w:trHeight w:val="241"/>
        </w:trPr>
        <w:tc>
          <w:tcPr>
            <w:tcW w:w="7580" w:type="dxa"/>
            <w:vAlign w:val="bottom"/>
          </w:tcPr>
          <w:p>
            <w:pPr>
              <w:ind w:left="140"/>
              <w:spacing w:after="0"/>
              <w:rPr>
                <w:sz w:val="20"/>
                <w:szCs w:val="20"/>
                <w:color w:val="auto"/>
              </w:rPr>
            </w:pPr>
            <w:r>
              <w:rPr>
                <w:rFonts w:ascii="Arial" w:cs="Arial" w:eastAsia="Arial" w:hAnsi="Arial"/>
                <w:sz w:val="13"/>
                <w:szCs w:val="13"/>
                <w:color w:val="auto"/>
              </w:rPr>
              <w:t>SGMW and FAW-GM</w:t>
            </w:r>
          </w:p>
        </w:tc>
        <w:tc>
          <w:tcPr>
            <w:tcW w:w="1680" w:type="dxa"/>
            <w:vAlign w:val="bottom"/>
          </w:tcPr>
          <w:p>
            <w:pPr>
              <w:jc w:val="right"/>
              <w:ind w:right="60"/>
              <w:spacing w:after="0"/>
              <w:rPr>
                <w:sz w:val="20"/>
                <w:szCs w:val="20"/>
                <w:color w:val="auto"/>
              </w:rPr>
            </w:pPr>
            <w:r>
              <w:rPr>
                <w:rFonts w:ascii="Arial" w:cs="Arial" w:eastAsia="Arial" w:hAnsi="Arial"/>
                <w:sz w:val="13"/>
                <w:szCs w:val="13"/>
                <w:color w:val="auto"/>
              </w:rPr>
              <w:t>1,644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3"/>
                <w:szCs w:val="13"/>
                <w:color w:val="auto"/>
              </w:rPr>
              <w:t>1,501</w:t>
            </w:r>
          </w:p>
        </w:tc>
      </w:tr>
      <w:tr>
        <w:trPr>
          <w:trHeight w:val="241"/>
        </w:trPr>
        <w:tc>
          <w:tcPr>
            <w:tcW w:w="7580" w:type="dxa"/>
            <w:vAlign w:val="bottom"/>
          </w:tcPr>
          <w:p>
            <w:pPr>
              <w:spacing w:after="0"/>
              <w:rPr>
                <w:sz w:val="20"/>
                <w:szCs w:val="20"/>
                <w:color w:val="auto"/>
              </w:rPr>
            </w:pPr>
            <w:r>
              <w:rPr>
                <w:rFonts w:ascii="Arial" w:cs="Arial" w:eastAsia="Arial" w:hAnsi="Arial"/>
                <w:sz w:val="13"/>
                <w:szCs w:val="13"/>
                <w:b w:val="1"/>
                <w:bCs w:val="1"/>
                <w:color w:val="auto"/>
              </w:rPr>
              <w:t>Joint venture sales in India</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1"/>
        </w:trPr>
        <w:tc>
          <w:tcPr>
            <w:tcW w:w="7580" w:type="dxa"/>
            <w:vAlign w:val="bottom"/>
          </w:tcPr>
          <w:p>
            <w:pPr>
              <w:ind w:left="140"/>
              <w:spacing w:after="0"/>
              <w:rPr>
                <w:sz w:val="20"/>
                <w:szCs w:val="20"/>
                <w:color w:val="auto"/>
              </w:rPr>
            </w:pPr>
            <w:r>
              <w:rPr>
                <w:rFonts w:ascii="Arial" w:cs="Arial" w:eastAsia="Arial" w:hAnsi="Arial"/>
                <w:sz w:val="13"/>
                <w:szCs w:val="13"/>
                <w:color w:val="auto"/>
              </w:rPr>
              <w:t>GM India</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3"/>
                <w:szCs w:val="13"/>
                <w:color w:val="auto"/>
              </w:rPr>
              <w:t>64</w:t>
            </w:r>
          </w:p>
        </w:tc>
      </w:tr>
    </w:tbl>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751" w:right="219" w:bottom="1440" w:gutter="0" w:footer="0" w:header="0"/>
        </w:sectPr>
      </w:pPr>
    </w:p>
    <w:bookmarkStart w:id="15" w:name="page16"/>
    <w:bookmarkEnd w:id="15"/>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Consolidating Sector Income Statements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Year Ended December 31, 2013</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Automotive</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rPr>
              <w:t>GM Financial</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205"/>
        </w:trPr>
        <w:tc>
          <w:tcPr>
            <w:tcW w:w="650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00" w:type="dxa"/>
            <w:vAlign w:val="bottom"/>
          </w:tcPr>
          <w:p>
            <w:pPr>
              <w:ind w:left="120"/>
              <w:spacing w:after="0"/>
              <w:rPr>
                <w:sz w:val="20"/>
                <w:szCs w:val="20"/>
                <w:color w:val="auto"/>
              </w:rPr>
            </w:pPr>
            <w:r>
              <w:rPr>
                <w:rFonts w:ascii="Arial" w:cs="Arial" w:eastAsia="Arial" w:hAnsi="Arial"/>
                <w:sz w:val="16"/>
                <w:szCs w:val="16"/>
                <w:color w:val="auto"/>
              </w:rPr>
              <w:t>Automotive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152,100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152,092</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GM Financial</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3,335</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152,100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155,427</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00" w:type="dxa"/>
            <w:vAlign w:val="bottom"/>
          </w:tcPr>
          <w:p>
            <w:pPr>
              <w:ind w:left="120"/>
              <w:spacing w:after="0"/>
              <w:rPr>
                <w:sz w:val="20"/>
                <w:szCs w:val="20"/>
                <w:color w:val="auto"/>
              </w:rPr>
            </w:pPr>
            <w:r>
              <w:rPr>
                <w:rFonts w:ascii="Arial" w:cs="Arial" w:eastAsia="Arial" w:hAnsi="Arial"/>
                <w:sz w:val="16"/>
                <w:szCs w:val="16"/>
                <w:color w:val="auto"/>
              </w:rPr>
              <w:t>Automotive cost of sales</w:t>
            </w:r>
          </w:p>
        </w:tc>
        <w:tc>
          <w:tcPr>
            <w:tcW w:w="16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134,929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134,925</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GM Financial operating and other expenses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2,461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2,448</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Automotive selling, general and administrative expense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12,382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12,382</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Goodwill impairment charges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12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147,852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150,296</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3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5,131</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Gain (loss) on extinguishment of debt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Equity income and gain on investments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6,574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7,458</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4,763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5,346</w:t>
            </w: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Year Ended December 31, 2012</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Automotive</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rPr>
              <w:t>GM Financial</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205"/>
        </w:trPr>
        <w:tc>
          <w:tcPr>
            <w:tcW w:w="650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00" w:type="dxa"/>
            <w:vAlign w:val="bottom"/>
          </w:tcPr>
          <w:p>
            <w:pPr>
              <w:ind w:left="120"/>
              <w:spacing w:after="0"/>
              <w:rPr>
                <w:sz w:val="20"/>
                <w:szCs w:val="20"/>
                <w:color w:val="auto"/>
              </w:rPr>
            </w:pPr>
            <w:r>
              <w:rPr>
                <w:rFonts w:ascii="Arial" w:cs="Arial" w:eastAsia="Arial" w:hAnsi="Arial"/>
                <w:sz w:val="16"/>
                <w:szCs w:val="16"/>
                <w:color w:val="auto"/>
              </w:rPr>
              <w:t>Automotive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150,293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150,295</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GM Financial</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150,293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152,256</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00" w:type="dxa"/>
            <w:vAlign w:val="bottom"/>
          </w:tcPr>
          <w:p>
            <w:pPr>
              <w:ind w:left="120"/>
              <w:spacing w:after="0"/>
              <w:rPr>
                <w:sz w:val="20"/>
                <w:szCs w:val="20"/>
                <w:color w:val="auto"/>
              </w:rPr>
            </w:pPr>
            <w:r>
              <w:rPr>
                <w:rFonts w:ascii="Arial" w:cs="Arial" w:eastAsia="Arial" w:hAnsi="Arial"/>
                <w:sz w:val="16"/>
                <w:szCs w:val="16"/>
                <w:color w:val="auto"/>
              </w:rPr>
              <w:t>Automotive cost of sales</w:t>
            </w:r>
          </w:p>
        </w:tc>
        <w:tc>
          <w:tcPr>
            <w:tcW w:w="16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140,223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140,236</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GM Financial operating and other expenses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Automotive selling, general and administrative expense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14,031</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Goodwill impairment charges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27,145</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12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181,399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182,619</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3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(30,363)</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Gain (loss) on extinguishment of debt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Equity income and gain on investments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(28,695)</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(34,831)</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6,136</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5,621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6,188</w:t>
            </w: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60" w:top="5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60" w:top="533" w:right="219" w:bottom="1440" w:gutter="0" w:footer="0" w:header="0"/>
          <w:type w:val="continuous"/>
        </w:sectPr>
      </w:pPr>
    </w:p>
    <w:bookmarkStart w:id="16" w:name="page17"/>
    <w:bookmarkEnd w:id="16"/>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Consolidating Sector Income Statements — (Continued)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Year Ended December 31, 2011</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Automotive</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rPr>
              <w:t>GM Financial</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205"/>
        </w:trPr>
        <w:tc>
          <w:tcPr>
            <w:tcW w:w="650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00" w:type="dxa"/>
            <w:vAlign w:val="bottom"/>
          </w:tcPr>
          <w:p>
            <w:pPr>
              <w:ind w:left="120"/>
              <w:spacing w:after="0"/>
              <w:rPr>
                <w:sz w:val="20"/>
                <w:szCs w:val="20"/>
                <w:color w:val="auto"/>
              </w:rPr>
            </w:pPr>
            <w:r>
              <w:rPr>
                <w:rFonts w:ascii="Arial" w:cs="Arial" w:eastAsia="Arial" w:hAnsi="Arial"/>
                <w:sz w:val="16"/>
                <w:szCs w:val="16"/>
                <w:color w:val="auto"/>
              </w:rPr>
              <w:t>Automotive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148,869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148,866</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GM Financial</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148,869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150,276</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00" w:type="dxa"/>
            <w:vAlign w:val="bottom"/>
          </w:tcPr>
          <w:p>
            <w:pPr>
              <w:ind w:left="120"/>
              <w:spacing w:after="0"/>
              <w:rPr>
                <w:sz w:val="20"/>
                <w:szCs w:val="20"/>
                <w:color w:val="auto"/>
              </w:rPr>
            </w:pPr>
            <w:r>
              <w:rPr>
                <w:rFonts w:ascii="Arial" w:cs="Arial" w:eastAsia="Arial" w:hAnsi="Arial"/>
                <w:sz w:val="16"/>
                <w:szCs w:val="16"/>
                <w:color w:val="auto"/>
              </w:rPr>
              <w:t>Automotive cost of sales</w:t>
            </w:r>
          </w:p>
        </w:tc>
        <w:tc>
          <w:tcPr>
            <w:tcW w:w="16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130,386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130,386</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GM Financial operating and other expenses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Automotive selling, general and administrative expense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12,163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12,163</w:t>
            </w:r>
          </w:p>
        </w:tc>
        <w:tc>
          <w:tcPr>
            <w:tcW w:w="0" w:type="dxa"/>
            <w:vAlign w:val="bottom"/>
          </w:tcPr>
          <w:p>
            <w:pPr>
              <w:spacing w:after="0"/>
              <w:rPr>
                <w:sz w:val="1"/>
                <w:szCs w:val="1"/>
                <w:color w:val="auto"/>
              </w:rPr>
            </w:pPr>
          </w:p>
        </w:tc>
      </w:tr>
      <w:tr>
        <w:trPr>
          <w:trHeight w:val="241"/>
        </w:trPr>
        <w:tc>
          <w:tcPr>
            <w:tcW w:w="6500" w:type="dxa"/>
            <w:vAlign w:val="bottom"/>
          </w:tcPr>
          <w:p>
            <w:pPr>
              <w:ind w:left="120"/>
              <w:spacing w:after="0"/>
              <w:rPr>
                <w:sz w:val="20"/>
                <w:szCs w:val="20"/>
                <w:color w:val="auto"/>
              </w:rPr>
            </w:pPr>
            <w:r>
              <w:rPr>
                <w:rFonts w:ascii="Arial" w:cs="Arial" w:eastAsia="Arial" w:hAnsi="Arial"/>
                <w:sz w:val="16"/>
                <w:szCs w:val="16"/>
                <w:color w:val="auto"/>
              </w:rPr>
              <w:t>Goodwill impairment charges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12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143,835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144,620</w:t>
            </w:r>
          </w:p>
        </w:tc>
        <w:tc>
          <w:tcPr>
            <w:tcW w:w="0" w:type="dxa"/>
            <w:vAlign w:val="bottom"/>
          </w:tcPr>
          <w:p>
            <w:pPr>
              <w:spacing w:after="0"/>
              <w:rPr>
                <w:sz w:val="1"/>
                <w:szCs w:val="1"/>
                <w:color w:val="auto"/>
              </w:rPr>
            </w:pPr>
          </w:p>
        </w:tc>
      </w:tr>
      <w:tr>
        <w:trPr>
          <w:trHeight w:val="24"/>
        </w:trPr>
        <w:tc>
          <w:tcPr>
            <w:tcW w:w="6500" w:type="dxa"/>
            <w:vAlign w:val="bottom"/>
            <w:vMerge w:val="restart"/>
          </w:tcPr>
          <w:p>
            <w:pPr>
              <w:ind w:left="3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5,034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Gain on extinguishment of debt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Equity income and gain on investments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3,192</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8,555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9,177</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8,850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9,287</w:t>
            </w: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8,753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9,190</w:t>
            </w: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60" w:top="533" w:right="219" w:bottom="1440" w:gutter="0" w:footer="0" w:header="0"/>
        </w:sectPr>
      </w:pPr>
    </w:p>
    <w:bookmarkStart w:id="17" w:name="page18"/>
    <w:bookmarkEnd w:id="17"/>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4" w:firstLine="145"/>
        <w:spacing w:after="0" w:line="268" w:lineRule="auto"/>
        <w:rPr>
          <w:sz w:val="20"/>
          <w:szCs w:val="20"/>
          <w:color w:val="auto"/>
        </w:rPr>
      </w:pPr>
      <w:r>
        <w:rPr>
          <w:rFonts w:ascii="Arial" w:cs="Arial" w:eastAsia="Arial" w:hAnsi="Arial"/>
          <w:sz w:val="14"/>
          <w:szCs w:val="14"/>
          <w:color w:val="auto"/>
        </w:rPr>
        <w:t>In the three months and year ended December 31, 2012 GM was required to use the two-class method for calculating earnings per share as the applicable market value of its common stock was below $33.00 per common share. In the three months and year ended December 31, 2013 GM was required to use the if-converted method for calculating earnings per share as the applicable market value of its common stock was within the price range of $33.00 to $39.60 per common share.</w:t>
      </w:r>
    </w:p>
    <w:p>
      <w:pPr>
        <w:spacing w:after="0" w:line="16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basic and diluted earnings per share (in millions, except per share amounts):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Years Ended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 2013</w:t>
            </w: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 2012</w:t>
            </w: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December 31, 2013</w:t>
            </w: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w w:val="90"/>
              </w:rPr>
              <w:t>December 31, 2012</w:t>
            </w:r>
          </w:p>
        </w:tc>
        <w:tc>
          <w:tcPr>
            <w:tcW w:w="0" w:type="dxa"/>
            <w:vAlign w:val="bottom"/>
          </w:tcPr>
          <w:p>
            <w:pPr>
              <w:spacing w:after="0"/>
              <w:rPr>
                <w:sz w:val="1"/>
                <w:szCs w:val="1"/>
                <w:color w:val="auto"/>
              </w:rPr>
            </w:pPr>
          </w:p>
        </w:tc>
      </w:tr>
      <w:tr>
        <w:trPr>
          <w:trHeight w:val="217"/>
        </w:trPr>
        <w:tc>
          <w:tcPr>
            <w:tcW w:w="6520" w:type="dxa"/>
            <w:vAlign w:val="bottom"/>
          </w:tcPr>
          <w:p>
            <w:pPr>
              <w:ind w:left="60"/>
              <w:spacing w:after="0"/>
              <w:rPr>
                <w:sz w:val="20"/>
                <w:szCs w:val="20"/>
                <w:color w:val="auto"/>
              </w:rPr>
            </w:pPr>
            <w:r>
              <w:rPr>
                <w:rFonts w:ascii="Arial" w:cs="Arial" w:eastAsia="Arial" w:hAnsi="Arial"/>
                <w:sz w:val="16"/>
                <w:szCs w:val="16"/>
                <w:b w:val="1"/>
                <w:bCs w:val="1"/>
                <w:color w:val="auto"/>
              </w:rPr>
              <w:t>Basic earnings per share</w:t>
            </w: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Net income attributable to stockholders</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5,346</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6,188</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w w:val="92"/>
              </w:rPr>
              <w:t>Less: cumulative dividends on preferred stock and charge related to purchase of preferred stock(a)</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Less: undistributed earnings allocated to Series B Preferred Stock participating security</w:t>
            </w:r>
          </w:p>
        </w:tc>
        <w:tc>
          <w:tcPr>
            <w:tcW w:w="3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6"/>
                <w:szCs w:val="16"/>
                <w:color w:val="auto"/>
              </w:rPr>
              <w:t>Net income attributable to common stockholders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4,859</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Basic earnings per common share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b w:val="1"/>
                <w:bCs w:val="1"/>
                <w:color w:val="auto"/>
              </w:rPr>
              <w:t>Diluted earnings per share</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Net income attributable to stockholders</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5,346</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6,188</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Add: preferred dividends to holders of Series B Preferred Stock</w:t>
            </w:r>
          </w:p>
        </w:tc>
        <w:tc>
          <w:tcPr>
            <w:tcW w:w="3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w w:val="92"/>
              </w:rPr>
              <w:t>Less: cumulative dividends on preferred stock and charge related to purchase of preferred stock(a)</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Less: undistributed earnings allocated to Series B Preferred Stock participating security</w:t>
            </w:r>
          </w:p>
        </w:tc>
        <w:tc>
          <w:tcPr>
            <w:tcW w:w="3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3,988</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4,887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Weighted-average common shares outstanding - diluted</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Weighted-average common shares outstanding - basic</w:t>
            </w:r>
          </w:p>
        </w:tc>
        <w:tc>
          <w:tcPr>
            <w:tcW w:w="3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Dilutive effect of warrants</w:t>
            </w:r>
          </w:p>
        </w:tc>
        <w:tc>
          <w:tcPr>
            <w:tcW w:w="3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Dilutive effect of conversion of Series B Preferred Stock</w:t>
            </w:r>
          </w:p>
        </w:tc>
        <w:tc>
          <w:tcPr>
            <w:tcW w:w="3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520" w:type="dxa"/>
            <w:vAlign w:val="bottom"/>
          </w:tcPr>
          <w:p>
            <w:pPr>
              <w:ind w:left="60"/>
              <w:spacing w:after="0"/>
              <w:rPr>
                <w:sz w:val="20"/>
                <w:szCs w:val="20"/>
                <w:color w:val="auto"/>
              </w:rPr>
            </w:pPr>
            <w:r>
              <w:rPr>
                <w:rFonts w:ascii="Arial" w:cs="Arial" w:eastAsia="Arial" w:hAnsi="Arial"/>
                <w:sz w:val="16"/>
                <w:szCs w:val="16"/>
                <w:color w:val="auto"/>
              </w:rPr>
              <w:t>Dilutive effect of RSUs</w:t>
            </w:r>
          </w:p>
        </w:tc>
        <w:tc>
          <w:tcPr>
            <w:tcW w:w="3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6"/>
                <w:szCs w:val="16"/>
                <w:color w:val="auto"/>
              </w:rPr>
              <w:t>Weighted-average common shares outstanding - diluted</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Diluted earnings per common share</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20" w:type="dxa"/>
            <w:vAlign w:val="bottom"/>
            <w:vMerge w:val="continue"/>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7"/>
                <w:szCs w:val="17"/>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6"/>
                <w:szCs w:val="16"/>
                <w:color w:val="auto"/>
              </w:rPr>
              <w:t>__________</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4" w:right="320" w:hanging="284"/>
        <w:spacing w:after="0" w:line="272" w:lineRule="auto"/>
        <w:tabs>
          <w:tab w:leader="none" w:pos="284"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earned but undeclared dividends of $15 million and $26 million on our Series A Preferred Stock in the years ended December 31, 2013 and 2012 and $20 million on our Series B Preferred Stock in the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4"/>
          </w:cols>
          <w:pgMar w:left="236" w:top="726" w:right="2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1"/>
          <w:szCs w:val="11"/>
          <w:b w:val="1"/>
          <w:bCs w:val="1"/>
          <w:color w:val="auto"/>
        </w:rPr>
        <w:t>ASSETS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Cash and cash equivalents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Marketable securities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Restricted cash and marketable securities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Accounts and notes receivable,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GM Financial receivables,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Inventories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Equipment on operating leases,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Deferred income taxes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current assets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Total 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Assets</w:t>
      </w:r>
    </w:p>
    <w:p>
      <w:pPr>
        <w:spacing w:after="0" w:line="117" w:lineRule="exact"/>
        <w:rPr>
          <w:sz w:val="20"/>
          <w:szCs w:val="20"/>
          <w:color w:val="auto"/>
        </w:rPr>
      </w:pPr>
    </w:p>
    <w:p>
      <w:pPr>
        <w:ind w:left="120" w:right="820"/>
        <w:spacing w:after="0" w:line="503" w:lineRule="auto"/>
        <w:rPr>
          <w:sz w:val="20"/>
          <w:szCs w:val="20"/>
          <w:color w:val="auto"/>
        </w:rPr>
      </w:pPr>
      <w:r>
        <w:rPr>
          <w:rFonts w:ascii="Arial" w:cs="Arial" w:eastAsia="Arial" w:hAnsi="Arial"/>
          <w:sz w:val="10"/>
          <w:szCs w:val="10"/>
          <w:color w:val="auto"/>
        </w:rPr>
        <w:t>Restricted cash and marketable securities GM Financial receivables, net</w:t>
      </w:r>
    </w:p>
    <w:p>
      <w:pPr>
        <w:ind w:left="120"/>
        <w:spacing w:after="0"/>
        <w:rPr>
          <w:sz w:val="20"/>
          <w:szCs w:val="20"/>
          <w:color w:val="auto"/>
        </w:rPr>
      </w:pPr>
      <w:r>
        <w:rPr>
          <w:rFonts w:ascii="Arial" w:cs="Arial" w:eastAsia="Arial" w:hAnsi="Arial"/>
          <w:sz w:val="11"/>
          <w:szCs w:val="11"/>
          <w:color w:val="auto"/>
        </w:rPr>
        <w:t>Equity in net assets of nonconsolidated affiliates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Property,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Goodwill</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Intangible assets,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GM Financial equipment on operating leases,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Deferred income taxes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assets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Total non-current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Assets</w:t>
      </w:r>
    </w:p>
    <w:p>
      <w:pPr>
        <w:spacing w:after="0" w:line="115" w:lineRule="exact"/>
        <w:rPr>
          <w:sz w:val="20"/>
          <w:szCs w:val="20"/>
          <w:color w:val="auto"/>
        </w:rPr>
      </w:pPr>
    </w:p>
    <w:p>
      <w:pPr>
        <w:jc w:val="center"/>
        <w:ind w:left="700"/>
        <w:spacing w:after="0"/>
        <w:rPr>
          <w:sz w:val="20"/>
          <w:szCs w:val="20"/>
          <w:color w:val="auto"/>
        </w:rPr>
      </w:pPr>
      <w:r>
        <w:rPr>
          <w:rFonts w:ascii="Arial" w:cs="Arial" w:eastAsia="Arial" w:hAnsi="Arial"/>
          <w:sz w:val="11"/>
          <w:szCs w:val="11"/>
          <w:b w:val="1"/>
          <w:bCs w:val="1"/>
          <w:color w:val="auto"/>
        </w:rPr>
        <w:t>LIABILITIES AND EQUITY</w:t>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Accounts payable (principally trade)</w:t>
      </w:r>
    </w:p>
    <w:p>
      <w:pPr>
        <w:spacing w:after="0" w:line="115" w:lineRule="exact"/>
        <w:rPr>
          <w:sz w:val="20"/>
          <w:szCs w:val="20"/>
          <w:color w:val="auto"/>
        </w:rPr>
      </w:pPr>
    </w:p>
    <w:p>
      <w:pPr>
        <w:ind w:left="260" w:right="260" w:hanging="144"/>
        <w:spacing w:after="0" w:line="457" w:lineRule="auto"/>
        <w:rPr>
          <w:sz w:val="20"/>
          <w:szCs w:val="20"/>
          <w:color w:val="auto"/>
        </w:rPr>
      </w:pPr>
      <w:r>
        <w:rPr>
          <w:rFonts w:ascii="Arial" w:cs="Arial" w:eastAsia="Arial" w:hAnsi="Arial"/>
          <w:sz w:val="11"/>
          <w:szCs w:val="11"/>
          <w:color w:val="auto"/>
        </w:rPr>
        <w:t>Short-term debt and current portion of long-term debt Automotive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Accrued liabilities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Total 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Long-term debt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Automotive</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20" w:right="740"/>
        <w:spacing w:after="0" w:line="457" w:lineRule="auto"/>
        <w:rPr>
          <w:sz w:val="20"/>
          <w:szCs w:val="20"/>
          <w:color w:val="auto"/>
        </w:rPr>
      </w:pPr>
      <w:r>
        <w:rPr>
          <w:rFonts w:ascii="Arial" w:cs="Arial" w:eastAsia="Arial" w:hAnsi="Arial"/>
          <w:sz w:val="11"/>
          <w:szCs w:val="11"/>
          <w:color w:val="auto"/>
        </w:rPr>
        <w:t>Postretirement benefits other than pensions Pensions</w:t>
      </w:r>
    </w:p>
    <w:p>
      <w:pPr>
        <w:spacing w:after="0" w:line="1" w:lineRule="exact"/>
        <w:rPr>
          <w:sz w:val="20"/>
          <w:szCs w:val="20"/>
          <w:color w:val="auto"/>
        </w:rPr>
      </w:pPr>
    </w:p>
    <w:p>
      <w:pPr>
        <w:ind w:left="120" w:right="760"/>
        <w:spacing w:after="0" w:line="455" w:lineRule="auto"/>
        <w:rPr>
          <w:sz w:val="20"/>
          <w:szCs w:val="20"/>
          <w:color w:val="auto"/>
        </w:rPr>
      </w:pPr>
      <w:r>
        <w:rPr>
          <w:rFonts w:ascii="Arial" w:cs="Arial" w:eastAsia="Arial" w:hAnsi="Arial"/>
          <w:sz w:val="11"/>
          <w:szCs w:val="11"/>
          <w:color w:val="auto"/>
        </w:rPr>
        <w:t>Other liabilities and deferred income taxes Total non-current liabilities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Equity</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1"/>
          <w:szCs w:val="11"/>
          <w:color w:val="auto"/>
        </w:rPr>
        <w:t>Preferred stock, $0.01 par value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Series A</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Series B</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1"/>
          <w:szCs w:val="11"/>
          <w:color w:val="auto"/>
        </w:rPr>
        <w:t>Common stock, $0.01 par value</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1"/>
          <w:szCs w:val="11"/>
          <w:color w:val="auto"/>
        </w:rPr>
        <w:t>Additional paid-in capital</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Retained earnings</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Accumulated other comprehensive income (loss)</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Total stockholders’ equity</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Noncontrolling interests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Equity</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3120"/>
        <w:spacing w:after="0"/>
        <w:rPr>
          <w:sz w:val="20"/>
          <w:szCs w:val="20"/>
          <w:color w:val="auto"/>
        </w:rPr>
      </w:pPr>
      <w:r>
        <w:rPr>
          <w:rFonts w:ascii="Arial" w:cs="Arial" w:eastAsia="Arial" w:hAnsi="Arial"/>
          <w:sz w:val="16"/>
          <w:szCs w:val="16"/>
          <w:b w:val="1"/>
          <w:bCs w:val="1"/>
          <w:color w:val="auto"/>
        </w:rPr>
        <w:t>Consolidating Sector Balance Sheets</w:t>
      </w:r>
    </w:p>
    <w:p>
      <w:pPr>
        <w:spacing w:after="0" w:line="9" w:lineRule="exact"/>
        <w:rPr>
          <w:sz w:val="20"/>
          <w:szCs w:val="20"/>
          <w:color w:val="auto"/>
        </w:rPr>
      </w:pPr>
    </w:p>
    <w:p>
      <w:pPr>
        <w:jc w:val="center"/>
        <w:ind w:right="3120"/>
        <w:spacing w:after="0"/>
        <w:rPr>
          <w:sz w:val="20"/>
          <w:szCs w:val="20"/>
          <w:color w:val="auto"/>
        </w:rPr>
      </w:pPr>
      <w:r>
        <w:rPr>
          <w:rFonts w:ascii="Arial" w:cs="Arial" w:eastAsia="Arial" w:hAnsi="Arial"/>
          <w:sz w:val="16"/>
          <w:szCs w:val="16"/>
          <w:i w:val="1"/>
          <w:iCs w:val="1"/>
          <w:color w:val="auto"/>
        </w:rPr>
        <w:t>(In millions, except share amounts)</w:t>
      </w:r>
    </w:p>
    <w:p>
      <w:pPr>
        <w:spacing w:after="0" w:line="9" w:lineRule="exact"/>
        <w:rPr>
          <w:sz w:val="20"/>
          <w:szCs w:val="20"/>
          <w:color w:val="auto"/>
        </w:rPr>
      </w:pPr>
    </w:p>
    <w:p>
      <w:pPr>
        <w:jc w:val="center"/>
        <w:ind w:right="3120"/>
        <w:spacing w:after="0"/>
        <w:rPr>
          <w:sz w:val="20"/>
          <w:szCs w:val="20"/>
          <w:color w:val="auto"/>
        </w:rPr>
      </w:pPr>
      <w:r>
        <w:rPr>
          <w:rFonts w:ascii="Arial" w:cs="Arial" w:eastAsia="Arial" w:hAnsi="Arial"/>
          <w:sz w:val="16"/>
          <w:szCs w:val="16"/>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gridSpan w:val="5"/>
          </w:tcPr>
          <w:p>
            <w:pPr>
              <w:ind w:left="540"/>
              <w:spacing w:after="0"/>
              <w:rPr>
                <w:sz w:val="20"/>
                <w:szCs w:val="20"/>
                <w:color w:val="auto"/>
              </w:rPr>
            </w:pPr>
            <w:r>
              <w:rPr>
                <w:rFonts w:ascii="Arial" w:cs="Arial" w:eastAsia="Arial" w:hAnsi="Arial"/>
                <w:sz w:val="10"/>
                <w:szCs w:val="10"/>
                <w:b w:val="1"/>
                <w:bCs w:val="1"/>
                <w:color w:val="auto"/>
              </w:rPr>
              <w:t>December 31, 2013</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5"/>
          </w:tcPr>
          <w:p>
            <w:pPr>
              <w:ind w:left="500"/>
              <w:spacing w:after="0"/>
              <w:rPr>
                <w:sz w:val="20"/>
                <w:szCs w:val="20"/>
                <w:color w:val="auto"/>
              </w:rPr>
            </w:pPr>
            <w:r>
              <w:rPr>
                <w:rFonts w:ascii="Arial" w:cs="Arial" w:eastAsia="Arial" w:hAnsi="Arial"/>
                <w:sz w:val="10"/>
                <w:szCs w:val="10"/>
                <w:b w:val="1"/>
                <w:bCs w:val="1"/>
                <w:color w:val="auto"/>
              </w:rPr>
              <w:t>December 31, 2012</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3"/>
        </w:trPr>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0"/>
                <w:szCs w:val="10"/>
                <w:b w:val="1"/>
                <w:bCs w:val="1"/>
                <w:color w:val="auto"/>
              </w:rPr>
              <w:t>Automotive</w:t>
            </w: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GM Financial</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Automotive</w:t>
            </w: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GM Financial</w:t>
            </w: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20" w:type="dxa"/>
            <w:vAlign w:val="bottom"/>
          </w:tcPr>
          <w:p>
            <w:pPr>
              <w:spacing w:after="0"/>
              <w:rPr>
                <w:sz w:val="18"/>
                <w:szCs w:val="18"/>
                <w:color w:val="auto"/>
              </w:rPr>
            </w:pPr>
          </w:p>
        </w:tc>
        <w:tc>
          <w:tcPr>
            <w:tcW w:w="780" w:type="dxa"/>
            <w:vAlign w:val="bottom"/>
          </w:tcPr>
          <w:p>
            <w:pPr>
              <w:jc w:val="right"/>
              <w:ind w:right="124"/>
              <w:spacing w:after="0"/>
              <w:rPr>
                <w:sz w:val="20"/>
                <w:szCs w:val="20"/>
                <w:color w:val="auto"/>
              </w:rPr>
            </w:pPr>
            <w:r>
              <w:rPr>
                <w:rFonts w:ascii="Arial" w:cs="Arial" w:eastAsia="Arial" w:hAnsi="Arial"/>
                <w:sz w:val="10"/>
                <w:szCs w:val="10"/>
                <w:b w:val="1"/>
                <w:bCs w:val="1"/>
                <w:color w:val="auto"/>
                <w:w w:val="91"/>
              </w:rPr>
              <w:t>Consolidated</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00"/>
        </w:trPr>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18,947</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1,074</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20,021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17,133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1,289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18,422</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8,972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8,972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8,988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8,988</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1,247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466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686</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8,806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(1,117)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8,535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10,384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10,395</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14,340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14,278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4,089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4,044</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14,039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14,039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14,714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14,714</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2,398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2,398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1,782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1,782</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10,195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10,349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9,369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9,429</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1,531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1,662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1,487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1,536</w:t>
            </w:r>
          </w:p>
        </w:tc>
      </w:tr>
      <w:tr>
        <w:trPr>
          <w:trHeight w:val="213"/>
        </w:trPr>
        <w:tc>
          <w:tcPr>
            <w:tcW w:w="120" w:type="dxa"/>
            <w:vAlign w:val="bottom"/>
          </w:tcPr>
          <w:p>
            <w:pPr>
              <w:spacing w:after="0"/>
              <w:rPr>
                <w:sz w:val="18"/>
                <w:szCs w:val="18"/>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64,919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17,760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81,501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64,077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5,997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69,996</w:t>
            </w:r>
          </w:p>
        </w:tc>
      </w:tr>
      <w:tr>
        <w:trPr>
          <w:trHeight w:val="482"/>
        </w:trPr>
        <w:tc>
          <w:tcPr>
            <w:tcW w:w="12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741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829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302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682</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14,354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14,354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6,955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6,954</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8,094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8,094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6,883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6,883</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25,736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25,867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24,144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24,196</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1,560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695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1,278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1,973</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5,603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5,668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6,809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6,809</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3,383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3,383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1,703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1,649</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22,620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22,736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27,883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27,922</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2,853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(613)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2,352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2,873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(558)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2,358</w:t>
            </w:r>
          </w:p>
        </w:tc>
      </w:tr>
      <w:tr>
        <w:trPr>
          <w:trHeight w:val="221"/>
        </w:trPr>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65,131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20,324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84,843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69,667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10,371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(612)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79,426</w:t>
            </w:r>
          </w:p>
        </w:tc>
      </w:tr>
      <w:tr>
        <w:trPr>
          <w:trHeight w:val="209"/>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130,050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38,084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(1,790)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166,344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133,744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16,368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(690)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149,422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92"/>
        </w:trPr>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23,550</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589</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(518)</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23,621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25,132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25,166</w:t>
            </w:r>
          </w:p>
        </w:tc>
      </w:tr>
      <w:tr>
        <w:trPr>
          <w:trHeight w:val="482"/>
        </w:trPr>
        <w:tc>
          <w:tcPr>
            <w:tcW w:w="12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1,223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(659)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564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1,792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1,748</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13,594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13,594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3,770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3,770</w:t>
            </w:r>
          </w:p>
        </w:tc>
      </w:tr>
      <w:tr>
        <w:trPr>
          <w:trHeight w:val="250"/>
        </w:trPr>
        <w:tc>
          <w:tcPr>
            <w:tcW w:w="120" w:type="dxa"/>
            <w:vAlign w:val="bottom"/>
          </w:tcPr>
          <w:p>
            <w:pPr>
              <w:spacing w:after="0"/>
              <w:rPr>
                <w:sz w:val="21"/>
                <w:szCs w:val="21"/>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23,980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653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24,633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23,168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23,308</w:t>
            </w:r>
          </w:p>
        </w:tc>
      </w:tr>
      <w:tr>
        <w:trPr>
          <w:trHeight w:val="213"/>
        </w:trPr>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48,753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14,836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(1,177)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62,412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50,092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3,997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53,992</w:t>
            </w:r>
          </w:p>
        </w:tc>
      </w:tr>
      <w:tr>
        <w:trPr>
          <w:trHeight w:val="724"/>
        </w:trPr>
        <w:tc>
          <w:tcPr>
            <w:tcW w:w="12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6,574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6,573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3,425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3,424</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15,452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15,452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7,108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7,108</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5,897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5,897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7,309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7,309</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19,378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19,483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27,420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27,420</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12,748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1,217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(612)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13,353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13,048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712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(591)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13,169</w:t>
            </w:r>
          </w:p>
        </w:tc>
      </w:tr>
      <w:tr>
        <w:trPr>
          <w:trHeight w:val="221"/>
        </w:trPr>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44,597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16,774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(613)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60,758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51,202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7,820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(592)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58,430</w:t>
            </w:r>
          </w:p>
        </w:tc>
      </w:tr>
      <w:tr>
        <w:trPr>
          <w:trHeight w:val="213"/>
        </w:trPr>
        <w:tc>
          <w:tcPr>
            <w:tcW w:w="120" w:type="dxa"/>
            <w:vAlign w:val="bottom"/>
          </w:tcPr>
          <w:p>
            <w:pPr>
              <w:spacing w:after="0"/>
              <w:rPr>
                <w:sz w:val="18"/>
                <w:szCs w:val="18"/>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93,350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31,610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(1,790)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123,170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101,294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11,817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112,422</w:t>
            </w:r>
          </w:p>
        </w:tc>
      </w:tr>
      <w:tr>
        <w:trPr>
          <w:trHeight w:val="724"/>
        </w:trPr>
        <w:tc>
          <w:tcPr>
            <w:tcW w:w="12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3,109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3,109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5,536</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4,855</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14</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28,780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28,780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23,834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23,834</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7,353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6,463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13,816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5,503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4,554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10,057</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(3,124)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(3,113)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(8,048)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(8,052)</w:t>
            </w:r>
          </w:p>
        </w:tc>
      </w:tr>
      <w:tr>
        <w:trPr>
          <w:trHeight w:val="213"/>
        </w:trPr>
        <w:tc>
          <w:tcPr>
            <w:tcW w:w="120" w:type="dxa"/>
            <w:vAlign w:val="bottom"/>
          </w:tcPr>
          <w:p>
            <w:pPr>
              <w:spacing w:after="0"/>
              <w:rPr>
                <w:sz w:val="18"/>
                <w:szCs w:val="18"/>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36,133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6,474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42,607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31,694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4,551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36,244</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567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567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756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756</w:t>
            </w:r>
          </w:p>
        </w:tc>
      </w:tr>
      <w:tr>
        <w:trPr>
          <w:trHeight w:val="221"/>
        </w:trPr>
        <w:tc>
          <w:tcPr>
            <w:tcW w:w="120" w:type="dxa"/>
            <w:vAlign w:val="bottom"/>
          </w:tcPr>
          <w:p>
            <w:pPr>
              <w:spacing w:after="0"/>
              <w:rPr>
                <w:sz w:val="19"/>
                <w:szCs w:val="19"/>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36,700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6,474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800" w:type="dxa"/>
            <w:vAlign w:val="bottom"/>
          </w:tcPr>
          <w:p>
            <w:pPr>
              <w:jc w:val="right"/>
              <w:ind w:right="64"/>
              <w:spacing w:after="0"/>
              <w:rPr>
                <w:sz w:val="20"/>
                <w:szCs w:val="20"/>
                <w:color w:val="auto"/>
              </w:rPr>
            </w:pPr>
            <w:r>
              <w:rPr>
                <w:rFonts w:ascii="Arial" w:cs="Arial" w:eastAsia="Arial" w:hAnsi="Arial"/>
                <w:sz w:val="11"/>
                <w:szCs w:val="11"/>
                <w:color w:val="auto"/>
              </w:rPr>
              <w:t>43,174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4"/>
              <w:spacing w:after="0"/>
              <w:rPr>
                <w:sz w:val="20"/>
                <w:szCs w:val="20"/>
                <w:color w:val="auto"/>
              </w:rPr>
            </w:pPr>
            <w:r>
              <w:rPr>
                <w:rFonts w:ascii="Arial" w:cs="Arial" w:eastAsia="Arial" w:hAnsi="Arial"/>
                <w:sz w:val="11"/>
                <w:szCs w:val="11"/>
                <w:color w:val="auto"/>
              </w:rPr>
              <w:t>32,450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44"/>
              <w:spacing w:after="0"/>
              <w:rPr>
                <w:sz w:val="20"/>
                <w:szCs w:val="20"/>
                <w:color w:val="auto"/>
              </w:rPr>
            </w:pPr>
            <w:r>
              <w:rPr>
                <w:rFonts w:ascii="Arial" w:cs="Arial" w:eastAsia="Arial" w:hAnsi="Arial"/>
                <w:sz w:val="11"/>
                <w:szCs w:val="11"/>
                <w:color w:val="auto"/>
              </w:rPr>
              <w:t>4,551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37,000</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130,050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38,084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(1,790)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166,344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133,744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16,368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(690)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149,422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800" w:space="720"/>
            <w:col w:w="7900"/>
          </w:cols>
          <w:pgMar w:left="260" w:top="726" w:right="219" w:bottom="497"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60" w:top="726" w:right="219" w:bottom="497" w:gutter="0" w:footer="0" w:header="0"/>
          <w:type w:val="continuous"/>
        </w:sectPr>
      </w:pPr>
    </w:p>
    <w:bookmarkStart w:id="19" w:name="page20"/>
    <w:bookmarkEnd w:id="19"/>
    <w:p>
      <w:pPr>
        <w:jc w:val="center"/>
        <w:ind w:right="-27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Consolidating Sector Statements of Cash Flows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88"/>
              </w:rPr>
              <w:t>Year Ended December 31, 2013</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88"/>
              <w:spacing w:after="0"/>
              <w:rPr>
                <w:sz w:val="20"/>
                <w:szCs w:val="20"/>
                <w:color w:val="auto"/>
              </w:rPr>
            </w:pPr>
            <w:r>
              <w:rPr>
                <w:rFonts w:ascii="Arial" w:cs="Arial" w:eastAsia="Arial" w:hAnsi="Arial"/>
                <w:sz w:val="13"/>
                <w:szCs w:val="13"/>
                <w:b w:val="1"/>
                <w:bCs w:val="1"/>
                <w:color w:val="auto"/>
                <w:w w:val="95"/>
              </w:rPr>
              <w:t>Automotive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GM Financial</w:t>
            </w:r>
          </w:p>
        </w:tc>
        <w:tc>
          <w:tcPr>
            <w:tcW w:w="140" w:type="dxa"/>
            <w:vAlign w:val="bottom"/>
          </w:tcPr>
          <w:p>
            <w:pPr>
              <w:spacing w:after="0"/>
              <w:rPr>
                <w:sz w:val="20"/>
                <w:szCs w:val="20"/>
                <w:color w:val="auto"/>
              </w:rPr>
            </w:pPr>
          </w:p>
        </w:tc>
        <w:tc>
          <w:tcPr>
            <w:tcW w:w="960" w:type="dxa"/>
            <w:vAlign w:val="bottom"/>
          </w:tcPr>
          <w:p>
            <w:pPr>
              <w:jc w:val="right"/>
              <w:ind w:right="128"/>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87"/>
        </w:trPr>
        <w:tc>
          <w:tcPr>
            <w:tcW w:w="71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1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4,748</w:t>
            </w:r>
          </w:p>
        </w:tc>
        <w:tc>
          <w:tcPr>
            <w:tcW w:w="5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5,331</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Depreciation, impairment charges and amortization expense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7,553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8,041</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Foreign currency remeasurement and transaction losses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Amortization of discount and issuance costs on debt issues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Undistributed earnings of nonconsolidated affiliates and gain on investments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Pension contributions and OPEB payments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Pension and OPEB (income) expense, net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(Gains) losses on extinguishment of debt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Provision (benefit) for deferred taxes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Change in other operating assets and liabilities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Other operating activities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30"/>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11,021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12,630</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180" w:type="dxa"/>
            <w:vAlign w:val="bottom"/>
          </w:tcPr>
          <w:p>
            <w:pPr>
              <w:ind w:left="120"/>
              <w:spacing w:after="0"/>
              <w:rPr>
                <w:sz w:val="20"/>
                <w:szCs w:val="20"/>
                <w:color w:val="auto"/>
              </w:rPr>
            </w:pPr>
            <w:r>
              <w:rPr>
                <w:rFonts w:ascii="Arial" w:cs="Arial" w:eastAsia="Arial" w:hAnsi="Arial"/>
                <w:sz w:val="14"/>
                <w:szCs w:val="14"/>
                <w:color w:val="auto"/>
              </w:rPr>
              <w:t>Expenditures for property</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(7,549)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(7,565)</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Available-for-sale marketable securities, acquisitions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(6,754)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Trading marketable securities, acquisitions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(3,214)</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Available-for-sale marketable securities, liquidations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3,566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3,566</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Trading marketable securities, liquidations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6,538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6,538</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Acquisition of companies, net of cash acquired</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Increase in restricted cash and marketable securities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Decrease in restricted cash and marketable securities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Purchases and funding of finance receivables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(30,727)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(30,727)</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Principal collections and recoveries on finance receivables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27,444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27,444</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Purchases of leased vehicles, net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Proceeds from termination of leased vehicles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Other investing activities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0"/>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(6,147)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(14,362)</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180" w:type="dxa"/>
            <w:vAlign w:val="bottom"/>
          </w:tcPr>
          <w:p>
            <w:pPr>
              <w:ind w:left="120"/>
              <w:spacing w:after="0"/>
              <w:rPr>
                <w:sz w:val="20"/>
                <w:szCs w:val="20"/>
                <w:color w:val="auto"/>
              </w:rPr>
            </w:pPr>
            <w:r>
              <w:rPr>
                <w:rFonts w:ascii="Arial" w:cs="Arial" w:eastAsia="Arial" w:hAnsi="Arial"/>
                <w:sz w:val="14"/>
                <w:szCs w:val="14"/>
                <w:color w:val="auto"/>
              </w:rPr>
              <w:t>Net increase (decrease) in short-term debt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5,430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22,611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28,041</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Payments on debt (original maturities greater than three months)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(20,191)</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Payments to purchase stock</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(2,438)</w:t>
            </w:r>
          </w:p>
        </w:tc>
        <w:tc>
          <w:tcPr>
            <w:tcW w:w="6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Dividends paid (including charge related to purchase of Series A Preferred Stock)</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(1,687)</w:t>
            </w:r>
          </w:p>
        </w:tc>
        <w:tc>
          <w:tcPr>
            <w:tcW w:w="0" w:type="dxa"/>
            <w:vAlign w:val="bottom"/>
          </w:tcPr>
          <w:p>
            <w:pPr>
              <w:spacing w:after="0"/>
              <w:rPr>
                <w:sz w:val="1"/>
                <w:szCs w:val="1"/>
                <w:color w:val="auto"/>
              </w:rPr>
            </w:pPr>
          </w:p>
        </w:tc>
      </w:tr>
      <w:tr>
        <w:trPr>
          <w:trHeight w:val="241"/>
        </w:trPr>
        <w:tc>
          <w:tcPr>
            <w:tcW w:w="7180" w:type="dxa"/>
            <w:vAlign w:val="bottom"/>
          </w:tcPr>
          <w:p>
            <w:pPr>
              <w:ind w:left="120"/>
              <w:spacing w:after="0"/>
              <w:rPr>
                <w:sz w:val="20"/>
                <w:szCs w:val="20"/>
                <w:color w:val="auto"/>
              </w:rPr>
            </w:pPr>
            <w:r>
              <w:rPr>
                <w:rFonts w:ascii="Arial" w:cs="Arial" w:eastAsia="Arial" w:hAnsi="Arial"/>
                <w:sz w:val="14"/>
                <w:szCs w:val="14"/>
                <w:color w:val="auto"/>
              </w:rPr>
              <w:t>Other financing activities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30"/>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241"/>
        </w:trPr>
        <w:tc>
          <w:tcPr>
            <w:tcW w:w="718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41"/>
        </w:trPr>
        <w:tc>
          <w:tcPr>
            <w:tcW w:w="7180" w:type="dxa"/>
            <w:vAlign w:val="bottom"/>
          </w:tcPr>
          <w:p>
            <w:pPr>
              <w:spacing w:after="0"/>
              <w:rPr>
                <w:sz w:val="20"/>
                <w:szCs w:val="20"/>
                <w:color w:val="auto"/>
              </w:rPr>
            </w:pPr>
            <w:r>
              <w:rPr>
                <w:rFonts w:ascii="Arial" w:cs="Arial" w:eastAsia="Arial" w:hAnsi="Arial"/>
                <w:sz w:val="14"/>
                <w:szCs w:val="14"/>
                <w:color w:val="auto"/>
              </w:rPr>
              <w:t>Net transactions with Automotive/GM Financial</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1,814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241"/>
        </w:trPr>
        <w:tc>
          <w:tcPr>
            <w:tcW w:w="718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17,133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30"/>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18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18,947</w:t>
            </w:r>
          </w:p>
        </w:tc>
        <w:tc>
          <w:tcPr>
            <w:tcW w:w="5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20,021</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560" w:top="53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940"/>
          </w:cols>
          <w:pgMar w:left="560" w:top="533" w:right="399" w:bottom="1440" w:gutter="0" w:footer="0" w:header="0"/>
          <w:type w:val="continuous"/>
        </w:sectPr>
      </w:pPr>
    </w:p>
    <w:bookmarkStart w:id="20" w:name="page21"/>
    <w:bookmarkEnd w:id="20"/>
    <w:p>
      <w:pPr>
        <w:jc w:val="center"/>
        <w:ind w:right="-27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Consolidating Sector Statements of Cash Flows — (Continued)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4"/>
              </w:rPr>
              <w:t>Year Ended December 31, 2012</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5"/>
              </w:rPr>
              <w:t>Automotive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8"/>
              </w:rPr>
              <w:t>GM Financial</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87"/>
        </w:trPr>
        <w:tc>
          <w:tcPr>
            <w:tcW w:w="704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0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5,569</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6,136</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Depreciation, impairment charges and amortization expense</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38,546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38,762</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Foreign currency remeasurement and transaction losses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Amortization of discount and issuance costs on debt issues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Undistributed earnings of nonconsolidated affiliates and gain on investments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Pension contributions and OPEB payments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(3,759)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(3,759)</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Pension and OPEB (income) expense, net</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3,232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(Gains) losses on extinguishment of debt</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Provision (benefit) for deferred taxes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(35,462)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(35,561)</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Change in other operating assets and liabilities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Other operating activities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9,631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974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10,605</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040" w:type="dxa"/>
            <w:vAlign w:val="bottom"/>
          </w:tcPr>
          <w:p>
            <w:pPr>
              <w:ind w:left="120"/>
              <w:spacing w:after="0"/>
              <w:rPr>
                <w:sz w:val="20"/>
                <w:szCs w:val="20"/>
                <w:color w:val="auto"/>
              </w:rPr>
            </w:pPr>
            <w:r>
              <w:rPr>
                <w:rFonts w:ascii="Arial" w:cs="Arial" w:eastAsia="Arial" w:hAnsi="Arial"/>
                <w:sz w:val="14"/>
                <w:szCs w:val="14"/>
                <w:color w:val="auto"/>
              </w:rPr>
              <w:t>Expenditures for property</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(8,055)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(8,068)</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Available-for-sale marketable securities, acquisitions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(4,650)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Trading marketable securities, acquisitions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(6,234)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(6,234)</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Available-for-sale marketable securities, liquidations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10,519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10,519</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Trading marketable securities, liquidations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7,267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7,267</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Acquisition of companies, net of cash acquired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Increase in restricted cash and marketable securities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Decrease in restricted cash and marketable securities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Purchases and funding of finance receivables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(6,789)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(6,789)</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Principal collections and recoveries on finance receivables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4,674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4,674</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Purchases of leased vehicles, net</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Proceeds from termination of leased vehicles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Other investing activities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040" w:type="dxa"/>
            <w:vAlign w:val="bottom"/>
          </w:tcPr>
          <w:p>
            <w:pPr>
              <w:ind w:left="120"/>
              <w:spacing w:after="0"/>
              <w:rPr>
                <w:sz w:val="20"/>
                <w:szCs w:val="20"/>
                <w:color w:val="auto"/>
              </w:rPr>
            </w:pPr>
            <w:r>
              <w:rPr>
                <w:rFonts w:ascii="Arial" w:cs="Arial" w:eastAsia="Arial" w:hAnsi="Arial"/>
                <w:sz w:val="14"/>
                <w:szCs w:val="14"/>
                <w:color w:val="auto"/>
              </w:rPr>
              <w:t>Net increase (decrease) in short-term debt</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Payments on debt (original maturities greater than three months)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(6,234)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(7,377)</w:t>
            </w:r>
          </w:p>
        </w:tc>
        <w:tc>
          <w:tcPr>
            <w:tcW w:w="0" w:type="dxa"/>
            <w:vAlign w:val="bottom"/>
          </w:tcPr>
          <w:p>
            <w:pPr>
              <w:spacing w:after="0"/>
              <w:rPr>
                <w:sz w:val="1"/>
                <w:szCs w:val="1"/>
                <w:color w:val="auto"/>
              </w:rPr>
            </w:pPr>
          </w:p>
        </w:tc>
      </w:tr>
      <w:tr>
        <w:trPr>
          <w:trHeight w:val="229"/>
        </w:trPr>
        <w:tc>
          <w:tcPr>
            <w:tcW w:w="7040" w:type="dxa"/>
            <w:vAlign w:val="bottom"/>
          </w:tcPr>
          <w:p>
            <w:pPr>
              <w:ind w:left="120"/>
              <w:spacing w:after="0"/>
              <w:rPr>
                <w:sz w:val="20"/>
                <w:szCs w:val="20"/>
                <w:color w:val="auto"/>
              </w:rPr>
            </w:pPr>
            <w:r>
              <w:rPr>
                <w:rFonts w:ascii="Arial" w:cs="Arial" w:eastAsia="Arial" w:hAnsi="Arial"/>
                <w:sz w:val="14"/>
                <w:szCs w:val="14"/>
                <w:color w:val="auto"/>
              </w:rPr>
              <w:t>Payments to purchase stock</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(5,098)</w:t>
            </w:r>
          </w:p>
        </w:tc>
        <w:tc>
          <w:tcPr>
            <w:tcW w:w="4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(5,098)</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241"/>
        </w:trPr>
        <w:tc>
          <w:tcPr>
            <w:tcW w:w="7040" w:type="dxa"/>
            <w:vAlign w:val="bottom"/>
          </w:tcPr>
          <w:p>
            <w:pPr>
              <w:ind w:left="120"/>
              <w:spacing w:after="0"/>
              <w:rPr>
                <w:sz w:val="20"/>
                <w:szCs w:val="20"/>
                <w:color w:val="auto"/>
              </w:rPr>
            </w:pPr>
            <w:r>
              <w:rPr>
                <w:rFonts w:ascii="Arial" w:cs="Arial" w:eastAsia="Arial" w:hAnsi="Arial"/>
                <w:sz w:val="14"/>
                <w:szCs w:val="14"/>
                <w:color w:val="auto"/>
              </w:rPr>
              <w:t>Other financing activities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(7,059)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2,318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(4,741)</w:t>
            </w:r>
          </w:p>
        </w:tc>
        <w:tc>
          <w:tcPr>
            <w:tcW w:w="0" w:type="dxa"/>
            <w:vAlign w:val="bottom"/>
          </w:tcPr>
          <w:p>
            <w:pPr>
              <w:spacing w:after="0"/>
              <w:rPr>
                <w:sz w:val="1"/>
                <w:szCs w:val="1"/>
                <w:color w:val="auto"/>
              </w:rPr>
            </w:pPr>
          </w:p>
        </w:tc>
      </w:tr>
      <w:tr>
        <w:trPr>
          <w:trHeight w:val="241"/>
        </w:trPr>
        <w:tc>
          <w:tcPr>
            <w:tcW w:w="70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1"/>
        </w:trPr>
        <w:tc>
          <w:tcPr>
            <w:tcW w:w="7040" w:type="dxa"/>
            <w:vAlign w:val="bottom"/>
          </w:tcPr>
          <w:p>
            <w:pPr>
              <w:spacing w:after="0"/>
              <w:rPr>
                <w:sz w:val="20"/>
                <w:szCs w:val="20"/>
                <w:color w:val="auto"/>
              </w:rPr>
            </w:pPr>
            <w:r>
              <w:rPr>
                <w:rFonts w:ascii="Arial" w:cs="Arial" w:eastAsia="Arial" w:hAnsi="Arial"/>
                <w:sz w:val="14"/>
                <w:szCs w:val="14"/>
                <w:color w:val="auto"/>
              </w:rPr>
              <w:t>Net transactions with Automotive/GM Financial</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7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1,634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717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241"/>
        </w:trPr>
        <w:tc>
          <w:tcPr>
            <w:tcW w:w="70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15,499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04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17,133</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1,289</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30"/>
        </w:trPr>
        <w:tc>
          <w:tcPr>
            <w:tcW w:w="7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560" w:top="7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940"/>
          </w:cols>
          <w:pgMar w:left="560" w:top="726" w:right="399" w:bottom="1440" w:gutter="0" w:footer="0" w:header="0"/>
          <w:type w:val="continuous"/>
        </w:sectPr>
      </w:pPr>
    </w:p>
    <w:bookmarkStart w:id="21" w:name="page22"/>
    <w:bookmarkEnd w:id="21"/>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Consolidating Sector Statements of Cash Flows — (Continued)</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708"/>
              <w:spacing w:after="0"/>
              <w:rPr>
                <w:sz w:val="20"/>
                <w:szCs w:val="20"/>
                <w:color w:val="auto"/>
              </w:rPr>
            </w:pPr>
            <w:r>
              <w:rPr>
                <w:rFonts w:ascii="Arial" w:cs="Arial" w:eastAsia="Arial" w:hAnsi="Arial"/>
                <w:sz w:val="13"/>
                <w:szCs w:val="13"/>
                <w:b w:val="1"/>
                <w:bCs w:val="1"/>
                <w:color w:val="auto"/>
                <w:w w:val="89"/>
              </w:rPr>
              <w:t>Year Ended December 31, 2011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Automotive</w:t>
            </w:r>
          </w:p>
        </w:tc>
        <w:tc>
          <w:tcPr>
            <w:tcW w:w="14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GM Financial</w:t>
            </w:r>
          </w:p>
        </w:tc>
        <w:tc>
          <w:tcPr>
            <w:tcW w:w="160" w:type="dxa"/>
            <w:vAlign w:val="bottom"/>
          </w:tcPr>
          <w:p>
            <w:pPr>
              <w:spacing w:after="0"/>
              <w:rPr>
                <w:sz w:val="20"/>
                <w:szCs w:val="20"/>
                <w:color w:val="auto"/>
              </w:rPr>
            </w:pPr>
          </w:p>
        </w:tc>
        <w:tc>
          <w:tcPr>
            <w:tcW w:w="940" w:type="dxa"/>
            <w:vAlign w:val="bottom"/>
          </w:tcPr>
          <w:p>
            <w:pPr>
              <w:jc w:val="right"/>
              <w:ind w:right="128"/>
              <w:spacing w:after="0"/>
              <w:rPr>
                <w:sz w:val="20"/>
                <w:szCs w:val="20"/>
                <w:color w:val="auto"/>
              </w:rPr>
            </w:pPr>
            <w:r>
              <w:rPr>
                <w:rFonts w:ascii="Arial" w:cs="Arial" w:eastAsia="Arial" w:hAnsi="Arial"/>
                <w:sz w:val="13"/>
                <w:szCs w:val="13"/>
                <w:b w:val="1"/>
                <w:bCs w:val="1"/>
                <w:color w:val="auto"/>
                <w:w w:val="87"/>
              </w:rPr>
              <w:t>Consolidated</w:t>
            </w:r>
          </w:p>
        </w:tc>
        <w:tc>
          <w:tcPr>
            <w:tcW w:w="0" w:type="dxa"/>
            <w:vAlign w:val="bottom"/>
          </w:tcPr>
          <w:p>
            <w:pPr>
              <w:spacing w:after="0"/>
              <w:rPr>
                <w:sz w:val="1"/>
                <w:szCs w:val="1"/>
                <w:color w:val="auto"/>
              </w:rPr>
            </w:pPr>
          </w:p>
        </w:tc>
      </w:tr>
      <w:tr>
        <w:trPr>
          <w:trHeight w:val="187"/>
        </w:trPr>
        <w:tc>
          <w:tcPr>
            <w:tcW w:w="752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5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8,850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9,287</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Depreciation, impairment charges and amortization expense</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7,344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7,427</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Foreign currency remeasurement and transaction losses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Amortization of discount and issuance costs on debt issues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Undistributed earnings of nonconsolidated affiliates and gain on investments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Pension contributions and OPEB payments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Pension and OPEB (income) expense, net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(Gains) losses on extinguishment of debt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Provision (benefit) for deferred taxes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Change in other operating assets and liabilities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(4,122)</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Other operating activities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30"/>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7,429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8,166</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520" w:type="dxa"/>
            <w:vAlign w:val="bottom"/>
          </w:tcPr>
          <w:p>
            <w:pPr>
              <w:ind w:left="120"/>
              <w:spacing w:after="0"/>
              <w:rPr>
                <w:sz w:val="20"/>
                <w:szCs w:val="20"/>
                <w:color w:val="auto"/>
              </w:rPr>
            </w:pPr>
            <w:r>
              <w:rPr>
                <w:rFonts w:ascii="Arial" w:cs="Arial" w:eastAsia="Arial" w:hAnsi="Arial"/>
                <w:sz w:val="14"/>
                <w:szCs w:val="14"/>
                <w:color w:val="auto"/>
              </w:rPr>
              <w:t>Expenditures for property</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(6,241)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(6,249)</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Available-for-sale marketable securities, acquisitions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(20,535)</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Trading marketable securities, acquisitions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(6,571)</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Available-for-sale marketable securities, liquidations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15,825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15,825</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Trading marketable securities, liquidations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Acquisition of companies, net of cash acquired</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4,821</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Increase in restricted cash and marketable securities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Decrease in restricted cash and marketable securities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Purchases and funding of finance receivables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Principal collections and recoveries on finance receivables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3,719</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Purchases of leased vehicles, net</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Proceeds from termination of leased vehicles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Other investing activities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0"/>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(10,628)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(12,740)</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520" w:type="dxa"/>
            <w:vAlign w:val="bottom"/>
          </w:tcPr>
          <w:p>
            <w:pPr>
              <w:ind w:left="120"/>
              <w:spacing w:after="0"/>
              <w:rPr>
                <w:sz w:val="20"/>
                <w:szCs w:val="20"/>
                <w:color w:val="auto"/>
              </w:rPr>
            </w:pPr>
            <w:r>
              <w:rPr>
                <w:rFonts w:ascii="Arial" w:cs="Arial" w:eastAsia="Arial" w:hAnsi="Arial"/>
                <w:sz w:val="14"/>
                <w:szCs w:val="14"/>
                <w:color w:val="auto"/>
              </w:rPr>
              <w:t>Net increase (decrease) in short-term debt</w:t>
            </w: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8,567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9,034</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Payments on debt (original maturities greater than three months)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(8,468)</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41"/>
        </w:trPr>
        <w:tc>
          <w:tcPr>
            <w:tcW w:w="7520" w:type="dxa"/>
            <w:vAlign w:val="bottom"/>
          </w:tcPr>
          <w:p>
            <w:pPr>
              <w:ind w:left="120"/>
              <w:spacing w:after="0"/>
              <w:rPr>
                <w:sz w:val="20"/>
                <w:szCs w:val="20"/>
                <w:color w:val="auto"/>
              </w:rPr>
            </w:pPr>
            <w:r>
              <w:rPr>
                <w:rFonts w:ascii="Arial" w:cs="Arial" w:eastAsia="Arial" w:hAnsi="Arial"/>
                <w:sz w:val="14"/>
                <w:szCs w:val="14"/>
                <w:color w:val="auto"/>
              </w:rPr>
              <w:t>Other financing activities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30"/>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41"/>
        </w:trPr>
        <w:tc>
          <w:tcPr>
            <w:tcW w:w="75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41"/>
        </w:trPr>
        <w:tc>
          <w:tcPr>
            <w:tcW w:w="7520" w:type="dxa"/>
            <w:vAlign w:val="bottom"/>
          </w:tcPr>
          <w:p>
            <w:pPr>
              <w:spacing w:after="0"/>
              <w:rPr>
                <w:sz w:val="20"/>
                <w:szCs w:val="20"/>
                <w:color w:val="auto"/>
              </w:rPr>
            </w:pPr>
            <w:r>
              <w:rPr>
                <w:rFonts w:ascii="Arial" w:cs="Arial" w:eastAsia="Arial" w:hAnsi="Arial"/>
                <w:sz w:val="14"/>
                <w:szCs w:val="14"/>
                <w:color w:val="auto"/>
              </w:rPr>
              <w:t>Net transactions with Automotive/GM Financial</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7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52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(5,185)</w:t>
            </w:r>
          </w:p>
        </w:tc>
        <w:tc>
          <w:tcPr>
            <w:tcW w:w="0" w:type="dxa"/>
            <w:vAlign w:val="bottom"/>
          </w:tcPr>
          <w:p>
            <w:pPr>
              <w:spacing w:after="0"/>
              <w:rPr>
                <w:sz w:val="1"/>
                <w:szCs w:val="1"/>
                <w:color w:val="auto"/>
              </w:rPr>
            </w:pPr>
          </w:p>
        </w:tc>
      </w:tr>
      <w:tr>
        <w:trPr>
          <w:trHeight w:val="241"/>
        </w:trPr>
        <w:tc>
          <w:tcPr>
            <w:tcW w:w="75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21,061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21,256</w:t>
            </w:r>
          </w:p>
        </w:tc>
        <w:tc>
          <w:tcPr>
            <w:tcW w:w="0" w:type="dxa"/>
            <w:vAlign w:val="bottom"/>
          </w:tcPr>
          <w:p>
            <w:pPr>
              <w:spacing w:after="0"/>
              <w:rPr>
                <w:sz w:val="1"/>
                <w:szCs w:val="1"/>
                <w:color w:val="auto"/>
              </w:rPr>
            </w:pPr>
          </w:p>
        </w:tc>
      </w:tr>
      <w:tr>
        <w:trPr>
          <w:trHeight w:val="30"/>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520" w:type="dxa"/>
            <w:vAlign w:val="bottom"/>
            <w:vMerge w:val="continue"/>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15,499</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30"/>
        </w:trPr>
        <w:tc>
          <w:tcPr>
            <w:tcW w:w="7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60" w:top="919" w:right="319" w:bottom="1440"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2019-12-07T20:43:03Z</dcterms:created>
  <dcterms:modified xsi:type="dcterms:W3CDTF">2019-12-07T20:43:03Z</dcterms:modified>
</cp:coreProperties>
</file>