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6"/>
                <w:szCs w:val="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gridSpan w:val="2"/>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40" w:type="dxa"/>
            <w:vAlign w:val="bottom"/>
            <w:gridSpan w:val="2"/>
            <w:vMerge w:val="restart"/>
          </w:tcPr>
          <w:p>
            <w:pPr>
              <w:ind w:left="460"/>
              <w:spacing w:after="0"/>
              <w:rPr>
                <w:sz w:val="20"/>
                <w:szCs w:val="20"/>
                <w:color w:val="auto"/>
              </w:rPr>
            </w:pPr>
            <w:r>
              <w:rPr>
                <w:rFonts w:ascii="Arial" w:cs="Arial" w:eastAsia="Arial" w:hAnsi="Arial"/>
                <w:sz w:val="18"/>
                <w:szCs w:val="18"/>
                <w:color w:val="0000FF"/>
              </w:rPr>
              <w:t>President</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07/31/2017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4"/>
          </w:tcPr>
          <w:p>
            <w:pPr>
              <w:spacing w:after="0" w:line="198" w:lineRule="exact"/>
              <w:rPr>
                <w:sz w:val="20"/>
                <w:szCs w:val="20"/>
                <w:color w:val="auto"/>
              </w:rPr>
            </w:pPr>
            <w:r>
              <w:rPr>
                <w:rFonts w:ascii="Arial" w:cs="Arial" w:eastAsia="Arial" w:hAnsi="Arial"/>
                <w:sz w:val="18"/>
                <w:szCs w:val="18"/>
                <w:color w:val="0000FF"/>
                <w:w w:val="99"/>
              </w:rPr>
              <w:t>M/C: 482-C23-D24</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5"/>
                <w:szCs w:val="15"/>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5"/>
          </w:tcPr>
          <w:p>
            <w:pPr>
              <w:ind w:left="160"/>
              <w:spacing w:after="0" w:line="181" w:lineRule="exact"/>
              <w:rPr>
                <w:sz w:val="20"/>
                <w:szCs w:val="20"/>
                <w:color w:val="auto"/>
              </w:rPr>
            </w:pPr>
            <w:r>
              <w:rPr>
                <w:rFonts w:ascii="Arial" w:cs="Arial" w:eastAsia="Arial" w:hAnsi="Arial"/>
                <w:sz w:val="18"/>
                <w:szCs w:val="18"/>
                <w:color w:val="0000FF"/>
              </w:rPr>
              <w:t>08/02/2017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gridSpan w:val="2"/>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07/31/2017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40,000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w:t>
            </w:r>
            <w:r>
              <w:rPr>
                <w:rFonts w:ascii="Arial" w:cs="Arial" w:eastAsia="Arial" w:hAnsi="Arial"/>
                <w:sz w:val="22"/>
                <w:szCs w:val="22"/>
                <w:color w:val="008000"/>
                <w:vertAlign w:val="superscript"/>
              </w:rPr>
              <w:t>(1)</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235,953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the Reporting Person in May 2017. Upon entry into the plan, the Reporting Person provided instructions to his broker to sell shares in quantities and at prices determined at that time. Pursuant to the terms of the plan, the Reporting Person has no discretion to modify those instructions.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500"/>
        <w:spacing w:after="0" w:line="239" w:lineRule="auto"/>
        <w:rPr>
          <w:sz w:val="20"/>
          <w:szCs w:val="20"/>
          <w:color w:val="auto"/>
        </w:rPr>
      </w:pPr>
      <w:r>
        <w:rPr>
          <w:rFonts w:ascii="Arial" w:cs="Arial" w:eastAsia="Arial" w:hAnsi="Arial"/>
          <w:sz w:val="14"/>
          <w:szCs w:val="14"/>
          <w:color w:val="008000"/>
        </w:rPr>
        <w:t>This amended Form 4 is being filed to correct the Form 4 filed by the Reporting Person on August 2, 2017, which incorrectly reported that the sales were effected pursuant to a Rule 10b5-1 trading plan adopted in July 2016. As indicated in the corrected footnote, the sales were effected pursuant to a Rule 10b5-1 trading plan adopted in May 2017.</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08/04/2017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Ammann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2019-12-04T01:55:58Z</dcterms:created>
  <dcterms:modified xsi:type="dcterms:W3CDTF">2019-12-04T01:55:58Z</dcterms:modified>
</cp:coreProperties>
</file>