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641985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October 25, 2016</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00" w:lineRule="exact"/>
        <w:rPr>
          <w:sz w:val="24"/>
          <w:szCs w:val="24"/>
          <w:color w:val="auto"/>
        </w:rPr>
      </w:pPr>
    </w:p>
    <w:p>
      <w:pPr>
        <w:spacing w:after="0" w:line="380"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3340" w:type="dxa"/>
            <w:vAlign w:val="bottom"/>
          </w:tcPr>
          <w:p>
            <w:pPr>
              <w:jc w:val="center"/>
              <w:ind w:right="1150"/>
              <w:spacing w:after="0"/>
              <w:rPr>
                <w:sz w:val="20"/>
                <w:szCs w:val="20"/>
                <w:color w:val="auto"/>
              </w:rPr>
            </w:pPr>
            <w:r>
              <w:rPr>
                <w:rFonts w:ascii="Arial" w:cs="Arial" w:eastAsia="Arial" w:hAnsi="Arial"/>
                <w:sz w:val="18"/>
                <w:szCs w:val="18"/>
                <w:b w:val="1"/>
                <w:bCs w:val="1"/>
                <w:color w:val="auto"/>
                <w:w w:val="98"/>
              </w:rPr>
              <w:t>DELAWARE</w:t>
            </w:r>
          </w:p>
        </w:tc>
        <w:tc>
          <w:tcPr>
            <w:tcW w:w="2540" w:type="dxa"/>
            <w:vAlign w:val="bottom"/>
            <w:vMerge w:val="restart"/>
          </w:tcPr>
          <w:p>
            <w:pPr>
              <w:jc w:val="right"/>
              <w:ind w:right="1030"/>
              <w:spacing w:after="0"/>
              <w:rPr>
                <w:sz w:val="20"/>
                <w:szCs w:val="20"/>
                <w:color w:val="auto"/>
              </w:rPr>
            </w:pPr>
            <w:r>
              <w:rPr>
                <w:rFonts w:ascii="Arial" w:cs="Arial" w:eastAsia="Arial" w:hAnsi="Arial"/>
                <w:sz w:val="18"/>
                <w:szCs w:val="18"/>
                <w:b w:val="1"/>
                <w:bCs w:val="1"/>
                <w:color w:val="auto"/>
              </w:rPr>
              <w:t>001-34960</w:t>
            </w:r>
          </w:p>
        </w:tc>
        <w:tc>
          <w:tcPr>
            <w:tcW w:w="246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3340" w:type="dxa"/>
            <w:vAlign w:val="bottom"/>
          </w:tcPr>
          <w:p>
            <w:pPr>
              <w:jc w:val="center"/>
              <w:ind w:right="1150"/>
              <w:spacing w:after="0"/>
              <w:rPr>
                <w:sz w:val="20"/>
                <w:szCs w:val="20"/>
                <w:color w:val="auto"/>
              </w:rPr>
            </w:pPr>
            <w:r>
              <w:rPr>
                <w:rFonts w:ascii="Arial" w:cs="Arial" w:eastAsia="Arial" w:hAnsi="Arial"/>
                <w:sz w:val="18"/>
                <w:szCs w:val="18"/>
                <w:color w:val="auto"/>
                <w:w w:val="93"/>
              </w:rPr>
              <w:t>(State or other jurisdiction of</w:t>
            </w:r>
          </w:p>
        </w:tc>
        <w:tc>
          <w:tcPr>
            <w:tcW w:w="2540" w:type="dxa"/>
            <w:vAlign w:val="bottom"/>
            <w:vMerge w:val="continue"/>
          </w:tcPr>
          <w:p>
            <w:pPr>
              <w:spacing w:after="0"/>
              <w:rPr>
                <w:sz w:val="18"/>
                <w:szCs w:val="18"/>
                <w:color w:val="auto"/>
              </w:rPr>
            </w:pP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340" w:type="dxa"/>
            <w:vAlign w:val="bottom"/>
          </w:tcPr>
          <w:p>
            <w:pPr>
              <w:jc w:val="center"/>
              <w:ind w:right="1150"/>
              <w:spacing w:after="0"/>
              <w:rPr>
                <w:sz w:val="20"/>
                <w:szCs w:val="20"/>
                <w:color w:val="auto"/>
              </w:rPr>
            </w:pPr>
            <w:r>
              <w:rPr>
                <w:rFonts w:ascii="Arial" w:cs="Arial" w:eastAsia="Arial" w:hAnsi="Arial"/>
                <w:sz w:val="18"/>
                <w:szCs w:val="18"/>
                <w:color w:val="auto"/>
                <w:w w:val="92"/>
              </w:rPr>
              <w:t>incorporation)</w:t>
            </w:r>
          </w:p>
        </w:tc>
        <w:tc>
          <w:tcPr>
            <w:tcW w:w="2540" w:type="dxa"/>
            <w:vAlign w:val="bottom"/>
          </w:tcPr>
          <w:p>
            <w:pPr>
              <w:jc w:val="center"/>
              <w:ind w:right="410"/>
              <w:spacing w:after="0"/>
              <w:rPr>
                <w:sz w:val="20"/>
                <w:szCs w:val="20"/>
                <w:color w:val="auto"/>
              </w:rPr>
            </w:pPr>
            <w:r>
              <w:rPr>
                <w:rFonts w:ascii="Arial" w:cs="Arial" w:eastAsia="Arial" w:hAnsi="Arial"/>
                <w:sz w:val="18"/>
                <w:szCs w:val="18"/>
                <w:color w:val="auto"/>
                <w:w w:val="93"/>
              </w:rPr>
              <w:t>(Commission 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5880" w:type="dxa"/>
            <w:vAlign w:val="bottom"/>
            <w:gridSpan w:val="2"/>
          </w:tcPr>
          <w:p>
            <w:pPr>
              <w:jc w:val="center"/>
              <w:ind w:right="201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460" w:type="dxa"/>
            <w:vAlign w:val="bottom"/>
          </w:tcPr>
          <w:p>
            <w:pPr>
              <w:jc w:val="right"/>
              <w:ind w:right="990"/>
              <w:spacing w:after="0"/>
              <w:rPr>
                <w:sz w:val="20"/>
                <w:szCs w:val="20"/>
                <w:color w:val="auto"/>
              </w:rPr>
            </w:pPr>
            <w:r>
              <w:rPr>
                <w:rFonts w:ascii="Arial" w:cs="Arial" w:eastAsia="Arial" w:hAnsi="Arial"/>
                <w:sz w:val="18"/>
                <w:szCs w:val="18"/>
                <w:b w:val="1"/>
                <w:bCs w:val="1"/>
                <w:color w:val="auto"/>
              </w:rPr>
              <w:t>48265-3000</w:t>
            </w:r>
          </w:p>
        </w:tc>
        <w:tc>
          <w:tcPr>
            <w:tcW w:w="0" w:type="dxa"/>
            <w:vAlign w:val="bottom"/>
          </w:tcPr>
          <w:p>
            <w:pPr>
              <w:spacing w:after="0"/>
              <w:rPr>
                <w:sz w:val="1"/>
                <w:szCs w:val="1"/>
                <w:color w:val="auto"/>
              </w:rPr>
            </w:pPr>
          </w:p>
        </w:tc>
      </w:tr>
      <w:tr>
        <w:trPr>
          <w:trHeight w:val="230"/>
        </w:trPr>
        <w:tc>
          <w:tcPr>
            <w:tcW w:w="3340" w:type="dxa"/>
            <w:vAlign w:val="bottom"/>
          </w:tcPr>
          <w:p>
            <w:pPr>
              <w:jc w:val="center"/>
              <w:ind w:left="350"/>
              <w:spacing w:after="0"/>
              <w:rPr>
                <w:sz w:val="20"/>
                <w:szCs w:val="20"/>
                <w:color w:val="auto"/>
              </w:rPr>
            </w:pPr>
            <w:r>
              <w:rPr>
                <w:rFonts w:ascii="Arial" w:cs="Arial" w:eastAsia="Arial" w:hAnsi="Arial"/>
                <w:sz w:val="18"/>
                <w:szCs w:val="18"/>
                <w:color w:val="auto"/>
                <w:w w:val="92"/>
              </w:rPr>
              <w:t>(Address of principal executive offices)</w:t>
            </w:r>
          </w:p>
        </w:tc>
        <w:tc>
          <w:tcPr>
            <w:tcW w:w="2540" w:type="dxa"/>
            <w:vAlign w:val="bottom"/>
          </w:tcPr>
          <w:p>
            <w:pPr>
              <w:spacing w:after="0"/>
              <w:rPr>
                <w:sz w:val="20"/>
                <w:szCs w:val="20"/>
                <w:color w:val="auto"/>
              </w:rPr>
            </w:pPr>
          </w:p>
        </w:tc>
        <w:tc>
          <w:tcPr>
            <w:tcW w:w="2460" w:type="dxa"/>
            <w:vAlign w:val="bottom"/>
          </w:tcPr>
          <w:p>
            <w:pPr>
              <w:jc w:val="center"/>
              <w:ind w:right="47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556-5000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05"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(17-CFR 240.14a-12)</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35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On October 25, 2016 General Motors Company (GM) issued a news release and supplemental materials on the subject of its 2016 third quarter earnings.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news release and supplemental materials are attached as Exhibit 99.1 and Exhibit 99.2.</w:t>
      </w:r>
    </w:p>
    <w:p>
      <w:pPr>
        <w:spacing w:after="0" w:line="211"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Charts furnished to securities analysts in connection with GM's 2016 third quarter earnings release are available on GM's website at www.gm.com/investors/earnings-releases.html.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w:t>
            </w:r>
          </w:p>
        </w:tc>
        <w:tc>
          <w:tcPr>
            <w:tcW w:w="40" w:type="dxa"/>
            <w:vAlign w:val="bottom"/>
          </w:tcPr>
          <w:p>
            <w:pPr>
              <w:spacing w:after="0"/>
              <w:rPr>
                <w:sz w:val="17"/>
                <w:szCs w:val="17"/>
                <w:color w:val="auto"/>
              </w:rPr>
            </w:pPr>
          </w:p>
        </w:tc>
      </w:tr>
      <w:tr>
        <w:trPr>
          <w:trHeight w:val="574"/>
        </w:trPr>
        <w:tc>
          <w:tcPr>
            <w:tcW w:w="286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3240" w:type="dxa"/>
            <w:vAlign w:val="bottom"/>
            <w:gridSpan w:val="4"/>
          </w:tcPr>
          <w:p>
            <w:pPr>
              <w:spacing w:after="0"/>
              <w:rPr>
                <w:sz w:val="20"/>
                <w:szCs w:val="20"/>
                <w:color w:val="auto"/>
              </w:rPr>
            </w:pPr>
            <w:r>
              <w:rPr>
                <w:rFonts w:ascii="Arial" w:cs="Arial" w:eastAsia="Arial" w:hAnsi="Arial"/>
                <w:sz w:val="18"/>
                <w:szCs w:val="18"/>
                <w:color w:val="auto"/>
              </w:rPr>
              <w:t>Description</w:t>
            </w:r>
          </w:p>
        </w:tc>
      </w:tr>
      <w:tr>
        <w:trPr>
          <w:trHeight w:val="20"/>
        </w:trPr>
        <w:tc>
          <w:tcPr>
            <w:tcW w:w="52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r>
      <w:tr>
        <w:trPr>
          <w:trHeight w:val="615"/>
        </w:trPr>
        <w:tc>
          <w:tcPr>
            <w:tcW w:w="286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3240" w:type="dxa"/>
            <w:vAlign w:val="bottom"/>
            <w:gridSpan w:val="4"/>
          </w:tcPr>
          <w:p>
            <w:pPr>
              <w:spacing w:after="0"/>
              <w:rPr>
                <w:sz w:val="20"/>
                <w:szCs w:val="20"/>
                <w:color w:val="auto"/>
              </w:rPr>
            </w:pPr>
            <w:r>
              <w:rPr>
                <w:rFonts w:ascii="Arial" w:cs="Arial" w:eastAsia="Arial" w:hAnsi="Arial"/>
                <w:sz w:val="18"/>
                <w:szCs w:val="18"/>
                <w:color w:val="auto"/>
              </w:rPr>
              <w:t>News Release Dated October 25, 2016</w:t>
            </w:r>
          </w:p>
        </w:tc>
      </w:tr>
      <w:tr>
        <w:trPr>
          <w:trHeight w:val="270"/>
        </w:trPr>
        <w:tc>
          <w:tcPr>
            <w:tcW w:w="2860" w:type="dxa"/>
            <w:vAlign w:val="bottom"/>
            <w:gridSpan w:val="2"/>
          </w:tcPr>
          <w:p>
            <w:pPr>
              <w:spacing w:after="0"/>
              <w:rPr>
                <w:sz w:val="20"/>
                <w:szCs w:val="20"/>
                <w:color w:val="auto"/>
              </w:rPr>
            </w:pPr>
            <w:r>
              <w:rPr>
                <w:rFonts w:ascii="Arial" w:cs="Arial" w:eastAsia="Arial" w:hAnsi="Arial"/>
                <w:sz w:val="18"/>
                <w:szCs w:val="18"/>
                <w:color w:val="auto"/>
              </w:rPr>
              <w:t>Exhibit 99.2</w:t>
            </w:r>
          </w:p>
        </w:tc>
        <w:tc>
          <w:tcPr>
            <w:tcW w:w="3240" w:type="dxa"/>
            <w:vAlign w:val="bottom"/>
            <w:gridSpan w:val="4"/>
          </w:tcPr>
          <w:p>
            <w:pPr>
              <w:spacing w:after="0"/>
              <w:rPr>
                <w:sz w:val="20"/>
                <w:szCs w:val="20"/>
                <w:color w:val="auto"/>
              </w:rPr>
            </w:pPr>
            <w:r>
              <w:rPr>
                <w:rFonts w:ascii="Arial" w:cs="Arial" w:eastAsia="Arial" w:hAnsi="Arial"/>
                <w:sz w:val="18"/>
                <w:szCs w:val="18"/>
                <w:color w:val="auto"/>
                <w:w w:val="91"/>
              </w:rPr>
              <w:t>Financial Highlights Dated October 25, 2016</w:t>
            </w:r>
          </w:p>
        </w:tc>
      </w:tr>
    </w:tbl>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0"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GENERAL MOTORS COMPANY (Registrant)</w:t>
            </w:r>
          </w:p>
        </w:tc>
        <w:tc>
          <w:tcPr>
            <w:tcW w:w="0" w:type="dxa"/>
            <w:vAlign w:val="bottom"/>
          </w:tcPr>
          <w:p>
            <w:pPr>
              <w:spacing w:after="0"/>
              <w:rPr>
                <w:sz w:val="1"/>
                <w:szCs w:val="1"/>
                <w:color w:val="auto"/>
              </w:rPr>
            </w:pPr>
          </w:p>
        </w:tc>
      </w:tr>
      <w:tr>
        <w:trPr>
          <w:trHeight w:val="702"/>
        </w:trPr>
        <w:tc>
          <w:tcPr>
            <w:tcW w:w="35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/s/ THOMAS S. TIMKO</w:t>
            </w:r>
          </w:p>
        </w:tc>
        <w:tc>
          <w:tcPr>
            <w:tcW w:w="0" w:type="dxa"/>
            <w:vAlign w:val="bottom"/>
          </w:tcPr>
          <w:p>
            <w:pPr>
              <w:spacing w:after="0"/>
              <w:rPr>
                <w:sz w:val="1"/>
                <w:szCs w:val="1"/>
                <w:color w:val="auto"/>
              </w:rPr>
            </w:pPr>
          </w:p>
        </w:tc>
      </w:tr>
      <w:tr>
        <w:trPr>
          <w:trHeight w:val="27"/>
        </w:trPr>
        <w:tc>
          <w:tcPr>
            <w:tcW w:w="3580" w:type="dxa"/>
            <w:vAlign w:val="bottom"/>
            <w:vMerge w:val="restart"/>
          </w:tcPr>
          <w:p>
            <w:pPr>
              <w:spacing w:after="0"/>
              <w:rPr>
                <w:sz w:val="20"/>
                <w:szCs w:val="20"/>
                <w:color w:val="auto"/>
              </w:rPr>
            </w:pPr>
            <w:r>
              <w:rPr>
                <w:rFonts w:ascii="Arial" w:cs="Arial" w:eastAsia="Arial" w:hAnsi="Arial"/>
                <w:sz w:val="18"/>
                <w:szCs w:val="18"/>
                <w:color w:val="auto"/>
              </w:rPr>
              <w:t>Date: October 25, 2016</w:t>
            </w:r>
          </w:p>
        </w:tc>
        <w:tc>
          <w:tcPr>
            <w:tcW w:w="2560" w:type="dxa"/>
            <w:vAlign w:val="bottom"/>
            <w:vMerge w:val="restart"/>
          </w:tcPr>
          <w:p>
            <w:pPr>
              <w:ind w:left="190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580" w:type="dxa"/>
            <w:vAlign w:val="bottom"/>
            <w:vMerge w:val="continue"/>
          </w:tcPr>
          <w:p>
            <w:pPr>
              <w:spacing w:after="0"/>
              <w:rPr>
                <w:sz w:val="19"/>
                <w:szCs w:val="19"/>
                <w:color w:val="auto"/>
              </w:rPr>
            </w:pPr>
          </w:p>
        </w:tc>
        <w:tc>
          <w:tcPr>
            <w:tcW w:w="2560" w:type="dxa"/>
            <w:vAlign w:val="bottom"/>
            <w:vMerge w:val="continue"/>
          </w:tcPr>
          <w:p>
            <w:pPr>
              <w:spacing w:after="0"/>
              <w:rPr>
                <w:sz w:val="19"/>
                <w:szCs w:val="19"/>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Thomas S. Timko</w:t>
            </w: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Vice President, Controller and Chief Accounting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363220</wp:posOffset>
            </wp:positionV>
            <wp:extent cx="6856095" cy="9041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665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6095" cy="9066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jc w:val="right"/>
        <w:spacing w:after="0"/>
        <w:rPr>
          <w:sz w:val="20"/>
          <w:szCs w:val="20"/>
          <w:color w:val="auto"/>
        </w:rPr>
      </w:pPr>
      <w:r>
        <w:rPr>
          <w:rFonts w:ascii="Arial" w:cs="Arial" w:eastAsia="Arial" w:hAnsi="Arial"/>
          <w:sz w:val="20"/>
          <w:szCs w:val="20"/>
          <w:b w:val="1"/>
          <w:bCs w:val="1"/>
          <w:color w:val="auto"/>
        </w:rPr>
        <w:t>Exhibit 99.2</w:t>
      </w:r>
    </w:p>
    <w:p>
      <w:pPr>
        <w:spacing w:after="0" w:line="225" w:lineRule="exact"/>
        <w:rPr>
          <w:sz w:val="20"/>
          <w:szCs w:val="20"/>
          <w:color w:val="auto"/>
        </w:rPr>
      </w:pPr>
    </w:p>
    <w:p>
      <w:pPr>
        <w:jc w:val="center"/>
        <w:ind w:left="980"/>
        <w:spacing w:after="0"/>
        <w:rPr>
          <w:sz w:val="20"/>
          <w:szCs w:val="20"/>
          <w:color w:val="auto"/>
        </w:rPr>
      </w:pPr>
      <w:r>
        <w:rPr>
          <w:rFonts w:ascii="Arial" w:cs="Arial" w:eastAsia="Arial" w:hAnsi="Arial"/>
          <w:sz w:val="16"/>
          <w:szCs w:val="16"/>
          <w:b w:val="1"/>
          <w:bCs w:val="1"/>
          <w:color w:val="auto"/>
        </w:rPr>
        <w:t>Exhibit 1</w:t>
      </w:r>
    </w:p>
    <w:p>
      <w:pPr>
        <w:spacing w:after="0" w:line="25" w:lineRule="exact"/>
        <w:rPr>
          <w:sz w:val="20"/>
          <w:szCs w:val="20"/>
          <w:color w:val="auto"/>
        </w:rPr>
      </w:pPr>
    </w:p>
    <w:p>
      <w:pPr>
        <w:jc w:val="center"/>
        <w:ind w:left="98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5" w:lineRule="exact"/>
        <w:rPr>
          <w:sz w:val="20"/>
          <w:szCs w:val="20"/>
          <w:color w:val="auto"/>
        </w:rPr>
      </w:pPr>
    </w:p>
    <w:p>
      <w:pPr>
        <w:jc w:val="center"/>
        <w:ind w:left="980"/>
        <w:spacing w:after="0"/>
        <w:rPr>
          <w:sz w:val="20"/>
          <w:szCs w:val="20"/>
          <w:color w:val="auto"/>
        </w:rPr>
      </w:pPr>
      <w:r>
        <w:rPr>
          <w:rFonts w:ascii="Arial" w:cs="Arial" w:eastAsia="Arial" w:hAnsi="Arial"/>
          <w:sz w:val="16"/>
          <w:szCs w:val="16"/>
          <w:b w:val="1"/>
          <w:bCs w:val="1"/>
          <w:color w:val="auto"/>
        </w:rPr>
        <w:t>Supplemental Material</w:t>
      </w:r>
    </w:p>
    <w:p>
      <w:pPr>
        <w:spacing w:after="0" w:line="5" w:lineRule="exact"/>
        <w:rPr>
          <w:sz w:val="20"/>
          <w:szCs w:val="20"/>
          <w:color w:val="auto"/>
        </w:rPr>
      </w:pPr>
    </w:p>
    <w:p>
      <w:pPr>
        <w:jc w:val="center"/>
        <w:ind w:left="980"/>
        <w:spacing w:after="0"/>
        <w:rPr>
          <w:sz w:val="20"/>
          <w:szCs w:val="20"/>
          <w:color w:val="auto"/>
        </w:rPr>
      </w:pPr>
      <w:r>
        <w:rPr>
          <w:rFonts w:ascii="Arial" w:cs="Arial" w:eastAsia="Arial" w:hAnsi="Arial"/>
          <w:sz w:val="16"/>
          <w:szCs w:val="16"/>
          <w:i w:val="1"/>
          <w:iCs w:val="1"/>
          <w:color w:val="auto"/>
        </w:rPr>
        <w:t>(Unaudited)</w:t>
      </w:r>
    </w:p>
    <w:p>
      <w:pPr>
        <w:spacing w:after="0" w:line="194" w:lineRule="exact"/>
        <w:rPr>
          <w:sz w:val="20"/>
          <w:szCs w:val="20"/>
          <w:color w:val="auto"/>
        </w:rPr>
      </w:pPr>
    </w:p>
    <w:p>
      <w:pPr>
        <w:jc w:val="both"/>
        <w:ind w:firstLine="162"/>
        <w:spacing w:after="0" w:line="249" w:lineRule="auto"/>
        <w:rPr>
          <w:sz w:val="20"/>
          <w:szCs w:val="20"/>
          <w:color w:val="auto"/>
        </w:rPr>
      </w:pPr>
      <w:r>
        <w:rPr>
          <w:rFonts w:ascii="Arial" w:cs="Arial" w:eastAsia="Arial" w:hAnsi="Arial"/>
          <w:sz w:val="16"/>
          <w:szCs w:val="16"/>
          <w:color w:val="auto"/>
        </w:rPr>
        <w:t>General Motors Company's (GM) non-GAAP measures include earnings before interest and taxes adjusted for special items, presented net of noncontrolling interests (EBIT-adjusted), earnings per share (EPS)-diluted-adjusted, return on invested capital-adjusted (ROIC-adjusted) and adjusted automotive free cash flow. GM's calculation of these non-GAAP measures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U.S. GAAP measures. These non-GAAP measures have not been audited or reviewed by GM's independent auditors.</w:t>
      </w:r>
    </w:p>
    <w:p>
      <w:pPr>
        <w:spacing w:after="0" w:line="369" w:lineRule="exact"/>
        <w:rPr>
          <w:sz w:val="20"/>
          <w:szCs w:val="20"/>
          <w:color w:val="auto"/>
        </w:rPr>
      </w:pPr>
    </w:p>
    <w:p>
      <w:pPr>
        <w:jc w:val="both"/>
        <w:ind w:firstLine="162"/>
        <w:spacing w:after="0" w:line="248" w:lineRule="auto"/>
        <w:rPr>
          <w:sz w:val="20"/>
          <w:szCs w:val="20"/>
          <w:color w:val="auto"/>
        </w:rPr>
      </w:pPr>
      <w:r>
        <w:rPr>
          <w:rFonts w:ascii="Arial" w:cs="Arial" w:eastAsia="Arial" w:hAnsi="Arial"/>
          <w:sz w:val="16"/>
          <w:szCs w:val="16"/>
          <w:color w:val="auto"/>
        </w:rPr>
        <w:t>These non-GAAP measures allow management and investors to view operating trends, perform analytical comparisons and benchmark performance between periods and among geographic regions to understand operating performance without regard to items we do not consider a component of our core operating performance. Furthermore, these non-GAAP measures allow investors the opportunity to measure and monitor our performance against our externally communicated targets and evaluate the investment decisions being made by management to improve ROIC-adjusted. Management uses these measures in its financial, investment and operational decision-making processes, for internal reporting and as part of its forecasting and budgeting processes. Further, our Board of Directors uses these and other measures as key metrics to determine management performance under our performance-based compensation plans. For these reasons we believe these non-GAAP measures are useful for our investors.</w:t>
      </w:r>
    </w:p>
    <w:p>
      <w:pPr>
        <w:spacing w:after="0" w:line="182" w:lineRule="exact"/>
        <w:rPr>
          <w:sz w:val="20"/>
          <w:szCs w:val="20"/>
          <w:color w:val="auto"/>
        </w:rPr>
      </w:pPr>
    </w:p>
    <w:p>
      <w:pPr>
        <w:jc w:val="both"/>
        <w:ind w:firstLine="162"/>
        <w:spacing w:after="0" w:line="249" w:lineRule="auto"/>
        <w:rPr>
          <w:sz w:val="20"/>
          <w:szCs w:val="20"/>
          <w:color w:val="auto"/>
        </w:rPr>
      </w:pPr>
      <w:r>
        <w:rPr>
          <w:rFonts w:ascii="Arial" w:cs="Arial" w:eastAsia="Arial" w:hAnsi="Arial"/>
          <w:sz w:val="16"/>
          <w:szCs w:val="16"/>
          <w:color w:val="auto"/>
        </w:rPr>
        <w:t>EBIT-adjusted is used by management and can be used by investors to review GM's consolidated operating results because it excludes automotive interest income, automotive interest expense and income taxes as well as certain additional adjustments that are not considered part of our core operations. Examples of adjustments to EBIT include but are not limited to impairment charges related to goodwill, impairment charges on long-lived assets and other exit costs resulting from strategic shifts in our operations or discrete market and business conditions; costs arising from the ignition switch recall and related legal matters; and certain currency devaluations associated with hyperinflationary economies. For EBIT-adjusted and our other non-GAAP measures, once we have made an adjustment in the current period for an item, we will also adjust the related non-GAAP measure in any future periods in which there is an impact from the item.</w:t>
      </w:r>
    </w:p>
    <w:p>
      <w:pPr>
        <w:spacing w:after="0" w:line="367" w:lineRule="exact"/>
        <w:rPr>
          <w:sz w:val="20"/>
          <w:szCs w:val="20"/>
          <w:color w:val="auto"/>
        </w:rPr>
      </w:pPr>
    </w:p>
    <w:p>
      <w:pPr>
        <w:jc w:val="both"/>
        <w:ind w:firstLine="162"/>
        <w:spacing w:after="0" w:line="250" w:lineRule="auto"/>
        <w:rPr>
          <w:sz w:val="20"/>
          <w:szCs w:val="20"/>
          <w:color w:val="auto"/>
        </w:rPr>
      </w:pPr>
      <w:r>
        <w:rPr>
          <w:rFonts w:ascii="Arial" w:cs="Arial" w:eastAsia="Arial" w:hAnsi="Arial"/>
          <w:sz w:val="16"/>
          <w:szCs w:val="16"/>
          <w:color w:val="auto"/>
        </w:rPr>
        <w:t>EPS-diluted-adjusted is used by management and can be used by investors to review GM's consolidated diluted earnings per share results on a consistent basis. EPS-diluted-adjusted is calculated as net income attributable to common stockholders-diluted less certain adjustments noted above for EBIT-adjusted and gains or losses on the extinguishment of debt obligations on an after-tax basis as well as certain income tax adjustments divided by weighted-average common shares outstanding-diluted. Examples of income tax adjustments include the establishment or reversal of significant deferred tax asset valuation allowances.</w:t>
      </w:r>
    </w:p>
    <w:p>
      <w:pPr>
        <w:spacing w:after="0" w:line="368" w:lineRule="exact"/>
        <w:rPr>
          <w:sz w:val="20"/>
          <w:szCs w:val="20"/>
          <w:color w:val="auto"/>
        </w:rPr>
      </w:pPr>
    </w:p>
    <w:p>
      <w:pPr>
        <w:jc w:val="both"/>
        <w:ind w:firstLine="162"/>
        <w:spacing w:after="0" w:line="251" w:lineRule="auto"/>
        <w:rPr>
          <w:sz w:val="20"/>
          <w:szCs w:val="20"/>
          <w:color w:val="auto"/>
        </w:rPr>
      </w:pPr>
      <w:r>
        <w:rPr>
          <w:rFonts w:ascii="Arial" w:cs="Arial" w:eastAsia="Arial" w:hAnsi="Arial"/>
          <w:sz w:val="16"/>
          <w:szCs w:val="16"/>
          <w:color w:val="auto"/>
        </w:rPr>
        <w:t>ROIC-adjusted is used by management and can be used by investors to review GM's investment and capital allocation decisions. GM defines ROIC-adjusted as EBIT-adjusted for the trailing four quarters divided by average net assets, which is considered to be the average equity balances adjusted for average automotive debt and interest liabilities, exclusive of capital leases; average automotive net pension and OPEB liabilities; and average automotive net income tax assets during the same period.</w:t>
      </w:r>
    </w:p>
    <w:p>
      <w:pPr>
        <w:spacing w:after="0" w:line="176" w:lineRule="exact"/>
        <w:rPr>
          <w:sz w:val="20"/>
          <w:szCs w:val="20"/>
          <w:color w:val="auto"/>
        </w:rPr>
      </w:pPr>
    </w:p>
    <w:p>
      <w:pPr>
        <w:jc w:val="both"/>
        <w:ind w:firstLine="162"/>
        <w:spacing w:after="0" w:line="250" w:lineRule="auto"/>
        <w:rPr>
          <w:sz w:val="20"/>
          <w:szCs w:val="20"/>
          <w:color w:val="auto"/>
        </w:rPr>
      </w:pPr>
      <w:r>
        <w:rPr>
          <w:rFonts w:ascii="Arial" w:cs="Arial" w:eastAsia="Arial" w:hAnsi="Arial"/>
          <w:sz w:val="16"/>
          <w:szCs w:val="16"/>
          <w:color w:val="auto"/>
        </w:rPr>
        <w:t>Adjusted automotive free cash flow is used by management and can be used by investors to review the liquidity of GM's automotive operations and to measure and monitor our performance against our capital allocation framework and evaluate our automotive liquidity against the substantial cash requirements of our automotive operations. GM measures adjusted automotive free cash flow as automotive cash flow from operations less capital expenditures adjusted for management actions, primarily related to strengthening its balance sheet, such as prepayments of debt and discretionary contributions to employee benefit plans.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0"/>
          </w:cols>
          <w:pgMar w:left="240" w:top="571" w:right="239" w:bottom="1440" w:gutter="0" w:footer="0" w:header="0"/>
        </w:sectPr>
      </w:pPr>
    </w:p>
    <w:bookmarkStart w:id="8" w:name="page9"/>
    <w:bookmarkEnd w:id="8"/>
    <w:p>
      <w:pPr>
        <w:jc w:val="center"/>
        <w:ind w:left="98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left="980"/>
        <w:spacing w:after="0"/>
        <w:rPr>
          <w:sz w:val="20"/>
          <w:szCs w:val="20"/>
          <w:color w:val="auto"/>
        </w:rPr>
      </w:pPr>
      <w:r>
        <w:rPr>
          <w:rFonts w:ascii="Arial" w:cs="Arial" w:eastAsia="Arial" w:hAnsi="Arial"/>
          <w:sz w:val="16"/>
          <w:szCs w:val="16"/>
          <w:b w:val="1"/>
          <w:bCs w:val="1"/>
          <w:color w:val="auto"/>
        </w:rPr>
        <w:t>Supplemental Material</w:t>
      </w:r>
    </w:p>
    <w:p>
      <w:pPr>
        <w:spacing w:after="0" w:line="5" w:lineRule="exact"/>
        <w:rPr>
          <w:sz w:val="20"/>
          <w:szCs w:val="20"/>
          <w:color w:val="auto"/>
        </w:rPr>
      </w:pPr>
    </w:p>
    <w:p>
      <w:pPr>
        <w:jc w:val="center"/>
        <w:ind w:left="980"/>
        <w:spacing w:after="0"/>
        <w:rPr>
          <w:sz w:val="20"/>
          <w:szCs w:val="20"/>
          <w:color w:val="auto"/>
        </w:rPr>
      </w:pPr>
      <w:r>
        <w:rPr>
          <w:rFonts w:ascii="Arial" w:cs="Arial" w:eastAsia="Arial" w:hAnsi="Arial"/>
          <w:sz w:val="16"/>
          <w:szCs w:val="16"/>
          <w:i w:val="1"/>
          <w:iCs w:val="1"/>
          <w:color w:val="auto"/>
        </w:rPr>
        <w:t>(Unaudited)</w:t>
      </w:r>
    </w:p>
    <w:p>
      <w:pPr>
        <w:spacing w:after="0" w:line="19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reconciles segment profit (loss) to Net income attributable to common stockholders (dollars in millions):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0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ind w:left="280"/>
              <w:spacing w:after="0"/>
              <w:rPr>
                <w:sz w:val="20"/>
                <w:szCs w:val="20"/>
                <w:color w:val="auto"/>
              </w:rPr>
            </w:pPr>
            <w:r>
              <w:rPr>
                <w:rFonts w:ascii="Arial" w:cs="Arial" w:eastAsia="Arial" w:hAnsi="Arial"/>
                <w:sz w:val="13"/>
                <w:szCs w:val="13"/>
                <w:b w:val="1"/>
                <w:bCs w:val="1"/>
                <w:color w:val="auto"/>
                <w:w w:val="99"/>
              </w:rPr>
              <w:t>Three Months Ended</w:t>
            </w: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ind w:left="360"/>
              <w:spacing w:after="0"/>
              <w:rPr>
                <w:sz w:val="20"/>
                <w:szCs w:val="20"/>
                <w:color w:val="auto"/>
              </w:rPr>
            </w:pPr>
            <w:r>
              <w:rPr>
                <w:rFonts w:ascii="Arial" w:cs="Arial" w:eastAsia="Arial" w:hAnsi="Arial"/>
                <w:sz w:val="13"/>
                <w:szCs w:val="13"/>
                <w:b w:val="1"/>
                <w:bCs w:val="1"/>
                <w:color w:val="auto"/>
              </w:rPr>
              <w:t>Nine Months Ended</w:t>
            </w: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1380" w:type="dxa"/>
            <w:vAlign w:val="bottom"/>
            <w:gridSpan w:val="3"/>
          </w:tcPr>
          <w:p>
            <w:pPr>
              <w:ind w:left="40"/>
              <w:spacing w:after="0"/>
              <w:rPr>
                <w:sz w:val="20"/>
                <w:szCs w:val="20"/>
                <w:color w:val="auto"/>
              </w:rPr>
            </w:pPr>
            <w:r>
              <w:rPr>
                <w:rFonts w:ascii="Arial" w:cs="Arial" w:eastAsia="Arial" w:hAnsi="Arial"/>
                <w:sz w:val="13"/>
                <w:szCs w:val="13"/>
                <w:b w:val="1"/>
                <w:bCs w:val="1"/>
                <w:color w:val="auto"/>
              </w:rPr>
              <w:t>September 30, 2016</w:t>
            </w:r>
          </w:p>
        </w:tc>
        <w:tc>
          <w:tcPr>
            <w:tcW w:w="1360" w:type="dxa"/>
            <w:vAlign w:val="bottom"/>
            <w:gridSpan w:val="3"/>
          </w:tcPr>
          <w:p>
            <w:pPr>
              <w:ind w:left="40"/>
              <w:spacing w:after="0"/>
              <w:rPr>
                <w:sz w:val="20"/>
                <w:szCs w:val="20"/>
                <w:color w:val="auto"/>
              </w:rPr>
            </w:pPr>
            <w:r>
              <w:rPr>
                <w:rFonts w:ascii="Arial" w:cs="Arial" w:eastAsia="Arial" w:hAnsi="Arial"/>
                <w:sz w:val="13"/>
                <w:szCs w:val="13"/>
                <w:b w:val="1"/>
                <w:bCs w:val="1"/>
                <w:color w:val="auto"/>
              </w:rPr>
              <w:t>September 30, 2015</w:t>
            </w:r>
          </w:p>
        </w:tc>
        <w:tc>
          <w:tcPr>
            <w:tcW w:w="1360" w:type="dxa"/>
            <w:vAlign w:val="bottom"/>
            <w:gridSpan w:val="3"/>
          </w:tcPr>
          <w:p>
            <w:pPr>
              <w:ind w:left="40"/>
              <w:spacing w:after="0"/>
              <w:rPr>
                <w:sz w:val="20"/>
                <w:szCs w:val="20"/>
                <w:color w:val="auto"/>
              </w:rPr>
            </w:pPr>
            <w:r>
              <w:rPr>
                <w:rFonts w:ascii="Arial" w:cs="Arial" w:eastAsia="Arial" w:hAnsi="Arial"/>
                <w:sz w:val="13"/>
                <w:szCs w:val="13"/>
                <w:b w:val="1"/>
                <w:bCs w:val="1"/>
                <w:color w:val="auto"/>
              </w:rPr>
              <w:t>September 30, 2016</w:t>
            </w:r>
          </w:p>
        </w:tc>
        <w:tc>
          <w:tcPr>
            <w:tcW w:w="1260" w:type="dxa"/>
            <w:vAlign w:val="bottom"/>
            <w:gridSpan w:val="2"/>
          </w:tcPr>
          <w:p>
            <w:pPr>
              <w:ind w:left="40"/>
              <w:spacing w:after="0"/>
              <w:rPr>
                <w:sz w:val="20"/>
                <w:szCs w:val="20"/>
                <w:color w:val="auto"/>
              </w:rPr>
            </w:pPr>
            <w:r>
              <w:rPr>
                <w:rFonts w:ascii="Arial" w:cs="Arial" w:eastAsia="Arial" w:hAnsi="Arial"/>
                <w:sz w:val="13"/>
                <w:szCs w:val="13"/>
                <w:b w:val="1"/>
                <w:bCs w:val="1"/>
                <w:color w:val="auto"/>
                <w:w w:val="98"/>
              </w:rPr>
              <w:t>September 30, 2015</w:t>
            </w:r>
          </w:p>
        </w:tc>
        <w:tc>
          <w:tcPr>
            <w:tcW w:w="0" w:type="dxa"/>
            <w:vAlign w:val="bottom"/>
          </w:tcPr>
          <w:p>
            <w:pPr>
              <w:spacing w:after="0"/>
              <w:rPr>
                <w:sz w:val="1"/>
                <w:szCs w:val="1"/>
                <w:color w:val="auto"/>
              </w:rPr>
            </w:pPr>
          </w:p>
        </w:tc>
      </w:tr>
      <w:tr>
        <w:trPr>
          <w:trHeight w:val="270"/>
        </w:trPr>
        <w:tc>
          <w:tcPr>
            <w:tcW w:w="60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segments</w:t>
            </w:r>
          </w:p>
        </w:tc>
        <w:tc>
          <w:tcPr>
            <w:tcW w:w="42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620" w:type="dxa"/>
            <w:vAlign w:val="bottom"/>
            <w:tcBorders>
              <w:top w:val="single" w:sz="8" w:color="auto"/>
            </w:tcBorders>
            <w:shd w:val="clear" w:color="auto" w:fill="CCEEFF"/>
          </w:tcPr>
          <w:p>
            <w:pPr>
              <w:spacing w:after="0"/>
              <w:rPr>
                <w:sz w:val="23"/>
                <w:szCs w:val="23"/>
                <w:color w:val="auto"/>
              </w:rPr>
            </w:pPr>
          </w:p>
        </w:tc>
        <w:tc>
          <w:tcPr>
            <w:tcW w:w="6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8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620" w:type="dxa"/>
            <w:vAlign w:val="bottom"/>
            <w:tcBorders>
              <w:top w:val="single" w:sz="8" w:color="auto"/>
            </w:tcBorders>
            <w:shd w:val="clear" w:color="auto" w:fill="CCEEFF"/>
          </w:tcPr>
          <w:p>
            <w:pPr>
              <w:spacing w:after="0"/>
              <w:rPr>
                <w:sz w:val="23"/>
                <w:szCs w:val="23"/>
                <w:color w:val="auto"/>
              </w:rPr>
            </w:pPr>
          </w:p>
        </w:tc>
        <w:tc>
          <w:tcPr>
            <w:tcW w:w="6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6060" w:type="dxa"/>
            <w:vAlign w:val="bottom"/>
          </w:tcPr>
          <w:p>
            <w:pPr>
              <w:ind w:left="40"/>
              <w:spacing w:after="0"/>
              <w:rPr>
                <w:sz w:val="20"/>
                <w:szCs w:val="20"/>
                <w:color w:val="auto"/>
              </w:rPr>
            </w:pPr>
            <w:r>
              <w:rPr>
                <w:rFonts w:ascii="Arial" w:cs="Arial" w:eastAsia="Arial" w:hAnsi="Arial"/>
                <w:sz w:val="16"/>
                <w:szCs w:val="16"/>
                <w:color w:val="auto"/>
              </w:rPr>
              <w:t>GM North America (GMNA)</w:t>
            </w:r>
          </w:p>
        </w:tc>
        <w:tc>
          <w:tcPr>
            <w:tcW w:w="42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3,486</w:t>
            </w:r>
          </w:p>
        </w:tc>
        <w:tc>
          <w:tcPr>
            <w:tcW w:w="120" w:type="dxa"/>
            <w:vAlign w:val="bottom"/>
          </w:tcPr>
          <w:p>
            <w:pPr>
              <w:spacing w:after="0"/>
              <w:rPr>
                <w:sz w:val="22"/>
                <w:szCs w:val="22"/>
                <w:color w:val="auto"/>
              </w:rPr>
            </w:pPr>
          </w:p>
        </w:tc>
        <w:tc>
          <w:tcPr>
            <w:tcW w:w="620" w:type="dxa"/>
            <w:vAlign w:val="bottom"/>
          </w:tcPr>
          <w:p>
            <w:pPr>
              <w:ind w:left="2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3,293</w:t>
            </w:r>
          </w:p>
        </w:tc>
        <w:tc>
          <w:tcPr>
            <w:tcW w:w="100" w:type="dxa"/>
            <w:vAlign w:val="bottom"/>
          </w:tcPr>
          <w:p>
            <w:pPr>
              <w:spacing w:after="0"/>
              <w:rPr>
                <w:sz w:val="22"/>
                <w:szCs w:val="22"/>
                <w:color w:val="auto"/>
              </w:rPr>
            </w:pPr>
          </w:p>
        </w:tc>
        <w:tc>
          <w:tcPr>
            <w:tcW w:w="38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9,429</w:t>
            </w:r>
          </w:p>
        </w:tc>
        <w:tc>
          <w:tcPr>
            <w:tcW w:w="100" w:type="dxa"/>
            <w:vAlign w:val="bottom"/>
          </w:tcPr>
          <w:p>
            <w:pPr>
              <w:spacing w:after="0"/>
              <w:rPr>
                <w:sz w:val="22"/>
                <w:szCs w:val="22"/>
                <w:color w:val="auto"/>
              </w:rPr>
            </w:pPr>
          </w:p>
        </w:tc>
        <w:tc>
          <w:tcPr>
            <w:tcW w:w="620" w:type="dxa"/>
            <w:vAlign w:val="bottom"/>
          </w:tcPr>
          <w:p>
            <w:pPr>
              <w:ind w:left="4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8,255</w:t>
            </w:r>
          </w:p>
        </w:tc>
        <w:tc>
          <w:tcPr>
            <w:tcW w:w="0" w:type="dxa"/>
            <w:vAlign w:val="bottom"/>
          </w:tcPr>
          <w:p>
            <w:pPr>
              <w:spacing w:after="0"/>
              <w:rPr>
                <w:sz w:val="1"/>
                <w:szCs w:val="1"/>
                <w:color w:val="auto"/>
              </w:rPr>
            </w:pPr>
          </w:p>
        </w:tc>
      </w:tr>
      <w:tr>
        <w:trPr>
          <w:trHeight w:val="280"/>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GM Europe (GME)</w:t>
            </w:r>
          </w:p>
        </w:tc>
        <w:tc>
          <w:tcPr>
            <w:tcW w:w="4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w:t>
            </w:r>
          </w:p>
        </w:tc>
        <w:tc>
          <w:tcPr>
            <w:tcW w:w="0" w:type="dxa"/>
            <w:vAlign w:val="bottom"/>
          </w:tcPr>
          <w:p>
            <w:pPr>
              <w:spacing w:after="0"/>
              <w:rPr>
                <w:sz w:val="1"/>
                <w:szCs w:val="1"/>
                <w:color w:val="auto"/>
              </w:rPr>
            </w:pPr>
          </w:p>
        </w:tc>
      </w:tr>
      <w:tr>
        <w:trPr>
          <w:trHeight w:val="260"/>
        </w:trPr>
        <w:tc>
          <w:tcPr>
            <w:tcW w:w="6060" w:type="dxa"/>
            <w:vAlign w:val="bottom"/>
          </w:tcPr>
          <w:p>
            <w:pPr>
              <w:ind w:left="40"/>
              <w:spacing w:after="0"/>
              <w:rPr>
                <w:sz w:val="20"/>
                <w:szCs w:val="20"/>
                <w:color w:val="auto"/>
              </w:rPr>
            </w:pPr>
            <w:r>
              <w:rPr>
                <w:rFonts w:ascii="Arial" w:cs="Arial" w:eastAsia="Arial" w:hAnsi="Arial"/>
                <w:sz w:val="16"/>
                <w:szCs w:val="16"/>
                <w:color w:val="auto"/>
              </w:rPr>
              <w:t>GM International Operations (GMIO)</w:t>
            </w:r>
          </w:p>
        </w:tc>
        <w:tc>
          <w:tcPr>
            <w:tcW w:w="420" w:type="dxa"/>
            <w:vAlign w:val="bottom"/>
          </w:tcPr>
          <w:p>
            <w:pPr>
              <w:spacing w:after="0"/>
              <w:rPr>
                <w:sz w:val="22"/>
                <w:szCs w:val="22"/>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271</w:t>
            </w: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269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819</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989</w:t>
            </w:r>
          </w:p>
        </w:tc>
        <w:tc>
          <w:tcPr>
            <w:tcW w:w="0" w:type="dxa"/>
            <w:vAlign w:val="bottom"/>
          </w:tcPr>
          <w:p>
            <w:pPr>
              <w:spacing w:after="0"/>
              <w:rPr>
                <w:sz w:val="1"/>
                <w:szCs w:val="1"/>
                <w:color w:val="auto"/>
              </w:rPr>
            </w:pPr>
          </w:p>
        </w:tc>
      </w:tr>
      <w:tr>
        <w:trPr>
          <w:trHeight w:val="280"/>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GM South America (GMSA)</w:t>
            </w:r>
          </w:p>
        </w:tc>
        <w:tc>
          <w:tcPr>
            <w:tcW w:w="4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w:t>
            </w: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General Motors Financial Company, Inc. (GM Financial)(a)</w:t>
            </w: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229</w:t>
            </w:r>
          </w:p>
        </w:tc>
        <w:tc>
          <w:tcPr>
            <w:tcW w:w="12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231</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720</w:t>
            </w: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670</w:t>
            </w:r>
          </w:p>
        </w:tc>
        <w:tc>
          <w:tcPr>
            <w:tcW w:w="0" w:type="dxa"/>
            <w:vAlign w:val="bottom"/>
          </w:tcPr>
          <w:p>
            <w:pPr>
              <w:spacing w:after="0"/>
              <w:rPr>
                <w:sz w:val="1"/>
                <w:szCs w:val="1"/>
                <w:color w:val="auto"/>
              </w:rPr>
            </w:pPr>
          </w:p>
        </w:tc>
      </w:tr>
      <w:tr>
        <w:trPr>
          <w:trHeight w:val="257"/>
        </w:trPr>
        <w:tc>
          <w:tcPr>
            <w:tcW w:w="60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operating segments(b)</w:t>
            </w:r>
          </w:p>
        </w:tc>
        <w:tc>
          <w:tcPr>
            <w:tcW w:w="42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3,723</w:t>
            </w: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3,345</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10,648</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8,824</w:t>
            </w: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Corporate and eliminations</w:t>
            </w: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w:t>
            </w:r>
          </w:p>
        </w:tc>
        <w:tc>
          <w:tcPr>
            <w:tcW w:w="12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(503)</w:t>
            </w: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(775)</w:t>
            </w:r>
          </w:p>
        </w:tc>
        <w:tc>
          <w:tcPr>
            <w:tcW w:w="0" w:type="dxa"/>
            <w:vAlign w:val="bottom"/>
          </w:tcPr>
          <w:p>
            <w:pPr>
              <w:spacing w:after="0"/>
              <w:rPr>
                <w:sz w:val="1"/>
                <w:szCs w:val="1"/>
                <w:color w:val="auto"/>
              </w:rPr>
            </w:pPr>
          </w:p>
        </w:tc>
      </w:tr>
      <w:tr>
        <w:trPr>
          <w:trHeight w:val="257"/>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EBIT-adjusted</w:t>
            </w:r>
          </w:p>
        </w:tc>
        <w:tc>
          <w:tcPr>
            <w:tcW w:w="42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3,543</w:t>
            </w: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3,096</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10,145</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8,049</w:t>
            </w:r>
          </w:p>
        </w:tc>
        <w:tc>
          <w:tcPr>
            <w:tcW w:w="0" w:type="dxa"/>
            <w:vAlign w:val="bottom"/>
          </w:tcPr>
          <w:p>
            <w:pPr>
              <w:spacing w:after="0"/>
              <w:rPr>
                <w:sz w:val="1"/>
                <w:szCs w:val="1"/>
                <w:color w:val="auto"/>
              </w:rPr>
            </w:pPr>
          </w:p>
        </w:tc>
      </w:tr>
      <w:tr>
        <w:trPr>
          <w:trHeight w:val="260"/>
        </w:trPr>
        <w:tc>
          <w:tcPr>
            <w:tcW w:w="6060" w:type="dxa"/>
            <w:vAlign w:val="bottom"/>
          </w:tcPr>
          <w:p>
            <w:pPr>
              <w:ind w:left="40"/>
              <w:spacing w:after="0"/>
              <w:rPr>
                <w:sz w:val="20"/>
                <w:szCs w:val="20"/>
                <w:color w:val="auto"/>
              </w:rPr>
            </w:pPr>
            <w:r>
              <w:rPr>
                <w:rFonts w:ascii="Arial" w:cs="Arial" w:eastAsia="Arial" w:hAnsi="Arial"/>
                <w:sz w:val="16"/>
                <w:szCs w:val="16"/>
                <w:color w:val="auto"/>
              </w:rPr>
              <w:t>Special items</w:t>
            </w:r>
          </w:p>
        </w:tc>
        <w:tc>
          <w:tcPr>
            <w:tcW w:w="4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60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Ignition switch recall and related legal matters(c)</w:t>
            </w:r>
          </w:p>
        </w:tc>
        <w:tc>
          <w:tcPr>
            <w:tcW w:w="4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110</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(1,725)</w:t>
            </w:r>
          </w:p>
        </w:tc>
        <w:tc>
          <w:tcPr>
            <w:tcW w:w="0" w:type="dxa"/>
            <w:vAlign w:val="bottom"/>
          </w:tcPr>
          <w:p>
            <w:pPr>
              <w:spacing w:after="0"/>
              <w:rPr>
                <w:sz w:val="1"/>
                <w:szCs w:val="1"/>
                <w:color w:val="auto"/>
              </w:rPr>
            </w:pPr>
          </w:p>
        </w:tc>
      </w:tr>
      <w:tr>
        <w:trPr>
          <w:trHeight w:val="260"/>
        </w:trPr>
        <w:tc>
          <w:tcPr>
            <w:tcW w:w="6060" w:type="dxa"/>
            <w:vAlign w:val="bottom"/>
          </w:tcPr>
          <w:p>
            <w:pPr>
              <w:ind w:left="160"/>
              <w:spacing w:after="0"/>
              <w:rPr>
                <w:sz w:val="20"/>
                <w:szCs w:val="20"/>
                <w:color w:val="auto"/>
              </w:rPr>
            </w:pPr>
            <w:r>
              <w:rPr>
                <w:rFonts w:ascii="Arial" w:cs="Arial" w:eastAsia="Arial" w:hAnsi="Arial"/>
                <w:sz w:val="16"/>
                <w:szCs w:val="16"/>
                <w:color w:val="auto"/>
              </w:rPr>
              <w:t>Thailand asset impairment(d)</w:t>
            </w:r>
          </w:p>
        </w:tc>
        <w:tc>
          <w:tcPr>
            <w:tcW w:w="42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(297)</w:t>
            </w:r>
          </w:p>
        </w:tc>
        <w:tc>
          <w:tcPr>
            <w:tcW w:w="0" w:type="dxa"/>
            <w:vAlign w:val="bottom"/>
          </w:tcPr>
          <w:p>
            <w:pPr>
              <w:spacing w:after="0"/>
              <w:rPr>
                <w:sz w:val="1"/>
                <w:szCs w:val="1"/>
                <w:color w:val="auto"/>
              </w:rPr>
            </w:pPr>
          </w:p>
        </w:tc>
      </w:tr>
      <w:tr>
        <w:trPr>
          <w:trHeight w:val="280"/>
        </w:trPr>
        <w:tc>
          <w:tcPr>
            <w:tcW w:w="60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Venezuela currency devaluation and asset impairment(e)</w:t>
            </w:r>
          </w:p>
        </w:tc>
        <w:tc>
          <w:tcPr>
            <w:tcW w:w="42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w:t>
            </w:r>
          </w:p>
        </w:tc>
        <w:tc>
          <w:tcPr>
            <w:tcW w:w="0" w:type="dxa"/>
            <w:vAlign w:val="bottom"/>
          </w:tcPr>
          <w:p>
            <w:pPr>
              <w:spacing w:after="0"/>
              <w:rPr>
                <w:sz w:val="1"/>
                <w:szCs w:val="1"/>
                <w:color w:val="auto"/>
              </w:rPr>
            </w:pPr>
          </w:p>
        </w:tc>
      </w:tr>
      <w:tr>
        <w:trPr>
          <w:trHeight w:val="260"/>
        </w:trPr>
        <w:tc>
          <w:tcPr>
            <w:tcW w:w="6060" w:type="dxa"/>
            <w:vAlign w:val="bottom"/>
          </w:tcPr>
          <w:p>
            <w:pPr>
              <w:ind w:left="180"/>
              <w:spacing w:after="0"/>
              <w:rPr>
                <w:sz w:val="20"/>
                <w:szCs w:val="20"/>
                <w:color w:val="auto"/>
              </w:rPr>
            </w:pPr>
            <w:r>
              <w:rPr>
                <w:rFonts w:ascii="Arial" w:cs="Arial" w:eastAsia="Arial" w:hAnsi="Arial"/>
                <w:sz w:val="16"/>
                <w:szCs w:val="16"/>
                <w:color w:val="auto"/>
              </w:rPr>
              <w:t>Russia exit costs(f)</w:t>
            </w:r>
          </w:p>
        </w:tc>
        <w:tc>
          <w:tcPr>
            <w:tcW w:w="42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(450)</w:t>
            </w:r>
          </w:p>
        </w:tc>
        <w:tc>
          <w:tcPr>
            <w:tcW w:w="0" w:type="dxa"/>
            <w:vAlign w:val="bottom"/>
          </w:tcPr>
          <w:p>
            <w:pPr>
              <w:spacing w:after="0"/>
              <w:rPr>
                <w:sz w:val="1"/>
                <w:szCs w:val="1"/>
                <w:color w:val="auto"/>
              </w:rPr>
            </w:pPr>
          </w:p>
        </w:tc>
      </w:tr>
      <w:tr>
        <w:trPr>
          <w:trHeight w:val="273"/>
        </w:trPr>
        <w:tc>
          <w:tcPr>
            <w:tcW w:w="60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42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special items</w:t>
            </w:r>
          </w:p>
        </w:tc>
        <w:tc>
          <w:tcPr>
            <w:tcW w:w="42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110</w:t>
            </w:r>
          </w:p>
        </w:tc>
        <w:tc>
          <w:tcPr>
            <w:tcW w:w="120" w:type="dxa"/>
            <w:vAlign w:val="bottom"/>
            <w:tcBorders>
              <w:bottom w:val="single" w:sz="8" w:color="CCEEFF"/>
            </w:tcBorders>
          </w:tcPr>
          <w:p>
            <w:pPr>
              <w:spacing w:after="0"/>
              <w:rPr>
                <w:sz w:val="21"/>
                <w:szCs w:val="21"/>
                <w:color w:val="auto"/>
              </w:rPr>
            </w:pPr>
          </w:p>
        </w:tc>
        <w:tc>
          <w:tcPr>
            <w:tcW w:w="62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(1,500)</w:t>
            </w:r>
          </w:p>
        </w:tc>
        <w:tc>
          <w:tcPr>
            <w:tcW w:w="10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tcPr>
          <w:p>
            <w:pPr>
              <w:spacing w:after="0"/>
              <w:rPr>
                <w:sz w:val="21"/>
                <w:szCs w:val="21"/>
                <w:color w:val="auto"/>
              </w:rPr>
            </w:pPr>
          </w:p>
        </w:tc>
        <w:tc>
          <w:tcPr>
            <w:tcW w:w="62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(3,157)</w:t>
            </w:r>
          </w:p>
        </w:tc>
        <w:tc>
          <w:tcPr>
            <w:tcW w:w="0" w:type="dxa"/>
            <w:vAlign w:val="bottom"/>
          </w:tcPr>
          <w:p>
            <w:pPr>
              <w:spacing w:after="0"/>
              <w:rPr>
                <w:sz w:val="1"/>
                <w:szCs w:val="1"/>
                <w:color w:val="auto"/>
              </w:rPr>
            </w:pPr>
          </w:p>
        </w:tc>
      </w:tr>
      <w:tr>
        <w:trPr>
          <w:trHeight w:val="257"/>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Automotive interest income</w:t>
            </w:r>
          </w:p>
        </w:tc>
        <w:tc>
          <w:tcPr>
            <w:tcW w:w="42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60"/>
        </w:trPr>
        <w:tc>
          <w:tcPr>
            <w:tcW w:w="6060" w:type="dxa"/>
            <w:vAlign w:val="bottom"/>
          </w:tcPr>
          <w:p>
            <w:pPr>
              <w:ind w:left="40"/>
              <w:spacing w:after="0"/>
              <w:rPr>
                <w:sz w:val="20"/>
                <w:szCs w:val="20"/>
                <w:color w:val="auto"/>
              </w:rPr>
            </w:pPr>
            <w:r>
              <w:rPr>
                <w:rFonts w:ascii="Arial" w:cs="Arial" w:eastAsia="Arial" w:hAnsi="Arial"/>
                <w:sz w:val="16"/>
                <w:szCs w:val="16"/>
                <w:color w:val="auto"/>
              </w:rPr>
              <w:t>Automotive interest expense</w:t>
            </w:r>
          </w:p>
        </w:tc>
        <w:tc>
          <w:tcPr>
            <w:tcW w:w="4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(148)</w:t>
            </w: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(422)</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(330)</w:t>
            </w:r>
          </w:p>
        </w:tc>
        <w:tc>
          <w:tcPr>
            <w:tcW w:w="0" w:type="dxa"/>
            <w:vAlign w:val="bottom"/>
          </w:tcPr>
          <w:p>
            <w:pPr>
              <w:spacing w:after="0"/>
              <w:rPr>
                <w:sz w:val="1"/>
                <w:szCs w:val="1"/>
                <w:color w:val="auto"/>
              </w:rPr>
            </w:pPr>
          </w:p>
        </w:tc>
      </w:tr>
      <w:tr>
        <w:trPr>
          <w:trHeight w:val="273"/>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4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(776)</w:t>
            </w:r>
          </w:p>
        </w:tc>
        <w:tc>
          <w:tcPr>
            <w:tcW w:w="12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(2,206)</w:t>
            </w:r>
          </w:p>
        </w:tc>
        <w:tc>
          <w:tcPr>
            <w:tcW w:w="10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(1,271)</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Net income attributable to common stockholders</w:t>
            </w: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2,773</w:t>
            </w:r>
          </w:p>
        </w:tc>
        <w:tc>
          <w:tcPr>
            <w:tcW w:w="120" w:type="dxa"/>
            <w:vAlign w:val="bottom"/>
          </w:tcPr>
          <w:p>
            <w:pPr>
              <w:spacing w:after="0"/>
              <w:rPr>
                <w:sz w:val="20"/>
                <w:szCs w:val="20"/>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1,359</w:t>
            </w:r>
          </w:p>
        </w:tc>
        <w:tc>
          <w:tcPr>
            <w:tcW w:w="100" w:type="dxa"/>
            <w:vAlign w:val="bottom"/>
          </w:tcPr>
          <w:p>
            <w:pPr>
              <w:spacing w:after="0"/>
              <w:rPr>
                <w:sz w:val="20"/>
                <w:szCs w:val="20"/>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7,592</w:t>
            </w:r>
          </w:p>
        </w:tc>
        <w:tc>
          <w:tcPr>
            <w:tcW w:w="100" w:type="dxa"/>
            <w:vAlign w:val="bottom"/>
          </w:tcPr>
          <w:p>
            <w:pPr>
              <w:spacing w:after="0"/>
              <w:rPr>
                <w:sz w:val="20"/>
                <w:szCs w:val="20"/>
                <w:color w:val="auto"/>
              </w:rPr>
            </w:pPr>
          </w:p>
        </w:tc>
        <w:tc>
          <w:tcPr>
            <w:tcW w:w="6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3,421</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4"/>
                <w:szCs w:val="14"/>
                <w:color w:val="auto"/>
              </w:rPr>
              <w:t>__________</w:t>
            </w: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606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2"/>
        </w:numPr>
        <w:rPr>
          <w:rFonts w:ascii="Arial" w:cs="Arial" w:eastAsia="Arial" w:hAnsi="Arial"/>
          <w:sz w:val="14"/>
          <w:szCs w:val="14"/>
          <w:color w:val="auto"/>
        </w:rPr>
      </w:pPr>
      <w:r>
        <w:rPr>
          <w:rFonts w:ascii="Arial" w:cs="Arial" w:eastAsia="Arial" w:hAnsi="Arial"/>
          <w:sz w:val="14"/>
          <w:szCs w:val="14"/>
          <w:color w:val="auto"/>
        </w:rPr>
        <w:t>GM Financial amounts represent earnings before income taxes-adjusted.</w:t>
      </w:r>
    </w:p>
    <w:p>
      <w:pPr>
        <w:spacing w:after="0" w:line="1" w:lineRule="exact"/>
        <w:rPr>
          <w:rFonts w:ascii="Arial" w:cs="Arial" w:eastAsia="Arial" w:hAnsi="Arial"/>
          <w:sz w:val="14"/>
          <w:szCs w:val="14"/>
          <w:color w:val="auto"/>
        </w:rPr>
      </w:pPr>
    </w:p>
    <w:p>
      <w:pPr>
        <w:ind w:left="260" w:hanging="252"/>
        <w:spacing w:after="0"/>
        <w:tabs>
          <w:tab w:leader="none" w:pos="260" w:val="left"/>
        </w:tabs>
        <w:numPr>
          <w:ilvl w:val="0"/>
          <w:numId w:val="2"/>
        </w:numPr>
        <w:rPr>
          <w:rFonts w:ascii="Arial" w:cs="Arial" w:eastAsia="Arial" w:hAnsi="Arial"/>
          <w:sz w:val="14"/>
          <w:szCs w:val="14"/>
          <w:color w:val="auto"/>
        </w:rPr>
      </w:pPr>
      <w:r>
        <w:rPr>
          <w:rFonts w:ascii="Arial" w:cs="Arial" w:eastAsia="Arial" w:hAnsi="Arial"/>
          <w:sz w:val="14"/>
          <w:szCs w:val="14"/>
          <w:color w:val="auto"/>
        </w:rPr>
        <w:t>GM's automotive operations' interest income, interest expense and income tax expense are recorded centrally in Corporate.</w:t>
      </w:r>
    </w:p>
    <w:p>
      <w:pPr>
        <w:spacing w:after="0" w:line="1" w:lineRule="exact"/>
        <w:rPr>
          <w:rFonts w:ascii="Arial" w:cs="Arial" w:eastAsia="Arial" w:hAnsi="Arial"/>
          <w:sz w:val="14"/>
          <w:szCs w:val="14"/>
          <w:color w:val="auto"/>
        </w:rPr>
      </w:pPr>
    </w:p>
    <w:p>
      <w:pPr>
        <w:ind w:left="260" w:hanging="252"/>
        <w:spacing w:after="0" w:line="241" w:lineRule="auto"/>
        <w:tabs>
          <w:tab w:leader="none" w:pos="26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These adjustments were excluded because of the unique events associated with the ignition switch recall. These events included the creation of the ignition switch recall compensation program, as well as various investigations, inquiries, and complaints from various constituents.</w:t>
      </w:r>
    </w:p>
    <w:p>
      <w:pPr>
        <w:ind w:left="260" w:right="20" w:hanging="252"/>
        <w:spacing w:after="0" w:line="241" w:lineRule="auto"/>
        <w:tabs>
          <w:tab w:leader="none" w:pos="26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These adjustments were excluded because of the significant restructuring of our Thailand operations and the strategic actions taken to focus on the production of pick-up trucks and SUVs.</w:t>
      </w:r>
    </w:p>
    <w:p>
      <w:pPr>
        <w:ind w:left="260" w:hanging="252"/>
        <w:spacing w:after="0" w:line="241" w:lineRule="auto"/>
        <w:tabs>
          <w:tab w:leader="none" w:pos="26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This adjustment was excluded because of the devaluation of the Venezuela Bolivar Fuerte (BsF), our inability to transact at the Complementary System of Foreign Currency Administration (SICAD) rate to obtain U.S. Dollars and the market restrictions imposed by the Venezuelan government.</w:t>
      </w:r>
    </w:p>
    <w:p>
      <w:pPr>
        <w:ind w:left="260" w:hanging="252"/>
        <w:spacing w:after="0" w:line="258" w:lineRule="auto"/>
        <w:tabs>
          <w:tab w:leader="none" w:pos="26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These adjustments were excluded because of our decision to exit the Russia market as a result of a strategic shift in our operations. The costs primarily consisted of sales incentives, dealer restructuring and other contract cancellation costs, and asset impairments.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581" w:right="239" w:bottom="1440" w:gutter="0" w:footer="0" w:header="0"/>
        </w:sectPr>
      </w:pPr>
    </w:p>
    <w:bookmarkStart w:id="9" w:name="page10"/>
    <w:bookmarkEnd w:id="9"/>
    <w:p>
      <w:pPr>
        <w:jc w:val="center"/>
        <w:ind w:left="98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left="980"/>
        <w:spacing w:after="0"/>
        <w:rPr>
          <w:sz w:val="20"/>
          <w:szCs w:val="20"/>
          <w:color w:val="auto"/>
        </w:rPr>
      </w:pPr>
      <w:r>
        <w:rPr>
          <w:rFonts w:ascii="Arial" w:cs="Arial" w:eastAsia="Arial" w:hAnsi="Arial"/>
          <w:sz w:val="16"/>
          <w:szCs w:val="16"/>
          <w:b w:val="1"/>
          <w:bCs w:val="1"/>
          <w:color w:val="auto"/>
        </w:rPr>
        <w:t>Supplemental Material</w:t>
      </w:r>
    </w:p>
    <w:p>
      <w:pPr>
        <w:spacing w:after="0" w:line="5" w:lineRule="exact"/>
        <w:rPr>
          <w:sz w:val="20"/>
          <w:szCs w:val="20"/>
          <w:color w:val="auto"/>
        </w:rPr>
      </w:pPr>
    </w:p>
    <w:p>
      <w:pPr>
        <w:jc w:val="center"/>
        <w:ind w:left="980"/>
        <w:spacing w:after="0"/>
        <w:rPr>
          <w:sz w:val="20"/>
          <w:szCs w:val="20"/>
          <w:color w:val="auto"/>
        </w:rPr>
      </w:pPr>
      <w:r>
        <w:rPr>
          <w:rFonts w:ascii="Arial" w:cs="Arial" w:eastAsia="Arial" w:hAnsi="Arial"/>
          <w:sz w:val="16"/>
          <w:szCs w:val="16"/>
          <w:i w:val="1"/>
          <w:iCs w:val="1"/>
          <w:color w:val="auto"/>
        </w:rPr>
        <w:t>(Unaudited)</w:t>
      </w:r>
    </w:p>
    <w:p>
      <w:pPr>
        <w:spacing w:after="0" w:line="20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reconciles diluted earnings per common share under U.S. GAAP to EPS-diluted-adjusted: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5"/>
          </w:tcPr>
          <w:p>
            <w:pPr>
              <w:ind w:left="240"/>
              <w:spacing w:after="0"/>
              <w:rPr>
                <w:sz w:val="20"/>
                <w:szCs w:val="20"/>
                <w:color w:val="auto"/>
              </w:rPr>
            </w:pPr>
            <w:r>
              <w:rPr>
                <w:rFonts w:ascii="Arial" w:cs="Arial" w:eastAsia="Arial" w:hAnsi="Arial"/>
                <w:sz w:val="13"/>
                <w:szCs w:val="13"/>
                <w:b w:val="1"/>
                <w:bCs w:val="1"/>
                <w:color w:val="auto"/>
              </w:rPr>
              <w:t>Three Months Ended</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5"/>
          </w:tcPr>
          <w:p>
            <w:pPr>
              <w:ind w:left="240"/>
              <w:spacing w:after="0"/>
              <w:rPr>
                <w:sz w:val="20"/>
                <w:szCs w:val="20"/>
                <w:color w:val="auto"/>
              </w:rPr>
            </w:pPr>
            <w:r>
              <w:rPr>
                <w:rFonts w:ascii="Arial" w:cs="Arial" w:eastAsia="Arial" w:hAnsi="Arial"/>
                <w:sz w:val="13"/>
                <w:szCs w:val="13"/>
                <w:b w:val="1"/>
                <w:bCs w:val="1"/>
                <w:color w:val="auto"/>
              </w:rPr>
              <w:t>Nine Months Ended</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31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4"/>
          </w:tcPr>
          <w:p>
            <w:pPr>
              <w:jc w:val="right"/>
              <w:ind w:right="302"/>
              <w:spacing w:after="0"/>
              <w:rPr>
                <w:sz w:val="20"/>
                <w:szCs w:val="20"/>
                <w:color w:val="auto"/>
              </w:rPr>
            </w:pPr>
            <w:r>
              <w:rPr>
                <w:rFonts w:ascii="Arial" w:cs="Arial" w:eastAsia="Arial" w:hAnsi="Arial"/>
                <w:sz w:val="13"/>
                <w:szCs w:val="13"/>
                <w:b w:val="1"/>
                <w:bCs w:val="1"/>
                <w:color w:val="auto"/>
              </w:rPr>
              <w:t>September 30, 2016</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gridSpan w:val="4"/>
          </w:tcPr>
          <w:p>
            <w:pPr>
              <w:jc w:val="right"/>
              <w:ind w:right="321"/>
              <w:spacing w:after="0"/>
              <w:rPr>
                <w:sz w:val="20"/>
                <w:szCs w:val="20"/>
                <w:color w:val="auto"/>
              </w:rPr>
            </w:pPr>
            <w:r>
              <w:rPr>
                <w:rFonts w:ascii="Arial" w:cs="Arial" w:eastAsia="Arial" w:hAnsi="Arial"/>
                <w:sz w:val="13"/>
                <w:szCs w:val="13"/>
                <w:b w:val="1"/>
                <w:bCs w:val="1"/>
                <w:color w:val="auto"/>
              </w:rPr>
              <w:t>September 30, 2015</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4"/>
          </w:tcPr>
          <w:p>
            <w:pPr>
              <w:jc w:val="right"/>
              <w:ind w:right="262"/>
              <w:spacing w:after="0"/>
              <w:rPr>
                <w:sz w:val="20"/>
                <w:szCs w:val="20"/>
                <w:color w:val="auto"/>
              </w:rPr>
            </w:pPr>
            <w:r>
              <w:rPr>
                <w:rFonts w:ascii="Arial" w:cs="Arial" w:eastAsia="Arial" w:hAnsi="Arial"/>
                <w:sz w:val="13"/>
                <w:szCs w:val="13"/>
                <w:b w:val="1"/>
                <w:bCs w:val="1"/>
                <w:color w:val="auto"/>
              </w:rPr>
              <w:t>September 30, 2016</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4"/>
          </w:tcPr>
          <w:p>
            <w:pPr>
              <w:jc w:val="right"/>
              <w:ind w:right="261"/>
              <w:spacing w:after="0"/>
              <w:rPr>
                <w:sz w:val="20"/>
                <w:szCs w:val="20"/>
                <w:color w:val="auto"/>
              </w:rPr>
            </w:pPr>
            <w:r>
              <w:rPr>
                <w:rFonts w:ascii="Arial" w:cs="Arial" w:eastAsia="Arial" w:hAnsi="Arial"/>
                <w:sz w:val="13"/>
                <w:szCs w:val="13"/>
                <w:b w:val="1"/>
                <w:bCs w:val="1"/>
                <w:color w:val="auto"/>
              </w:rPr>
              <w:t>September 30, 2015</w:t>
            </w:r>
          </w:p>
        </w:tc>
        <w:tc>
          <w:tcPr>
            <w:tcW w:w="0" w:type="dxa"/>
            <w:vAlign w:val="bottom"/>
          </w:tcPr>
          <w:p>
            <w:pPr>
              <w:spacing w:after="0"/>
              <w:rPr>
                <w:sz w:val="1"/>
                <w:szCs w:val="1"/>
                <w:color w:val="auto"/>
              </w:rPr>
            </w:pPr>
          </w:p>
        </w:tc>
      </w:tr>
      <w:tr>
        <w:trPr>
          <w:trHeight w:val="264"/>
        </w:trPr>
        <w:tc>
          <w:tcPr>
            <w:tcW w:w="3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2"/>
          </w:tcPr>
          <w:p>
            <w:pPr>
              <w:ind w:left="60"/>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22"/>
                <w:szCs w:val="22"/>
                <w:color w:val="auto"/>
              </w:rPr>
            </w:pPr>
          </w:p>
        </w:tc>
        <w:tc>
          <w:tcPr>
            <w:tcW w:w="860" w:type="dxa"/>
            <w:vAlign w:val="bottom"/>
            <w:gridSpan w:val="2"/>
          </w:tcPr>
          <w:p>
            <w:pPr>
              <w:ind w:left="20"/>
              <w:spacing w:after="0"/>
              <w:rPr>
                <w:sz w:val="20"/>
                <w:szCs w:val="20"/>
                <w:color w:val="auto"/>
              </w:rPr>
            </w:pPr>
            <w:r>
              <w:rPr>
                <w:rFonts w:ascii="Arial" w:cs="Arial" w:eastAsia="Arial" w:hAnsi="Arial"/>
                <w:sz w:val="13"/>
                <w:szCs w:val="13"/>
                <w:b w:val="1"/>
                <w:bCs w:val="1"/>
                <w:color w:val="auto"/>
              </w:rPr>
              <w:t>Per Share</w:t>
            </w:r>
          </w:p>
        </w:tc>
        <w:tc>
          <w:tcPr>
            <w:tcW w:w="200" w:type="dxa"/>
            <w:vAlign w:val="bottom"/>
          </w:tcPr>
          <w:p>
            <w:pPr>
              <w:spacing w:after="0"/>
              <w:rPr>
                <w:sz w:val="22"/>
                <w:szCs w:val="22"/>
                <w:color w:val="auto"/>
              </w:rPr>
            </w:pPr>
          </w:p>
        </w:tc>
        <w:tc>
          <w:tcPr>
            <w:tcW w:w="920" w:type="dxa"/>
            <w:vAlign w:val="bottom"/>
            <w:gridSpan w:val="2"/>
          </w:tcPr>
          <w:p>
            <w:pPr>
              <w:ind w:left="80"/>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22"/>
                <w:szCs w:val="22"/>
                <w:color w:val="auto"/>
              </w:rPr>
            </w:pPr>
          </w:p>
        </w:tc>
        <w:tc>
          <w:tcPr>
            <w:tcW w:w="860" w:type="dxa"/>
            <w:vAlign w:val="bottom"/>
            <w:gridSpan w:val="2"/>
          </w:tcPr>
          <w:p>
            <w:pPr>
              <w:ind w:left="20"/>
              <w:spacing w:after="0"/>
              <w:rPr>
                <w:sz w:val="20"/>
                <w:szCs w:val="20"/>
                <w:color w:val="auto"/>
              </w:rPr>
            </w:pPr>
            <w:r>
              <w:rPr>
                <w:rFonts w:ascii="Arial" w:cs="Arial" w:eastAsia="Arial" w:hAnsi="Arial"/>
                <w:sz w:val="13"/>
                <w:szCs w:val="13"/>
                <w:b w:val="1"/>
                <w:bCs w:val="1"/>
                <w:color w:val="auto"/>
              </w:rPr>
              <w:t>Per Share</w:t>
            </w:r>
          </w:p>
        </w:tc>
        <w:tc>
          <w:tcPr>
            <w:tcW w:w="180" w:type="dxa"/>
            <w:vAlign w:val="bottom"/>
          </w:tcPr>
          <w:p>
            <w:pPr>
              <w:spacing w:after="0"/>
              <w:rPr>
                <w:sz w:val="22"/>
                <w:szCs w:val="22"/>
                <w:color w:val="auto"/>
              </w:rPr>
            </w:pPr>
          </w:p>
        </w:tc>
        <w:tc>
          <w:tcPr>
            <w:tcW w:w="82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22"/>
                <w:szCs w:val="22"/>
                <w:color w:val="auto"/>
              </w:rPr>
            </w:pPr>
          </w:p>
        </w:tc>
        <w:tc>
          <w:tcPr>
            <w:tcW w:w="860" w:type="dxa"/>
            <w:vAlign w:val="bottom"/>
            <w:gridSpan w:val="2"/>
          </w:tcPr>
          <w:p>
            <w:pPr>
              <w:ind w:left="20"/>
              <w:spacing w:after="0"/>
              <w:rPr>
                <w:sz w:val="20"/>
                <w:szCs w:val="20"/>
                <w:color w:val="auto"/>
              </w:rPr>
            </w:pPr>
            <w:r>
              <w:rPr>
                <w:rFonts w:ascii="Arial" w:cs="Arial" w:eastAsia="Arial" w:hAnsi="Arial"/>
                <w:sz w:val="13"/>
                <w:szCs w:val="13"/>
                <w:b w:val="1"/>
                <w:bCs w:val="1"/>
                <w:color w:val="auto"/>
              </w:rPr>
              <w:t>Per Share</w:t>
            </w:r>
          </w:p>
        </w:tc>
        <w:tc>
          <w:tcPr>
            <w:tcW w:w="160" w:type="dxa"/>
            <w:vAlign w:val="bottom"/>
          </w:tcPr>
          <w:p>
            <w:pPr>
              <w:spacing w:after="0"/>
              <w:rPr>
                <w:sz w:val="22"/>
                <w:szCs w:val="22"/>
                <w:color w:val="auto"/>
              </w:rPr>
            </w:pPr>
          </w:p>
        </w:tc>
        <w:tc>
          <w:tcPr>
            <w:tcW w:w="840" w:type="dxa"/>
            <w:vAlign w:val="bottom"/>
            <w:gridSpan w:val="2"/>
          </w:tcPr>
          <w:p>
            <w:pPr>
              <w:ind w:left="60"/>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22"/>
                <w:szCs w:val="22"/>
                <w:color w:val="auto"/>
              </w:rPr>
            </w:pPr>
          </w:p>
        </w:tc>
        <w:tc>
          <w:tcPr>
            <w:tcW w:w="760" w:type="dxa"/>
            <w:vAlign w:val="bottom"/>
          </w:tcPr>
          <w:p>
            <w:pPr>
              <w:jc w:val="right"/>
              <w:ind w:right="81"/>
              <w:spacing w:after="0"/>
              <w:rPr>
                <w:sz w:val="20"/>
                <w:szCs w:val="20"/>
                <w:color w:val="auto"/>
              </w:rPr>
            </w:pPr>
            <w:r>
              <w:rPr>
                <w:rFonts w:ascii="Arial" w:cs="Arial" w:eastAsia="Arial" w:hAnsi="Arial"/>
                <w:sz w:val="13"/>
                <w:szCs w:val="13"/>
                <w:b w:val="1"/>
                <w:bCs w:val="1"/>
                <w:color w:val="auto"/>
                <w:w w:val="95"/>
              </w:rPr>
              <w:t>Per Share</w:t>
            </w:r>
          </w:p>
        </w:tc>
        <w:tc>
          <w:tcPr>
            <w:tcW w:w="0" w:type="dxa"/>
            <w:vAlign w:val="bottom"/>
          </w:tcPr>
          <w:p>
            <w:pPr>
              <w:spacing w:after="0"/>
              <w:rPr>
                <w:sz w:val="1"/>
                <w:szCs w:val="1"/>
                <w:color w:val="auto"/>
              </w:rPr>
            </w:pPr>
          </w:p>
        </w:tc>
      </w:tr>
      <w:tr>
        <w:trPr>
          <w:trHeight w:val="257"/>
        </w:trPr>
        <w:tc>
          <w:tcPr>
            <w:tcW w:w="3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earnings per common share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2,773</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1.76</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1,357</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0.84</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7,591</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4.81</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3,418</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2.07</w:t>
            </w:r>
          </w:p>
        </w:tc>
        <w:tc>
          <w:tcPr>
            <w:tcW w:w="0" w:type="dxa"/>
            <w:vAlign w:val="bottom"/>
          </w:tcPr>
          <w:p>
            <w:pPr>
              <w:spacing w:after="0"/>
              <w:rPr>
                <w:sz w:val="1"/>
                <w:szCs w:val="1"/>
                <w:color w:val="auto"/>
              </w:rPr>
            </w:pPr>
          </w:p>
        </w:tc>
      </w:tr>
      <w:tr>
        <w:trPr>
          <w:trHeight w:val="260"/>
        </w:trPr>
        <w:tc>
          <w:tcPr>
            <w:tcW w:w="3160" w:type="dxa"/>
            <w:vAlign w:val="bottom"/>
          </w:tcPr>
          <w:p>
            <w:pPr>
              <w:ind w:left="40"/>
              <w:spacing w:after="0"/>
              <w:rPr>
                <w:sz w:val="20"/>
                <w:szCs w:val="20"/>
                <w:color w:val="auto"/>
              </w:rPr>
            </w:pPr>
            <w:r>
              <w:rPr>
                <w:rFonts w:ascii="Arial" w:cs="Arial" w:eastAsia="Arial" w:hAnsi="Arial"/>
                <w:sz w:val="16"/>
                <w:szCs w:val="16"/>
                <w:color w:val="auto"/>
              </w:rPr>
              <w:t>Adjustments</w:t>
            </w: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31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Ignition switch recall and related legal</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matters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1,500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0.93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0.04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1,725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60"/>
        </w:trPr>
        <w:tc>
          <w:tcPr>
            <w:tcW w:w="3160" w:type="dxa"/>
            <w:vAlign w:val="bottom"/>
          </w:tcPr>
          <w:p>
            <w:pPr>
              <w:ind w:left="200"/>
              <w:spacing w:after="0"/>
              <w:rPr>
                <w:sz w:val="20"/>
                <w:szCs w:val="20"/>
                <w:color w:val="auto"/>
              </w:rPr>
            </w:pPr>
            <w:r>
              <w:rPr>
                <w:rFonts w:ascii="Arial" w:cs="Arial" w:eastAsia="Arial" w:hAnsi="Arial"/>
                <w:sz w:val="16"/>
                <w:szCs w:val="16"/>
                <w:color w:val="auto"/>
              </w:rPr>
              <w:t>Thailand asset impairment</w:t>
            </w: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740" w:type="dxa"/>
            <w:vAlign w:val="bottom"/>
          </w:tcPr>
          <w:p>
            <w:pPr>
              <w:jc w:val="right"/>
              <w:ind w:right="22"/>
              <w:spacing w:after="0"/>
              <w:rPr>
                <w:sz w:val="20"/>
                <w:szCs w:val="20"/>
                <w:color w:val="auto"/>
              </w:rPr>
            </w:pPr>
            <w:r>
              <w:rPr>
                <w:rFonts w:ascii="Arial" w:cs="Arial" w:eastAsia="Arial" w:hAnsi="Arial"/>
                <w:sz w:val="16"/>
                <w:szCs w:val="16"/>
                <w:color w:val="auto"/>
              </w:rPr>
              <w:t>297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0.18</w:t>
            </w:r>
          </w:p>
        </w:tc>
        <w:tc>
          <w:tcPr>
            <w:tcW w:w="0" w:type="dxa"/>
            <w:vAlign w:val="bottom"/>
          </w:tcPr>
          <w:p>
            <w:pPr>
              <w:spacing w:after="0"/>
              <w:rPr>
                <w:sz w:val="1"/>
                <w:szCs w:val="1"/>
                <w:color w:val="auto"/>
              </w:rPr>
            </w:pPr>
          </w:p>
        </w:tc>
      </w:tr>
      <w:tr>
        <w:trPr>
          <w:trHeight w:val="228"/>
        </w:trPr>
        <w:tc>
          <w:tcPr>
            <w:tcW w:w="31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Venezuela currency devaluation and</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asset impairment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720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0.43</w:t>
            </w:r>
          </w:p>
        </w:tc>
        <w:tc>
          <w:tcPr>
            <w:tcW w:w="0" w:type="dxa"/>
            <w:vAlign w:val="bottom"/>
          </w:tcPr>
          <w:p>
            <w:pPr>
              <w:spacing w:after="0"/>
              <w:rPr>
                <w:sz w:val="1"/>
                <w:szCs w:val="1"/>
                <w:color w:val="auto"/>
              </w:rPr>
            </w:pPr>
          </w:p>
        </w:tc>
      </w:tr>
      <w:tr>
        <w:trPr>
          <w:trHeight w:val="260"/>
        </w:trPr>
        <w:tc>
          <w:tcPr>
            <w:tcW w:w="3160" w:type="dxa"/>
            <w:vAlign w:val="bottom"/>
          </w:tcPr>
          <w:p>
            <w:pPr>
              <w:ind w:left="200"/>
              <w:spacing w:after="0"/>
              <w:rPr>
                <w:sz w:val="20"/>
                <w:szCs w:val="20"/>
                <w:color w:val="auto"/>
              </w:rPr>
            </w:pPr>
            <w:r>
              <w:rPr>
                <w:rFonts w:ascii="Arial" w:cs="Arial" w:eastAsia="Arial" w:hAnsi="Arial"/>
                <w:sz w:val="16"/>
                <w:szCs w:val="16"/>
                <w:color w:val="auto"/>
              </w:rPr>
              <w:t>Russia exit costs</w:t>
            </w: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740" w:type="dxa"/>
            <w:vAlign w:val="bottom"/>
          </w:tcPr>
          <w:p>
            <w:pPr>
              <w:jc w:val="right"/>
              <w:ind w:right="22"/>
              <w:spacing w:after="0"/>
              <w:rPr>
                <w:sz w:val="20"/>
                <w:szCs w:val="20"/>
                <w:color w:val="auto"/>
              </w:rPr>
            </w:pPr>
            <w:r>
              <w:rPr>
                <w:rFonts w:ascii="Arial" w:cs="Arial" w:eastAsia="Arial" w:hAnsi="Arial"/>
                <w:sz w:val="16"/>
                <w:szCs w:val="16"/>
                <w:color w:val="auto"/>
              </w:rPr>
              <w:t>450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0.27</w:t>
            </w:r>
          </w:p>
        </w:tc>
        <w:tc>
          <w:tcPr>
            <w:tcW w:w="0" w:type="dxa"/>
            <w:vAlign w:val="bottom"/>
          </w:tcPr>
          <w:p>
            <w:pPr>
              <w:spacing w:after="0"/>
              <w:rPr>
                <w:sz w:val="1"/>
                <w:szCs w:val="1"/>
                <w:color w:val="auto"/>
              </w:rPr>
            </w:pPr>
          </w:p>
        </w:tc>
      </w:tr>
      <w:tr>
        <w:trPr>
          <w:trHeight w:val="273"/>
        </w:trPr>
        <w:tc>
          <w:tcPr>
            <w:tcW w:w="31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50"/>
        </w:trPr>
        <w:tc>
          <w:tcPr>
            <w:tcW w:w="3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adjustments</w:t>
            </w:r>
          </w:p>
        </w:tc>
        <w:tc>
          <w:tcPr>
            <w:tcW w:w="16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(0.07)</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1,500</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0.93</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0.04</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3,157</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257"/>
        </w:trPr>
        <w:tc>
          <w:tcPr>
            <w:tcW w:w="3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Tax effect on adjustments(a)</w:t>
            </w: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0.03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(0.21)</w:t>
            </w:r>
          </w:p>
        </w:tc>
        <w:tc>
          <w:tcPr>
            <w:tcW w:w="0" w:type="dxa"/>
            <w:vAlign w:val="bottom"/>
          </w:tcPr>
          <w:p>
            <w:pPr>
              <w:spacing w:after="0"/>
              <w:rPr>
                <w:sz w:val="1"/>
                <w:szCs w:val="1"/>
                <w:color w:val="auto"/>
              </w:rPr>
            </w:pPr>
          </w:p>
        </w:tc>
      </w:tr>
      <w:tr>
        <w:trPr>
          <w:trHeight w:val="264"/>
        </w:trPr>
        <w:tc>
          <w:tcPr>
            <w:tcW w:w="3160" w:type="dxa"/>
            <w:vAlign w:val="bottom"/>
          </w:tcPr>
          <w:p>
            <w:pPr>
              <w:ind w:left="40"/>
              <w:spacing w:after="0"/>
              <w:rPr>
                <w:sz w:val="20"/>
                <w:szCs w:val="20"/>
                <w:color w:val="auto"/>
              </w:rPr>
            </w:pPr>
            <w:r>
              <w:rPr>
                <w:rFonts w:ascii="Arial" w:cs="Arial" w:eastAsia="Arial" w:hAnsi="Arial"/>
                <w:sz w:val="16"/>
                <w:szCs w:val="16"/>
                <w:color w:val="auto"/>
              </w:rPr>
              <w:t>Tax adjustments(b)</w:t>
            </w: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(0.13)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(0.13)</w:t>
            </w:r>
          </w:p>
        </w:tc>
        <w:tc>
          <w:tcPr>
            <w:tcW w:w="0" w:type="dxa"/>
            <w:vAlign w:val="bottom"/>
          </w:tcPr>
          <w:p>
            <w:pPr>
              <w:spacing w:after="0"/>
              <w:rPr>
                <w:sz w:val="1"/>
                <w:szCs w:val="1"/>
                <w:color w:val="auto"/>
              </w:rPr>
            </w:pPr>
          </w:p>
        </w:tc>
      </w:tr>
      <w:tr>
        <w:trPr>
          <w:trHeight w:val="240"/>
        </w:trPr>
        <w:tc>
          <w:tcPr>
            <w:tcW w:w="3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EPS-diluted-adjusted</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2,704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2,419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7,631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4.84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6,009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3.63</w:t>
            </w:r>
          </w:p>
        </w:tc>
        <w:tc>
          <w:tcPr>
            <w:tcW w:w="0" w:type="dxa"/>
            <w:vAlign w:val="bottom"/>
          </w:tcPr>
          <w:p>
            <w:pPr>
              <w:spacing w:after="0"/>
              <w:rPr>
                <w:sz w:val="1"/>
                <w:szCs w:val="1"/>
                <w:color w:val="auto"/>
              </w:rPr>
            </w:pPr>
          </w:p>
        </w:tc>
      </w:tr>
      <w:tr>
        <w:trPr>
          <w:trHeight w:val="20"/>
        </w:trPr>
        <w:tc>
          <w:tcPr>
            <w:tcW w:w="3160" w:type="dxa"/>
            <w:vAlign w:val="bottom"/>
            <w:vMerge w:val="restart"/>
          </w:tcPr>
          <w:p>
            <w:pPr>
              <w:spacing w:after="0"/>
              <w:rPr>
                <w:sz w:val="20"/>
                <w:szCs w:val="20"/>
                <w:color w:val="auto"/>
              </w:rPr>
            </w:pPr>
            <w:r>
              <w:rPr>
                <w:rFonts w:ascii="Arial" w:cs="Arial" w:eastAsia="Arial" w:hAnsi="Arial"/>
                <w:sz w:val="14"/>
                <w:szCs w:val="14"/>
                <w:color w:val="auto"/>
              </w:rPr>
              <w:t>________</w:t>
            </w: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1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tax effect of each adjustment is determined based on the tax laws and valuation allowance status of the jurisdiction in which the adjustment relates.</w:t>
      </w:r>
    </w:p>
    <w:p>
      <w:pPr>
        <w:spacing w:after="0" w:line="1" w:lineRule="exact"/>
        <w:rPr>
          <w:rFonts w:ascii="Arial" w:cs="Arial" w:eastAsia="Arial" w:hAnsi="Arial"/>
          <w:sz w:val="14"/>
          <w:szCs w:val="14"/>
          <w:color w:val="auto"/>
        </w:rPr>
      </w:pPr>
    </w:p>
    <w:p>
      <w:pPr>
        <w:ind w:left="340" w:hanging="332"/>
        <w:spacing w:after="0" w:line="258"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These adjustments were excluded as the tax benefits resulted from our decisions to restructure our Holden operations and withdraw our Chevrolet brand from Europe, which were each considered adjustments to EBIT in prior periods.</w:t>
      </w:r>
    </w:p>
    <w:p>
      <w:pPr>
        <w:spacing w:after="0" w:line="19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summarizes the calculation of ROIC-adjusted (dollars in billions):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9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260" w:type="dxa"/>
            <w:vAlign w:val="bottom"/>
            <w:tcBorders>
              <w:bottom w:val="single" w:sz="8" w:color="auto"/>
            </w:tcBorders>
            <w:gridSpan w:val="4"/>
          </w:tcPr>
          <w:p>
            <w:pPr>
              <w:jc w:val="right"/>
              <w:ind w:right="1001"/>
              <w:spacing w:after="0"/>
              <w:rPr>
                <w:sz w:val="20"/>
                <w:szCs w:val="20"/>
                <w:color w:val="auto"/>
              </w:rPr>
            </w:pPr>
            <w:r>
              <w:rPr>
                <w:rFonts w:ascii="Arial" w:cs="Arial" w:eastAsia="Arial" w:hAnsi="Arial"/>
                <w:sz w:val="13"/>
                <w:szCs w:val="13"/>
                <w:b w:val="1"/>
                <w:bCs w:val="1"/>
                <w:color w:val="auto"/>
              </w:rPr>
              <w:t>Four Quarters Ended</w:t>
            </w:r>
          </w:p>
        </w:tc>
      </w:tr>
      <w:tr>
        <w:trPr>
          <w:trHeight w:val="264"/>
        </w:trPr>
        <w:tc>
          <w:tcPr>
            <w:tcW w:w="79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0" w:type="dxa"/>
            <w:vAlign w:val="bottom"/>
            <w:gridSpan w:val="2"/>
          </w:tcPr>
          <w:p>
            <w:pPr>
              <w:ind w:left="80"/>
              <w:spacing w:after="0"/>
              <w:rPr>
                <w:sz w:val="20"/>
                <w:szCs w:val="20"/>
                <w:color w:val="auto"/>
              </w:rPr>
            </w:pPr>
            <w:r>
              <w:rPr>
                <w:rFonts w:ascii="Arial" w:cs="Arial" w:eastAsia="Arial" w:hAnsi="Arial"/>
                <w:sz w:val="13"/>
                <w:szCs w:val="13"/>
                <w:b w:val="1"/>
                <w:bCs w:val="1"/>
                <w:color w:val="auto"/>
              </w:rPr>
              <w:t>September 30, 2016</w:t>
            </w:r>
          </w:p>
        </w:tc>
        <w:tc>
          <w:tcPr>
            <w:tcW w:w="180" w:type="dxa"/>
            <w:vAlign w:val="bottom"/>
          </w:tcPr>
          <w:p>
            <w:pPr>
              <w:spacing w:after="0"/>
              <w:rPr>
                <w:sz w:val="22"/>
                <w:szCs w:val="22"/>
                <w:color w:val="auto"/>
              </w:rPr>
            </w:pPr>
          </w:p>
        </w:tc>
        <w:tc>
          <w:tcPr>
            <w:tcW w:w="1480" w:type="dxa"/>
            <w:vAlign w:val="bottom"/>
          </w:tcPr>
          <w:p>
            <w:pPr>
              <w:jc w:val="right"/>
              <w:ind w:right="161"/>
              <w:spacing w:after="0"/>
              <w:rPr>
                <w:sz w:val="20"/>
                <w:szCs w:val="20"/>
                <w:color w:val="auto"/>
              </w:rPr>
            </w:pPr>
            <w:r>
              <w:rPr>
                <w:rFonts w:ascii="Arial" w:cs="Arial" w:eastAsia="Arial" w:hAnsi="Arial"/>
                <w:sz w:val="13"/>
                <w:szCs w:val="13"/>
                <w:b w:val="1"/>
                <w:bCs w:val="1"/>
                <w:color w:val="auto"/>
              </w:rPr>
              <w:t>September 30, 2015</w:t>
            </w:r>
          </w:p>
        </w:tc>
      </w:tr>
      <w:tr>
        <w:trPr>
          <w:trHeight w:val="257"/>
        </w:trPr>
        <w:tc>
          <w:tcPr>
            <w:tcW w:w="79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EBIT-adjusted</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6"/>
                <w:szCs w:val="16"/>
                <w:color w:val="auto"/>
              </w:rPr>
              <w:t>12.9</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10.5</w:t>
            </w:r>
          </w:p>
        </w:tc>
      </w:tr>
      <w:tr>
        <w:trPr>
          <w:trHeight w:val="260"/>
        </w:trPr>
        <w:tc>
          <w:tcPr>
            <w:tcW w:w="7980" w:type="dxa"/>
            <w:vAlign w:val="bottom"/>
          </w:tcPr>
          <w:p>
            <w:pPr>
              <w:ind w:left="40"/>
              <w:spacing w:after="0"/>
              <w:rPr>
                <w:sz w:val="20"/>
                <w:szCs w:val="20"/>
                <w:color w:val="auto"/>
              </w:rPr>
            </w:pPr>
            <w:r>
              <w:rPr>
                <w:rFonts w:ascii="Arial" w:cs="Arial" w:eastAsia="Arial" w:hAnsi="Arial"/>
                <w:sz w:val="16"/>
                <w:szCs w:val="16"/>
                <w:color w:val="auto"/>
              </w:rPr>
              <w:t>Average equity</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03"/>
              <w:spacing w:after="0"/>
              <w:rPr>
                <w:sz w:val="20"/>
                <w:szCs w:val="20"/>
                <w:color w:val="auto"/>
              </w:rPr>
            </w:pPr>
            <w:r>
              <w:rPr>
                <w:rFonts w:ascii="Arial" w:cs="Arial" w:eastAsia="Arial" w:hAnsi="Arial"/>
                <w:sz w:val="16"/>
                <w:szCs w:val="16"/>
                <w:color w:val="auto"/>
              </w:rPr>
              <w:t>42.7</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01"/>
              <w:spacing w:after="0"/>
              <w:rPr>
                <w:sz w:val="20"/>
                <w:szCs w:val="20"/>
                <w:color w:val="auto"/>
              </w:rPr>
            </w:pPr>
            <w:r>
              <w:rPr>
                <w:rFonts w:ascii="Arial" w:cs="Arial" w:eastAsia="Arial" w:hAnsi="Arial"/>
                <w:sz w:val="16"/>
                <w:szCs w:val="16"/>
                <w:color w:val="auto"/>
              </w:rPr>
              <w:t>35.9</w:t>
            </w:r>
          </w:p>
        </w:tc>
      </w:tr>
      <w:tr>
        <w:trPr>
          <w:trHeight w:val="280"/>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Add: Average automotive debt and interest liabilities (excluding capital leases)</w:t>
            </w:r>
          </w:p>
        </w:tc>
        <w:tc>
          <w:tcPr>
            <w:tcW w:w="18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9.5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8.3</w:t>
            </w:r>
          </w:p>
        </w:tc>
      </w:tr>
      <w:tr>
        <w:trPr>
          <w:trHeight w:val="260"/>
        </w:trPr>
        <w:tc>
          <w:tcPr>
            <w:tcW w:w="7980" w:type="dxa"/>
            <w:vAlign w:val="bottom"/>
          </w:tcPr>
          <w:p>
            <w:pPr>
              <w:ind w:left="40"/>
              <w:spacing w:after="0"/>
              <w:rPr>
                <w:sz w:val="20"/>
                <w:szCs w:val="20"/>
                <w:color w:val="auto"/>
              </w:rPr>
            </w:pPr>
            <w:r>
              <w:rPr>
                <w:rFonts w:ascii="Arial" w:cs="Arial" w:eastAsia="Arial" w:hAnsi="Arial"/>
                <w:sz w:val="16"/>
                <w:szCs w:val="16"/>
                <w:color w:val="auto"/>
              </w:rPr>
              <w:t>Add: Average automotive net pension &amp; OPEB liability</w:t>
            </w:r>
          </w:p>
        </w:tc>
        <w:tc>
          <w:tcPr>
            <w:tcW w:w="180" w:type="dxa"/>
            <w:vAlign w:val="bottom"/>
          </w:tcPr>
          <w:p>
            <w:pPr>
              <w:spacing w:after="0"/>
              <w:rPr>
                <w:sz w:val="22"/>
                <w:szCs w:val="22"/>
                <w:color w:val="auto"/>
              </w:rPr>
            </w:pPr>
          </w:p>
        </w:tc>
        <w:tc>
          <w:tcPr>
            <w:tcW w:w="1500" w:type="dxa"/>
            <w:vAlign w:val="bottom"/>
          </w:tcPr>
          <w:p>
            <w:pPr>
              <w:jc w:val="right"/>
              <w:ind w:right="103"/>
              <w:spacing w:after="0"/>
              <w:rPr>
                <w:sz w:val="20"/>
                <w:szCs w:val="20"/>
                <w:color w:val="auto"/>
              </w:rPr>
            </w:pPr>
            <w:r>
              <w:rPr>
                <w:rFonts w:ascii="Arial" w:cs="Arial" w:eastAsia="Arial" w:hAnsi="Arial"/>
                <w:sz w:val="16"/>
                <w:szCs w:val="16"/>
                <w:color w:val="auto"/>
              </w:rPr>
              <w:t>25.2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tcPr>
          <w:p>
            <w:pPr>
              <w:jc w:val="right"/>
              <w:ind w:right="101"/>
              <w:spacing w:after="0"/>
              <w:rPr>
                <w:sz w:val="20"/>
                <w:szCs w:val="20"/>
                <w:color w:val="auto"/>
              </w:rPr>
            </w:pPr>
            <w:r>
              <w:rPr>
                <w:rFonts w:ascii="Arial" w:cs="Arial" w:eastAsia="Arial" w:hAnsi="Arial"/>
                <w:sz w:val="16"/>
                <w:szCs w:val="16"/>
                <w:color w:val="auto"/>
              </w:rPr>
              <w:t>29.2</w:t>
            </w:r>
          </w:p>
        </w:tc>
      </w:tr>
      <w:tr>
        <w:trPr>
          <w:trHeight w:val="273"/>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Average net automotive income tax asset</w:t>
            </w:r>
          </w:p>
        </w:tc>
        <w:tc>
          <w:tcPr>
            <w:tcW w:w="18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6"/>
                <w:szCs w:val="16"/>
                <w:color w:val="auto"/>
              </w:rPr>
              <w:t>(35.2)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(33.1)</w:t>
            </w:r>
          </w:p>
        </w:tc>
      </w:tr>
      <w:tr>
        <w:trPr>
          <w:trHeight w:val="280"/>
        </w:trPr>
        <w:tc>
          <w:tcPr>
            <w:tcW w:w="79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ROIC-adjusted average net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rPr>
              <w:t>42.2</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40.3</w:t>
            </w:r>
          </w:p>
        </w:tc>
      </w:tr>
      <w:tr>
        <w:trPr>
          <w:trHeight w:val="227"/>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ROIC-adjusted</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w:t>
            </w:r>
          </w:p>
        </w:tc>
      </w:tr>
    </w:tbl>
    <w:p>
      <w:pPr>
        <w:spacing w:after="0" w:line="200" w:lineRule="exact"/>
        <w:rPr>
          <w:sz w:val="20"/>
          <w:szCs w:val="20"/>
          <w:color w:val="auto"/>
        </w:rPr>
      </w:pPr>
    </w:p>
    <w:p>
      <w:pPr>
        <w:sectPr>
          <w:pgSz w:w="11900" w:h="16838" w:orient="portrait"/>
          <w:cols w:equalWidth="0" w:num="1">
            <w:col w:w="11420"/>
          </w:cols>
          <w:pgMar w:left="240" w:top="58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581" w:right="239" w:bottom="1440" w:gutter="0" w:footer="0" w:header="0"/>
          <w:type w:val="continuous"/>
        </w:sectPr>
      </w:pPr>
    </w:p>
    <w:bookmarkStart w:id="10" w:name="page11"/>
    <w:bookmarkEnd w:id="10"/>
    <w:p>
      <w:pPr>
        <w:jc w:val="center"/>
        <w:ind w:left="98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left="980"/>
        <w:spacing w:after="0"/>
        <w:rPr>
          <w:sz w:val="20"/>
          <w:szCs w:val="20"/>
          <w:color w:val="auto"/>
        </w:rPr>
      </w:pPr>
      <w:r>
        <w:rPr>
          <w:rFonts w:ascii="Arial" w:cs="Arial" w:eastAsia="Arial" w:hAnsi="Arial"/>
          <w:sz w:val="16"/>
          <w:szCs w:val="16"/>
          <w:b w:val="1"/>
          <w:bCs w:val="1"/>
          <w:color w:val="auto"/>
        </w:rPr>
        <w:t>Supplemental Material</w:t>
      </w:r>
    </w:p>
    <w:p>
      <w:pPr>
        <w:spacing w:after="0" w:line="5" w:lineRule="exact"/>
        <w:rPr>
          <w:sz w:val="20"/>
          <w:szCs w:val="20"/>
          <w:color w:val="auto"/>
        </w:rPr>
      </w:pPr>
    </w:p>
    <w:p>
      <w:pPr>
        <w:jc w:val="center"/>
        <w:ind w:left="980"/>
        <w:spacing w:after="0"/>
        <w:rPr>
          <w:sz w:val="20"/>
          <w:szCs w:val="20"/>
          <w:color w:val="auto"/>
        </w:rPr>
      </w:pPr>
      <w:r>
        <w:rPr>
          <w:rFonts w:ascii="Arial" w:cs="Arial" w:eastAsia="Arial" w:hAnsi="Arial"/>
          <w:sz w:val="16"/>
          <w:szCs w:val="16"/>
          <w:i w:val="1"/>
          <w:iCs w:val="1"/>
          <w:color w:val="auto"/>
        </w:rPr>
        <w:t>(Unaudited)</w:t>
      </w:r>
    </w:p>
    <w:p>
      <w:pPr>
        <w:spacing w:after="0" w:line="194" w:lineRule="exact"/>
        <w:rPr>
          <w:sz w:val="20"/>
          <w:szCs w:val="20"/>
          <w:color w:val="auto"/>
        </w:rPr>
      </w:pPr>
    </w:p>
    <w:p>
      <w:pPr>
        <w:ind w:right="20" w:firstLine="162"/>
        <w:spacing w:after="0" w:line="260" w:lineRule="auto"/>
        <w:rPr>
          <w:sz w:val="20"/>
          <w:szCs w:val="20"/>
          <w:color w:val="auto"/>
        </w:rPr>
      </w:pPr>
      <w:r>
        <w:rPr>
          <w:rFonts w:ascii="Arial" w:cs="Arial" w:eastAsia="Arial" w:hAnsi="Arial"/>
          <w:sz w:val="16"/>
          <w:szCs w:val="16"/>
          <w:color w:val="auto"/>
        </w:rPr>
        <w:t>The following table reconciles Net income attributable to common stockholders under U.S. GAAP to EBIT-adjusted used in the calculation of ROIC-adjusted (dollars in millions):</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33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5"/>
          </w:tcPr>
          <w:p>
            <w:pPr>
              <w:ind w:left="40"/>
              <w:spacing w:after="0"/>
              <w:rPr>
                <w:sz w:val="20"/>
                <w:szCs w:val="20"/>
                <w:color w:val="auto"/>
              </w:rPr>
            </w:pPr>
            <w:r>
              <w:rPr>
                <w:rFonts w:ascii="Arial" w:cs="Arial" w:eastAsia="Arial" w:hAnsi="Arial"/>
                <w:sz w:val="13"/>
                <w:szCs w:val="13"/>
                <w:b w:val="1"/>
                <w:bCs w:val="1"/>
                <w:color w:val="auto"/>
              </w:rPr>
              <w:t>Three Months Ended</w:t>
            </w:r>
          </w:p>
        </w:tc>
        <w:tc>
          <w:tcPr>
            <w:tcW w:w="2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r>
      <w:tr>
        <w:trPr>
          <w:trHeight w:val="264"/>
        </w:trPr>
        <w:tc>
          <w:tcPr>
            <w:tcW w:w="3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00" w:type="dxa"/>
            <w:vAlign w:val="bottom"/>
            <w:gridSpan w:val="5"/>
          </w:tcPr>
          <w:p>
            <w:pPr>
              <w:ind w:left="360"/>
              <w:spacing w:after="0"/>
              <w:rPr>
                <w:sz w:val="20"/>
                <w:szCs w:val="20"/>
                <w:color w:val="auto"/>
              </w:rPr>
            </w:pPr>
            <w:r>
              <w:rPr>
                <w:rFonts w:ascii="Arial" w:cs="Arial" w:eastAsia="Arial" w:hAnsi="Arial"/>
                <w:sz w:val="13"/>
                <w:szCs w:val="13"/>
                <w:b w:val="1"/>
                <w:bCs w:val="1"/>
                <w:color w:val="auto"/>
              </w:rPr>
              <w:t>September 30,</w:t>
            </w:r>
          </w:p>
        </w:tc>
        <w:tc>
          <w:tcPr>
            <w:tcW w:w="220" w:type="dxa"/>
            <w:vAlign w:val="bottom"/>
          </w:tcPr>
          <w:p>
            <w:pPr>
              <w:spacing w:after="0"/>
              <w:rPr>
                <w:sz w:val="22"/>
                <w:szCs w:val="22"/>
                <w:color w:val="auto"/>
              </w:rPr>
            </w:pPr>
          </w:p>
        </w:tc>
        <w:tc>
          <w:tcPr>
            <w:tcW w:w="1060" w:type="dxa"/>
            <w:vAlign w:val="bottom"/>
            <w:gridSpan w:val="3"/>
          </w:tcPr>
          <w:p>
            <w:pPr>
              <w:jc w:val="right"/>
              <w:spacing w:after="0"/>
              <w:rPr>
                <w:sz w:val="20"/>
                <w:szCs w:val="20"/>
                <w:color w:val="auto"/>
              </w:rPr>
            </w:pPr>
            <w:r>
              <w:rPr>
                <w:rFonts w:ascii="Arial" w:cs="Arial" w:eastAsia="Arial" w:hAnsi="Arial"/>
                <w:sz w:val="13"/>
                <w:szCs w:val="13"/>
                <w:b w:val="1"/>
                <w:bCs w:val="1"/>
                <w:color w:val="auto"/>
              </w:rPr>
              <w:t>June 30,</w:t>
            </w: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gridSpan w:val="3"/>
          </w:tcPr>
          <w:p>
            <w:pPr>
              <w:jc w:val="right"/>
              <w:spacing w:after="0"/>
              <w:rPr>
                <w:sz w:val="20"/>
                <w:szCs w:val="20"/>
                <w:color w:val="auto"/>
              </w:rPr>
            </w:pPr>
            <w:r>
              <w:rPr>
                <w:rFonts w:ascii="Arial" w:cs="Arial" w:eastAsia="Arial" w:hAnsi="Arial"/>
                <w:sz w:val="13"/>
                <w:szCs w:val="13"/>
                <w:b w:val="1"/>
                <w:bCs w:val="1"/>
                <w:color w:val="auto"/>
              </w:rPr>
              <w:t>March 31,</w:t>
            </w: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00" w:type="dxa"/>
            <w:vAlign w:val="bottom"/>
            <w:gridSpan w:val="4"/>
          </w:tcPr>
          <w:p>
            <w:pPr>
              <w:jc w:val="right"/>
              <w:ind w:right="449"/>
              <w:spacing w:after="0"/>
              <w:rPr>
                <w:sz w:val="20"/>
                <w:szCs w:val="20"/>
                <w:color w:val="auto"/>
              </w:rPr>
            </w:pPr>
            <w:r>
              <w:rPr>
                <w:rFonts w:ascii="Arial" w:cs="Arial" w:eastAsia="Arial" w:hAnsi="Arial"/>
                <w:sz w:val="13"/>
                <w:szCs w:val="13"/>
                <w:b w:val="1"/>
                <w:bCs w:val="1"/>
                <w:color w:val="auto"/>
              </w:rPr>
              <w:t>December 31,</w:t>
            </w:r>
          </w:p>
        </w:tc>
      </w:tr>
      <w:tr>
        <w:trPr>
          <w:trHeight w:val="264"/>
        </w:trPr>
        <w:tc>
          <w:tcPr>
            <w:tcW w:w="33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69"/>
              <w:spacing w:after="0"/>
              <w:rPr>
                <w:sz w:val="20"/>
                <w:szCs w:val="20"/>
                <w:color w:val="auto"/>
              </w:rPr>
            </w:pPr>
            <w:r>
              <w:rPr>
                <w:rFonts w:ascii="Arial" w:cs="Arial" w:eastAsia="Arial" w:hAnsi="Arial"/>
                <w:sz w:val="13"/>
                <w:szCs w:val="13"/>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2016</w:t>
            </w:r>
          </w:p>
        </w:tc>
        <w:tc>
          <w:tcPr>
            <w:tcW w:w="14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w w:val="96"/>
              </w:rPr>
              <w:t>2015</w:t>
            </w: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2014</w:t>
            </w:r>
          </w:p>
        </w:tc>
      </w:tr>
      <w:tr>
        <w:trPr>
          <w:trHeight w:val="257"/>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attributable to common stockholders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2,773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1,359</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2,866</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1,117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1,953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945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6,266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1,987</w:t>
            </w:r>
          </w:p>
        </w:tc>
      </w:tr>
      <w:tr>
        <w:trPr>
          <w:trHeight w:val="264"/>
        </w:trPr>
        <w:tc>
          <w:tcPr>
            <w:tcW w:w="3300" w:type="dxa"/>
            <w:vAlign w:val="bottom"/>
          </w:tcPr>
          <w:p>
            <w:pPr>
              <w:ind w:left="20"/>
              <w:spacing w:after="0"/>
              <w:rPr>
                <w:sz w:val="20"/>
                <w:szCs w:val="20"/>
                <w:color w:val="auto"/>
              </w:rPr>
            </w:pPr>
            <w:r>
              <w:rPr>
                <w:rFonts w:ascii="Arial" w:cs="Arial" w:eastAsia="Arial" w:hAnsi="Arial"/>
                <w:sz w:val="14"/>
                <w:szCs w:val="14"/>
                <w:color w:val="auto"/>
              </w:rPr>
              <w:t>Income tax expense (benefit)</w:t>
            </w:r>
          </w:p>
        </w:tc>
        <w:tc>
          <w:tcPr>
            <w:tcW w:w="200" w:type="dxa"/>
            <w:vAlign w:val="bottom"/>
          </w:tcPr>
          <w:p>
            <w:pPr>
              <w:spacing w:after="0"/>
              <w:rPr>
                <w:sz w:val="22"/>
                <w:szCs w:val="22"/>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776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165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871</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577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559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529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(3,168)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279</w:t>
            </w:r>
          </w:p>
        </w:tc>
      </w:tr>
      <w:tr>
        <w:trPr>
          <w:trHeight w:val="276"/>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on extinguishment of debt</w:t>
            </w:r>
          </w:p>
        </w:tc>
        <w:tc>
          <w:tcPr>
            <w:tcW w:w="2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r>
      <w:tr>
        <w:trPr>
          <w:trHeight w:val="264"/>
        </w:trPr>
        <w:tc>
          <w:tcPr>
            <w:tcW w:w="3300" w:type="dxa"/>
            <w:vAlign w:val="bottom"/>
          </w:tcPr>
          <w:p>
            <w:pPr>
              <w:ind w:left="20"/>
              <w:spacing w:after="0"/>
              <w:rPr>
                <w:sz w:val="20"/>
                <w:szCs w:val="20"/>
                <w:color w:val="auto"/>
              </w:rPr>
            </w:pPr>
            <w:r>
              <w:rPr>
                <w:rFonts w:ascii="Arial" w:cs="Arial" w:eastAsia="Arial" w:hAnsi="Arial"/>
                <w:sz w:val="14"/>
                <w:szCs w:val="14"/>
                <w:color w:val="auto"/>
              </w:rPr>
              <w:t>Automotive interest expense</w:t>
            </w:r>
          </w:p>
        </w:tc>
        <w:tc>
          <w:tcPr>
            <w:tcW w:w="200" w:type="dxa"/>
            <w:vAlign w:val="bottom"/>
          </w:tcPr>
          <w:p>
            <w:pPr>
              <w:spacing w:after="0"/>
              <w:rPr>
                <w:sz w:val="22"/>
                <w:szCs w:val="22"/>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148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147</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104</w:t>
            </w:r>
          </w:p>
        </w:tc>
      </w:tr>
      <w:tr>
        <w:trPr>
          <w:trHeight w:val="276"/>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Automotive interest income</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r>
      <w:tr>
        <w:trPr>
          <w:trHeight w:val="264"/>
        </w:trPr>
        <w:tc>
          <w:tcPr>
            <w:tcW w:w="3300" w:type="dxa"/>
            <w:vAlign w:val="bottom"/>
          </w:tcPr>
          <w:p>
            <w:pPr>
              <w:ind w:left="20"/>
              <w:spacing w:after="0"/>
              <w:rPr>
                <w:sz w:val="20"/>
                <w:szCs w:val="20"/>
                <w:color w:val="auto"/>
              </w:rPr>
            </w:pPr>
            <w:r>
              <w:rPr>
                <w:rFonts w:ascii="Arial" w:cs="Arial" w:eastAsia="Arial" w:hAnsi="Arial"/>
                <w:sz w:val="14"/>
                <w:szCs w:val="14"/>
                <w:color w:val="auto"/>
              </w:rPr>
              <w:t>Adjustments</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76"/>
        </w:trPr>
        <w:tc>
          <w:tcPr>
            <w:tcW w:w="3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Ignition switch recall and related legal matters</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1,500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115</w:t>
            </w: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r>
      <w:tr>
        <w:trPr>
          <w:trHeight w:val="264"/>
        </w:trPr>
        <w:tc>
          <w:tcPr>
            <w:tcW w:w="3300" w:type="dxa"/>
            <w:vAlign w:val="bottom"/>
          </w:tcPr>
          <w:p>
            <w:pPr>
              <w:ind w:left="180"/>
              <w:spacing w:after="0"/>
              <w:rPr>
                <w:sz w:val="20"/>
                <w:szCs w:val="20"/>
                <w:color w:val="auto"/>
              </w:rPr>
            </w:pPr>
            <w:r>
              <w:rPr>
                <w:rFonts w:ascii="Arial" w:cs="Arial" w:eastAsia="Arial" w:hAnsi="Arial"/>
                <w:sz w:val="14"/>
                <w:szCs w:val="14"/>
                <w:color w:val="auto"/>
              </w:rPr>
              <w:t>Thailand asset impairments</w:t>
            </w:r>
          </w:p>
        </w:tc>
        <w:tc>
          <w:tcPr>
            <w:tcW w:w="2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297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158</w:t>
            </w:r>
          </w:p>
        </w:tc>
      </w:tr>
      <w:tr>
        <w:trPr>
          <w:trHeight w:val="200"/>
        </w:trPr>
        <w:tc>
          <w:tcPr>
            <w:tcW w:w="3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Venezuela currency devaluation and asset</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184"/>
        </w:trPr>
        <w:tc>
          <w:tcPr>
            <w:tcW w:w="33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impairment</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720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r>
      <w:tr>
        <w:trPr>
          <w:trHeight w:val="264"/>
        </w:trPr>
        <w:tc>
          <w:tcPr>
            <w:tcW w:w="3300" w:type="dxa"/>
            <w:vAlign w:val="bottom"/>
          </w:tcPr>
          <w:p>
            <w:pPr>
              <w:ind w:left="180"/>
              <w:spacing w:after="0"/>
              <w:rPr>
                <w:sz w:val="20"/>
                <w:szCs w:val="20"/>
                <w:color w:val="auto"/>
              </w:rPr>
            </w:pPr>
            <w:r>
              <w:rPr>
                <w:rFonts w:ascii="Arial" w:cs="Arial" w:eastAsia="Arial" w:hAnsi="Arial"/>
                <w:sz w:val="14"/>
                <w:szCs w:val="14"/>
                <w:color w:val="auto"/>
              </w:rPr>
              <w:t>Goodwill impairments</w:t>
            </w:r>
          </w:p>
        </w:tc>
        <w:tc>
          <w:tcPr>
            <w:tcW w:w="2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120</w:t>
            </w:r>
          </w:p>
        </w:tc>
      </w:tr>
      <w:tr>
        <w:trPr>
          <w:trHeight w:val="276"/>
        </w:trPr>
        <w:tc>
          <w:tcPr>
            <w:tcW w:w="3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Russia exit costs</w:t>
            </w:r>
          </w:p>
        </w:tc>
        <w:tc>
          <w:tcPr>
            <w:tcW w:w="2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428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r>
      <w:tr>
        <w:trPr>
          <w:trHeight w:val="264"/>
        </w:trPr>
        <w:tc>
          <w:tcPr>
            <w:tcW w:w="3300" w:type="dxa"/>
            <w:vAlign w:val="bottom"/>
          </w:tcPr>
          <w:p>
            <w:pPr>
              <w:ind w:left="180"/>
              <w:spacing w:after="0"/>
              <w:rPr>
                <w:sz w:val="20"/>
                <w:szCs w:val="20"/>
                <w:color w:val="auto"/>
              </w:rPr>
            </w:pPr>
            <w:r>
              <w:rPr>
                <w:rFonts w:ascii="Arial" w:cs="Arial" w:eastAsia="Arial" w:hAnsi="Arial"/>
                <w:sz w:val="14"/>
                <w:szCs w:val="14"/>
                <w:color w:val="auto"/>
              </w:rPr>
              <w:t>Other</w:t>
            </w:r>
          </w:p>
        </w:tc>
        <w:tc>
          <w:tcPr>
            <w:tcW w:w="2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22</w:t>
            </w:r>
          </w:p>
        </w:tc>
      </w:tr>
      <w:tr>
        <w:trPr>
          <w:trHeight w:val="250"/>
        </w:trPr>
        <w:tc>
          <w:tcPr>
            <w:tcW w:w="3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adjustments</w:t>
            </w: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(110)</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1,500</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115</w:t>
            </w:r>
          </w:p>
        </w:tc>
        <w:tc>
          <w:tcPr>
            <w:tcW w:w="14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1,110</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60</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547</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42</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300</w:t>
            </w:r>
          </w:p>
        </w:tc>
      </w:tr>
      <w:tr>
        <w:trPr>
          <w:trHeight w:val="243"/>
        </w:trPr>
        <w:tc>
          <w:tcPr>
            <w:tcW w:w="3300" w:type="dxa"/>
            <w:vAlign w:val="bottom"/>
          </w:tcPr>
          <w:p>
            <w:pPr>
              <w:ind w:left="20"/>
              <w:spacing w:after="0"/>
              <w:rPr>
                <w:sz w:val="20"/>
                <w:szCs w:val="20"/>
                <w:color w:val="auto"/>
              </w:rPr>
            </w:pPr>
            <w:r>
              <w:rPr>
                <w:rFonts w:ascii="Arial" w:cs="Arial" w:eastAsia="Arial" w:hAnsi="Arial"/>
                <w:sz w:val="14"/>
                <w:szCs w:val="14"/>
                <w:color w:val="auto"/>
              </w:rPr>
              <w:t>EBIT-adjusted</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3,543</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3,096</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3,947</w:t>
            </w:r>
          </w:p>
        </w:tc>
        <w:tc>
          <w:tcPr>
            <w:tcW w:w="140" w:type="dxa"/>
            <w:vAlign w:val="bottom"/>
          </w:tcPr>
          <w:p>
            <w:pPr>
              <w:spacing w:after="0"/>
              <w:rPr>
                <w:sz w:val="21"/>
                <w:szCs w:val="21"/>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2,871</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2,655</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2,082</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2,765</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2,414</w:t>
            </w:r>
          </w:p>
        </w:tc>
      </w:tr>
      <w:tr>
        <w:trPr>
          <w:trHeight w:val="20"/>
        </w:trPr>
        <w:tc>
          <w:tcPr>
            <w:tcW w:w="3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reconciles expected diluted earnings per common share under U.S. GAAP to expected EPS-diluted-adjusted: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72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Arial" w:cs="Arial" w:eastAsia="Arial" w:hAnsi="Arial"/>
                <w:sz w:val="13"/>
                <w:szCs w:val="13"/>
                <w:b w:val="1"/>
                <w:bCs w:val="1"/>
                <w:color w:val="auto"/>
                <w:w w:val="98"/>
              </w:rPr>
              <w:t>Year Ending December 31,</w:t>
            </w:r>
          </w:p>
        </w:tc>
        <w:tc>
          <w:tcPr>
            <w:tcW w:w="0" w:type="dxa"/>
            <w:vAlign w:val="bottom"/>
          </w:tcPr>
          <w:p>
            <w:pPr>
              <w:spacing w:after="0"/>
              <w:rPr>
                <w:sz w:val="1"/>
                <w:szCs w:val="1"/>
                <w:color w:val="auto"/>
              </w:rPr>
            </w:pPr>
          </w:p>
        </w:tc>
      </w:tr>
      <w:tr>
        <w:trPr>
          <w:trHeight w:val="178"/>
        </w:trPr>
        <w:tc>
          <w:tcPr>
            <w:tcW w:w="9720" w:type="dxa"/>
            <w:vAlign w:val="bottom"/>
            <w:tcBorders>
              <w:bottom w:val="single" w:sz="8" w:color="CCEEFF"/>
            </w:tcBorders>
          </w:tcPr>
          <w:p>
            <w:pPr>
              <w:spacing w:after="0"/>
              <w:rPr>
                <w:sz w:val="15"/>
                <w:szCs w:val="15"/>
                <w:color w:val="auto"/>
              </w:rPr>
            </w:pPr>
          </w:p>
        </w:tc>
        <w:tc>
          <w:tcPr>
            <w:tcW w:w="1700" w:type="dxa"/>
            <w:vAlign w:val="bottom"/>
            <w:tcBorders>
              <w:bottom w:val="single" w:sz="8" w:color="auto"/>
            </w:tcBorders>
          </w:tcPr>
          <w:p>
            <w:pPr>
              <w:jc w:val="right"/>
              <w:ind w:right="645"/>
              <w:spacing w:after="0"/>
              <w:rPr>
                <w:sz w:val="20"/>
                <w:szCs w:val="20"/>
                <w:color w:val="auto"/>
              </w:rPr>
            </w:pPr>
            <w:r>
              <w:rPr>
                <w:rFonts w:ascii="Arial" w:cs="Arial" w:eastAsia="Arial" w:hAnsi="Arial"/>
                <w:sz w:val="13"/>
                <w:szCs w:val="13"/>
                <w:b w:val="1"/>
                <w:bCs w:val="1"/>
                <w:color w:val="auto"/>
              </w:rPr>
              <w:t>2016</w:t>
            </w:r>
          </w:p>
        </w:tc>
        <w:tc>
          <w:tcPr>
            <w:tcW w:w="0" w:type="dxa"/>
            <w:vAlign w:val="bottom"/>
          </w:tcPr>
          <w:p>
            <w:pPr>
              <w:spacing w:after="0"/>
              <w:rPr>
                <w:sz w:val="1"/>
                <w:szCs w:val="1"/>
                <w:color w:val="auto"/>
              </w:rPr>
            </w:pPr>
          </w:p>
        </w:tc>
      </w:tr>
      <w:tr>
        <w:trPr>
          <w:trHeight w:val="243"/>
        </w:trPr>
        <w:tc>
          <w:tcPr>
            <w:tcW w:w="9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Diluted earnings per common share</w:t>
            </w:r>
          </w:p>
        </w:tc>
        <w:tc>
          <w:tcPr>
            <w:tcW w:w="170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$ 5.47-5.97</w:t>
            </w:r>
          </w:p>
        </w:tc>
        <w:tc>
          <w:tcPr>
            <w:tcW w:w="0" w:type="dxa"/>
            <w:vAlign w:val="bottom"/>
          </w:tcPr>
          <w:p>
            <w:pPr>
              <w:spacing w:after="0"/>
              <w:rPr>
                <w:sz w:val="1"/>
                <w:szCs w:val="1"/>
                <w:color w:val="auto"/>
              </w:rPr>
            </w:pPr>
          </w:p>
        </w:tc>
      </w:tr>
      <w:tr>
        <w:trPr>
          <w:trHeight w:val="233"/>
        </w:trPr>
        <w:tc>
          <w:tcPr>
            <w:tcW w:w="9720" w:type="dxa"/>
            <w:vAlign w:val="bottom"/>
          </w:tcPr>
          <w:p>
            <w:pPr>
              <w:ind w:left="40"/>
              <w:spacing w:after="0"/>
              <w:rPr>
                <w:sz w:val="20"/>
                <w:szCs w:val="20"/>
                <w:color w:val="auto"/>
              </w:rPr>
            </w:pPr>
            <w:r>
              <w:rPr>
                <w:rFonts w:ascii="Arial" w:cs="Arial" w:eastAsia="Arial" w:hAnsi="Arial"/>
                <w:sz w:val="16"/>
                <w:szCs w:val="16"/>
                <w:color w:val="auto"/>
              </w:rPr>
              <w:t>Adjustments(a)</w:t>
            </w:r>
          </w:p>
        </w:tc>
        <w:tc>
          <w:tcPr>
            <w:tcW w:w="1700" w:type="dxa"/>
            <w:vAlign w:val="bottom"/>
          </w:tcPr>
          <w:p>
            <w:pPr>
              <w:jc w:val="right"/>
              <w:ind w:right="25"/>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46"/>
        </w:trPr>
        <w:tc>
          <w:tcPr>
            <w:tcW w:w="9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Tax effect on adjustments(b)</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37"/>
        </w:trPr>
        <w:tc>
          <w:tcPr>
            <w:tcW w:w="9720" w:type="dxa"/>
            <w:vAlign w:val="bottom"/>
          </w:tcPr>
          <w:p>
            <w:pPr>
              <w:ind w:left="40"/>
              <w:spacing w:after="0"/>
              <w:rPr>
                <w:sz w:val="20"/>
                <w:szCs w:val="20"/>
                <w:color w:val="auto"/>
              </w:rPr>
            </w:pPr>
            <w:r>
              <w:rPr>
                <w:rFonts w:ascii="Arial" w:cs="Arial" w:eastAsia="Arial" w:hAnsi="Arial"/>
                <w:sz w:val="16"/>
                <w:szCs w:val="16"/>
                <w:color w:val="auto"/>
              </w:rPr>
              <w:t>EPS-diluted-adjusted</w:t>
            </w:r>
          </w:p>
        </w:tc>
        <w:tc>
          <w:tcPr>
            <w:tcW w:w="170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$ 5.50-6.00</w:t>
            </w:r>
          </w:p>
        </w:tc>
        <w:tc>
          <w:tcPr>
            <w:tcW w:w="0" w:type="dxa"/>
            <w:vAlign w:val="bottom"/>
          </w:tcPr>
          <w:p>
            <w:pPr>
              <w:spacing w:after="0"/>
              <w:rPr>
                <w:sz w:val="1"/>
                <w:szCs w:val="1"/>
                <w:color w:val="auto"/>
              </w:rPr>
            </w:pPr>
          </w:p>
        </w:tc>
      </w:tr>
      <w:tr>
        <w:trPr>
          <w:trHeight w:val="20"/>
        </w:trPr>
        <w:tc>
          <w:tcPr>
            <w:tcW w:w="9720" w:type="dxa"/>
            <w:vAlign w:val="bottom"/>
            <w:vMerge w:val="restart"/>
          </w:tcPr>
          <w:p>
            <w:pPr>
              <w:spacing w:after="0"/>
              <w:rPr>
                <w:sz w:val="20"/>
                <w:szCs w:val="20"/>
                <w:color w:val="auto"/>
              </w:rPr>
            </w:pPr>
            <w:r>
              <w:rPr>
                <w:rFonts w:ascii="Arial" w:cs="Arial" w:eastAsia="Arial" w:hAnsi="Arial"/>
                <w:sz w:val="14"/>
                <w:szCs w:val="14"/>
                <w:color w:val="auto"/>
              </w:rPr>
              <w:t>________</w:t>
            </w: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9720" w:type="dxa"/>
            <w:vAlign w:val="bottom"/>
            <w:vMerge w:val="continue"/>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40" w:hanging="332"/>
        <w:spacing w:after="0" w:line="241"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Includes the adjustments disclosed in Note 16 to GM's condensed consolidated financial statements of Form 10-Q for the quarterly period ended September 30, 2016 and does not consider the potential future impact of adjustments.</w:t>
      </w:r>
    </w:p>
    <w:p>
      <w:pPr>
        <w:ind w:left="340" w:hanging="332"/>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tax effect of each adjustment is determined based on the tax laws and valuation allowance status of the jurisdiction in which the adjustment relates.</w:t>
      </w:r>
    </w:p>
    <w:p>
      <w:pPr>
        <w:spacing w:after="0" w:line="187" w:lineRule="exact"/>
        <w:rPr>
          <w:sz w:val="20"/>
          <w:szCs w:val="20"/>
          <w:color w:val="auto"/>
        </w:rPr>
      </w:pPr>
    </w:p>
    <w:p>
      <w:pPr>
        <w:ind w:right="540" w:firstLine="162"/>
        <w:spacing w:after="0" w:line="260" w:lineRule="auto"/>
        <w:rPr>
          <w:sz w:val="20"/>
          <w:szCs w:val="20"/>
          <w:color w:val="auto"/>
        </w:rPr>
      </w:pPr>
      <w:r>
        <w:rPr>
          <w:rFonts w:ascii="Arial" w:cs="Arial" w:eastAsia="Arial" w:hAnsi="Arial"/>
          <w:sz w:val="16"/>
          <w:szCs w:val="16"/>
          <w:color w:val="auto"/>
        </w:rPr>
        <w:t>The following table reconciles Net automotive cash provided by operating activities under U.S. GAAP to adjusted automotive free cash flow (dollars in millions):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9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ind w:left="300"/>
              <w:spacing w:after="0"/>
              <w:rPr>
                <w:sz w:val="20"/>
                <w:szCs w:val="20"/>
                <w:color w:val="auto"/>
              </w:rPr>
            </w:pPr>
            <w:r>
              <w:rPr>
                <w:rFonts w:ascii="Arial" w:cs="Arial" w:eastAsia="Arial" w:hAnsi="Arial"/>
                <w:sz w:val="13"/>
                <w:szCs w:val="13"/>
                <w:b w:val="1"/>
                <w:bCs w:val="1"/>
                <w:color w:val="auto"/>
                <w:w w:val="99"/>
              </w:rPr>
              <w:t>Three Months Ended</w:t>
            </w:r>
          </w:p>
        </w:tc>
        <w:tc>
          <w:tcPr>
            <w:tcW w:w="6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ind w:left="360"/>
              <w:spacing w:after="0"/>
              <w:rPr>
                <w:sz w:val="20"/>
                <w:szCs w:val="20"/>
                <w:color w:val="auto"/>
              </w:rPr>
            </w:pPr>
            <w:r>
              <w:rPr>
                <w:rFonts w:ascii="Arial" w:cs="Arial" w:eastAsia="Arial" w:hAnsi="Arial"/>
                <w:sz w:val="13"/>
                <w:szCs w:val="13"/>
                <w:b w:val="1"/>
                <w:bCs w:val="1"/>
                <w:color w:val="auto"/>
              </w:rPr>
              <w:t>Nine Months Ended</w:t>
            </w:r>
          </w:p>
        </w:tc>
        <w:tc>
          <w:tcPr>
            <w:tcW w:w="640" w:type="dxa"/>
            <w:vAlign w:val="bottom"/>
            <w:tcBorders>
              <w:bottom w:val="single" w:sz="8" w:color="auto"/>
            </w:tcBorders>
          </w:tcPr>
          <w:p>
            <w:pPr>
              <w:spacing w:after="0"/>
              <w:rPr>
                <w:sz w:val="15"/>
                <w:szCs w:val="15"/>
                <w:color w:val="auto"/>
              </w:rPr>
            </w:pPr>
          </w:p>
        </w:tc>
      </w:tr>
      <w:tr>
        <w:trPr>
          <w:trHeight w:val="264"/>
        </w:trPr>
        <w:tc>
          <w:tcPr>
            <w:tcW w:w="5960" w:type="dxa"/>
            <w:vAlign w:val="bottom"/>
          </w:tcPr>
          <w:p>
            <w:pPr>
              <w:spacing w:after="0"/>
              <w:rPr>
                <w:sz w:val="22"/>
                <w:szCs w:val="22"/>
                <w:color w:val="auto"/>
              </w:rPr>
            </w:pPr>
          </w:p>
        </w:tc>
        <w:tc>
          <w:tcPr>
            <w:tcW w:w="1360" w:type="dxa"/>
            <w:vAlign w:val="bottom"/>
            <w:gridSpan w:val="3"/>
          </w:tcPr>
          <w:p>
            <w:pPr>
              <w:ind w:left="40"/>
              <w:spacing w:after="0"/>
              <w:rPr>
                <w:sz w:val="20"/>
                <w:szCs w:val="20"/>
                <w:color w:val="auto"/>
              </w:rPr>
            </w:pPr>
            <w:r>
              <w:rPr>
                <w:rFonts w:ascii="Arial" w:cs="Arial" w:eastAsia="Arial" w:hAnsi="Arial"/>
                <w:sz w:val="13"/>
                <w:szCs w:val="13"/>
                <w:b w:val="1"/>
                <w:bCs w:val="1"/>
                <w:color w:val="auto"/>
              </w:rPr>
              <w:t>September 30, 2016</w:t>
            </w:r>
          </w:p>
        </w:tc>
        <w:tc>
          <w:tcPr>
            <w:tcW w:w="1480" w:type="dxa"/>
            <w:vAlign w:val="bottom"/>
            <w:gridSpan w:val="3"/>
          </w:tcPr>
          <w:p>
            <w:pPr>
              <w:ind w:left="40"/>
              <w:spacing w:after="0"/>
              <w:rPr>
                <w:sz w:val="20"/>
                <w:szCs w:val="20"/>
                <w:color w:val="auto"/>
              </w:rPr>
            </w:pPr>
            <w:r>
              <w:rPr>
                <w:rFonts w:ascii="Arial" w:cs="Arial" w:eastAsia="Arial" w:hAnsi="Arial"/>
                <w:sz w:val="13"/>
                <w:szCs w:val="13"/>
                <w:b w:val="1"/>
                <w:bCs w:val="1"/>
                <w:color w:val="auto"/>
              </w:rPr>
              <w:t>September 30, 2015</w:t>
            </w:r>
          </w:p>
        </w:tc>
        <w:tc>
          <w:tcPr>
            <w:tcW w:w="1360" w:type="dxa"/>
            <w:vAlign w:val="bottom"/>
            <w:gridSpan w:val="3"/>
          </w:tcPr>
          <w:p>
            <w:pPr>
              <w:ind w:left="40"/>
              <w:spacing w:after="0"/>
              <w:rPr>
                <w:sz w:val="20"/>
                <w:szCs w:val="20"/>
                <w:color w:val="auto"/>
              </w:rPr>
            </w:pPr>
            <w:r>
              <w:rPr>
                <w:rFonts w:ascii="Arial" w:cs="Arial" w:eastAsia="Arial" w:hAnsi="Arial"/>
                <w:sz w:val="13"/>
                <w:szCs w:val="13"/>
                <w:b w:val="1"/>
                <w:bCs w:val="1"/>
                <w:color w:val="auto"/>
              </w:rPr>
              <w:t>September 30, 2016</w:t>
            </w:r>
          </w:p>
        </w:tc>
        <w:tc>
          <w:tcPr>
            <w:tcW w:w="1260" w:type="dxa"/>
            <w:vAlign w:val="bottom"/>
            <w:gridSpan w:val="2"/>
          </w:tcPr>
          <w:p>
            <w:pPr>
              <w:ind w:left="40"/>
              <w:spacing w:after="0"/>
              <w:rPr>
                <w:sz w:val="20"/>
                <w:szCs w:val="20"/>
                <w:color w:val="auto"/>
              </w:rPr>
            </w:pPr>
            <w:r>
              <w:rPr>
                <w:rFonts w:ascii="Arial" w:cs="Arial" w:eastAsia="Arial" w:hAnsi="Arial"/>
                <w:sz w:val="13"/>
                <w:szCs w:val="13"/>
                <w:b w:val="1"/>
                <w:bCs w:val="1"/>
                <w:color w:val="auto"/>
                <w:w w:val="98"/>
              </w:rPr>
              <w:t>September 30, 2015</w:t>
            </w:r>
          </w:p>
        </w:tc>
      </w:tr>
      <w:tr>
        <w:trPr>
          <w:trHeight w:val="257"/>
        </w:trPr>
        <w:tc>
          <w:tcPr>
            <w:tcW w:w="59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automotive cash provided by operating activities</w:t>
            </w:r>
          </w:p>
        </w:tc>
        <w:tc>
          <w:tcPr>
            <w:tcW w:w="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5,753</w:t>
            </w:r>
          </w:p>
        </w:tc>
        <w:tc>
          <w:tcPr>
            <w:tcW w:w="100" w:type="dxa"/>
            <w:vAlign w:val="bottom"/>
            <w:tcBorders>
              <w:top w:val="single" w:sz="8" w:color="CCEEFF"/>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2,643</w:t>
            </w:r>
          </w:p>
        </w:tc>
        <w:tc>
          <w:tcPr>
            <w:tcW w:w="22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10,021</w:t>
            </w:r>
          </w:p>
        </w:tc>
        <w:tc>
          <w:tcPr>
            <w:tcW w:w="100" w:type="dxa"/>
            <w:vAlign w:val="bottom"/>
            <w:tcBorders>
              <w:top w:val="single" w:sz="8" w:color="CCEEFF"/>
            </w:tcBorders>
            <w:shd w:val="clear" w:color="auto" w:fill="CCEEFF"/>
          </w:tcPr>
          <w:p>
            <w:pPr>
              <w:spacing w:after="0"/>
              <w:rPr>
                <w:sz w:val="22"/>
                <w:szCs w:val="22"/>
                <w:color w:val="auto"/>
              </w:rPr>
            </w:pPr>
          </w:p>
        </w:tc>
        <w:tc>
          <w:tcPr>
            <w:tcW w:w="6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7,760</w:t>
            </w:r>
          </w:p>
        </w:tc>
      </w:tr>
      <w:tr>
        <w:trPr>
          <w:trHeight w:val="260"/>
        </w:trPr>
        <w:tc>
          <w:tcPr>
            <w:tcW w:w="5960" w:type="dxa"/>
            <w:vAlign w:val="bottom"/>
          </w:tcPr>
          <w:p>
            <w:pPr>
              <w:ind w:left="40"/>
              <w:spacing w:after="0"/>
              <w:rPr>
                <w:sz w:val="20"/>
                <w:szCs w:val="20"/>
                <w:color w:val="auto"/>
              </w:rPr>
            </w:pPr>
            <w:r>
              <w:rPr>
                <w:rFonts w:ascii="Arial" w:cs="Arial" w:eastAsia="Arial" w:hAnsi="Arial"/>
                <w:sz w:val="16"/>
                <w:szCs w:val="16"/>
                <w:color w:val="auto"/>
              </w:rPr>
              <w:t>Capital expenditures</w:t>
            </w:r>
          </w:p>
        </w:tc>
        <w:tc>
          <w:tcPr>
            <w:tcW w:w="4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(2,272)</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(1,815)</w:t>
            </w: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(6,835)</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(5,260)</w:t>
            </w:r>
          </w:p>
        </w:tc>
      </w:tr>
      <w:tr>
        <w:trPr>
          <w:trHeight w:val="273"/>
        </w:trPr>
        <w:tc>
          <w:tcPr>
            <w:tcW w:w="5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 – discretionary pension plan contributions</w:t>
            </w:r>
          </w:p>
        </w:tc>
        <w:tc>
          <w:tcPr>
            <w:tcW w:w="40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1,982</w:t>
            </w: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0"/>
        </w:trPr>
        <w:tc>
          <w:tcPr>
            <w:tcW w:w="5960" w:type="dxa"/>
            <w:vAlign w:val="bottom"/>
          </w:tcPr>
          <w:p>
            <w:pPr>
              <w:ind w:left="40"/>
              <w:spacing w:after="0"/>
              <w:rPr>
                <w:sz w:val="20"/>
                <w:szCs w:val="20"/>
                <w:color w:val="auto"/>
              </w:rPr>
            </w:pPr>
            <w:r>
              <w:rPr>
                <w:rFonts w:ascii="Arial" w:cs="Arial" w:eastAsia="Arial" w:hAnsi="Arial"/>
                <w:sz w:val="16"/>
                <w:szCs w:val="16"/>
                <w:color w:val="auto"/>
              </w:rPr>
              <w:t>Adjusted automotive free cash flow</w:t>
            </w:r>
          </w:p>
        </w:tc>
        <w:tc>
          <w:tcPr>
            <w:tcW w:w="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3,481</w:t>
            </w:r>
          </w:p>
        </w:tc>
        <w:tc>
          <w:tcPr>
            <w:tcW w:w="100" w:type="dxa"/>
            <w:vAlign w:val="bottom"/>
          </w:tcPr>
          <w:p>
            <w:pPr>
              <w:spacing w:after="0"/>
              <w:rPr>
                <w:sz w:val="20"/>
                <w:szCs w:val="20"/>
                <w:color w:val="auto"/>
              </w:rPr>
            </w:pPr>
          </w:p>
        </w:tc>
        <w:tc>
          <w:tcPr>
            <w:tcW w:w="6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828</w:t>
            </w:r>
          </w:p>
        </w:tc>
        <w:tc>
          <w:tcPr>
            <w:tcW w:w="220" w:type="dxa"/>
            <w:vAlign w:val="bottom"/>
          </w:tcPr>
          <w:p>
            <w:pPr>
              <w:spacing w:after="0"/>
              <w:rPr>
                <w:sz w:val="20"/>
                <w:szCs w:val="20"/>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5,168</w:t>
            </w:r>
          </w:p>
        </w:tc>
        <w:tc>
          <w:tcPr>
            <w:tcW w:w="100" w:type="dxa"/>
            <w:vAlign w:val="bottom"/>
          </w:tcPr>
          <w:p>
            <w:pPr>
              <w:spacing w:after="0"/>
              <w:rPr>
                <w:sz w:val="20"/>
                <w:szCs w:val="20"/>
                <w:color w:val="auto"/>
              </w:rPr>
            </w:pPr>
          </w:p>
        </w:tc>
        <w:tc>
          <w:tcPr>
            <w:tcW w:w="6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2,500</w:t>
            </w:r>
          </w:p>
        </w:tc>
      </w:tr>
      <w:tr>
        <w:trPr>
          <w:trHeight w:val="20"/>
        </w:trPr>
        <w:tc>
          <w:tcPr>
            <w:tcW w:w="59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581" w:right="239" w:bottom="1440" w:gutter="0" w:footer="0" w:header="0"/>
          <w:type w:val="continuous"/>
        </w:sectPr>
      </w:pPr>
    </w:p>
    <w:bookmarkStart w:id="11" w:name="page12"/>
    <w:bookmarkEnd w:id="11"/>
    <w:p>
      <w:pPr>
        <w:jc w:val="center"/>
        <w:ind w:left="98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left="980"/>
        <w:spacing w:after="0"/>
        <w:rPr>
          <w:sz w:val="20"/>
          <w:szCs w:val="20"/>
          <w:color w:val="auto"/>
        </w:rPr>
      </w:pPr>
      <w:r>
        <w:rPr>
          <w:rFonts w:ascii="Arial" w:cs="Arial" w:eastAsia="Arial" w:hAnsi="Arial"/>
          <w:sz w:val="16"/>
          <w:szCs w:val="16"/>
          <w:b w:val="1"/>
          <w:bCs w:val="1"/>
          <w:color w:val="auto"/>
        </w:rPr>
        <w:t>Supplemental Material</w:t>
      </w:r>
    </w:p>
    <w:p>
      <w:pPr>
        <w:spacing w:after="0" w:line="5" w:lineRule="exact"/>
        <w:rPr>
          <w:sz w:val="20"/>
          <w:szCs w:val="20"/>
          <w:color w:val="auto"/>
        </w:rPr>
      </w:pPr>
    </w:p>
    <w:p>
      <w:pPr>
        <w:jc w:val="center"/>
        <w:ind w:left="980"/>
        <w:spacing w:after="0"/>
        <w:rPr>
          <w:sz w:val="20"/>
          <w:szCs w:val="20"/>
          <w:color w:val="auto"/>
        </w:rPr>
      </w:pPr>
      <w:r>
        <w:rPr>
          <w:rFonts w:ascii="Arial" w:cs="Arial" w:eastAsia="Arial" w:hAnsi="Arial"/>
          <w:sz w:val="16"/>
          <w:szCs w:val="16"/>
          <w:i w:val="1"/>
          <w:iCs w:val="1"/>
          <w:color w:val="auto"/>
        </w:rPr>
        <w:t>(Unaudited)</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key financial information by segment (dollars in millions):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Total</w:t>
            </w:r>
          </w:p>
        </w:tc>
        <w:tc>
          <w:tcPr>
            <w:tcW w:w="120" w:type="dxa"/>
            <w:vAlign w:val="bottom"/>
          </w:tcPr>
          <w:p>
            <w:pPr>
              <w:spacing w:after="0"/>
              <w:rPr>
                <w:sz w:val="10"/>
                <w:szCs w:val="10"/>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0"/>
              </w:rPr>
              <w:t>GM</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GMNA</w:t>
            </w:r>
          </w:p>
        </w:tc>
        <w:tc>
          <w:tcPr>
            <w:tcW w:w="160" w:type="dxa"/>
            <w:vAlign w:val="bottom"/>
          </w:tcPr>
          <w:p>
            <w:pPr>
              <w:spacing w:after="0"/>
              <w:rPr>
                <w:sz w:val="12"/>
                <w:szCs w:val="12"/>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GME</w:t>
            </w:r>
          </w:p>
        </w:tc>
        <w:tc>
          <w:tcPr>
            <w:tcW w:w="120" w:type="dxa"/>
            <w:vAlign w:val="bottom"/>
          </w:tcPr>
          <w:p>
            <w:pPr>
              <w:spacing w:after="0"/>
              <w:rPr>
                <w:sz w:val="12"/>
                <w:szCs w:val="12"/>
                <w:color w:val="auto"/>
              </w:rPr>
            </w:pPr>
          </w:p>
        </w:tc>
        <w:tc>
          <w:tcPr>
            <w:tcW w:w="600" w:type="dxa"/>
            <w:vAlign w:val="bottom"/>
            <w:gridSpan w:val="2"/>
          </w:tcPr>
          <w:p>
            <w:pPr>
              <w:ind w:left="40"/>
              <w:spacing w:after="0"/>
              <w:rPr>
                <w:sz w:val="20"/>
                <w:szCs w:val="20"/>
                <w:color w:val="auto"/>
              </w:rPr>
            </w:pPr>
            <w:r>
              <w:rPr>
                <w:rFonts w:ascii="Arial" w:cs="Arial" w:eastAsia="Arial" w:hAnsi="Arial"/>
                <w:sz w:val="11"/>
                <w:szCs w:val="11"/>
                <w:b w:val="1"/>
                <w:bCs w:val="1"/>
                <w:color w:val="auto"/>
              </w:rPr>
              <w:t>GMIO</w:t>
            </w:r>
          </w:p>
        </w:tc>
        <w:tc>
          <w:tcPr>
            <w:tcW w:w="100" w:type="dxa"/>
            <w:vAlign w:val="bottom"/>
          </w:tcPr>
          <w:p>
            <w:pPr>
              <w:spacing w:after="0"/>
              <w:rPr>
                <w:sz w:val="12"/>
                <w:szCs w:val="12"/>
                <w:color w:val="auto"/>
              </w:rPr>
            </w:pP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GMSA</w:t>
            </w:r>
          </w:p>
        </w:tc>
        <w:tc>
          <w:tcPr>
            <w:tcW w:w="100" w:type="dxa"/>
            <w:vAlign w:val="bottom"/>
          </w:tcPr>
          <w:p>
            <w:pPr>
              <w:spacing w:after="0"/>
              <w:rPr>
                <w:sz w:val="12"/>
                <w:szCs w:val="12"/>
                <w:color w:val="auto"/>
              </w:rPr>
            </w:pP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Corporate</w:t>
            </w:r>
          </w:p>
        </w:tc>
        <w:tc>
          <w:tcPr>
            <w:tcW w:w="120" w:type="dxa"/>
            <w:vAlign w:val="bottom"/>
          </w:tcPr>
          <w:p>
            <w:pPr>
              <w:spacing w:after="0"/>
              <w:rPr>
                <w:sz w:val="12"/>
                <w:szCs w:val="12"/>
                <w:color w:val="auto"/>
              </w:rPr>
            </w:pP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12"/>
                <w:szCs w:val="12"/>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9"/>
              </w:rPr>
              <w:t>Automotive</w:t>
            </w:r>
          </w:p>
        </w:tc>
        <w:tc>
          <w:tcPr>
            <w:tcW w:w="120" w:type="dxa"/>
            <w:vAlign w:val="bottom"/>
          </w:tcPr>
          <w:p>
            <w:pPr>
              <w:spacing w:after="0"/>
              <w:rPr>
                <w:sz w:val="12"/>
                <w:szCs w:val="12"/>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Financial</w:t>
            </w:r>
          </w:p>
        </w:tc>
        <w:tc>
          <w:tcPr>
            <w:tcW w:w="100" w:type="dxa"/>
            <w:vAlign w:val="bottom"/>
          </w:tcPr>
          <w:p>
            <w:pPr>
              <w:spacing w:after="0"/>
              <w:rPr>
                <w:sz w:val="12"/>
                <w:szCs w:val="12"/>
                <w:color w:val="auto"/>
              </w:rPr>
            </w:pP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Eliminations</w:t>
            </w:r>
          </w:p>
        </w:tc>
        <w:tc>
          <w:tcPr>
            <w:tcW w:w="140" w:type="dxa"/>
            <w:vAlign w:val="bottom"/>
          </w:tcPr>
          <w:p>
            <w:pPr>
              <w:spacing w:after="0"/>
              <w:rPr>
                <w:sz w:val="12"/>
                <w:szCs w:val="12"/>
                <w:color w:val="auto"/>
              </w:rPr>
            </w:pPr>
          </w:p>
        </w:tc>
        <w:tc>
          <w:tcPr>
            <w:tcW w:w="520" w:type="dxa"/>
            <w:vAlign w:val="bottom"/>
          </w:tcPr>
          <w:p>
            <w:pPr>
              <w:jc w:val="right"/>
              <w:ind w:right="146"/>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22"/>
        </w:trPr>
        <w:tc>
          <w:tcPr>
            <w:tcW w:w="288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Three Months Ended September 30, 2016</w:t>
            </w: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28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sales and 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31,078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4,225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2,963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2,029</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40,334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2,499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42,825</w:t>
            </w:r>
          </w:p>
        </w:tc>
        <w:tc>
          <w:tcPr>
            <w:tcW w:w="0" w:type="dxa"/>
            <w:vAlign w:val="bottom"/>
          </w:tcPr>
          <w:p>
            <w:pPr>
              <w:spacing w:after="0"/>
              <w:rPr>
                <w:sz w:val="1"/>
                <w:szCs w:val="1"/>
                <w:color w:val="auto"/>
              </w:rPr>
            </w:pPr>
          </w:p>
        </w:tc>
      </w:tr>
      <w:tr>
        <w:trPr>
          <w:trHeight w:val="248"/>
        </w:trPr>
        <w:tc>
          <w:tcPr>
            <w:tcW w:w="2880" w:type="dxa"/>
            <w:vAlign w:val="bottom"/>
          </w:tcPr>
          <w:p>
            <w:pPr>
              <w:ind w:left="40"/>
              <w:spacing w:after="0"/>
              <w:rPr>
                <w:sz w:val="20"/>
                <w:szCs w:val="20"/>
                <w:color w:val="auto"/>
              </w:rPr>
            </w:pPr>
            <w:r>
              <w:rPr>
                <w:rFonts w:ascii="Arial" w:cs="Arial" w:eastAsia="Arial" w:hAnsi="Arial"/>
                <w:sz w:val="11"/>
                <w:szCs w:val="11"/>
                <w:color w:val="auto"/>
              </w:rPr>
              <w:t>Expenditures for property</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1,850</w:t>
            </w:r>
          </w:p>
        </w:tc>
        <w:tc>
          <w:tcPr>
            <w:tcW w:w="120" w:type="dxa"/>
            <w:vAlign w:val="bottom"/>
          </w:tcPr>
          <w:p>
            <w:pPr>
              <w:spacing w:after="0"/>
              <w:rPr>
                <w:sz w:val="21"/>
                <w:szCs w:val="21"/>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223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123</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75</w:t>
            </w:r>
          </w:p>
        </w:tc>
        <w:tc>
          <w:tcPr>
            <w:tcW w:w="1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2,272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24</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46"/>
              <w:spacing w:after="0"/>
              <w:rPr>
                <w:sz w:val="20"/>
                <w:szCs w:val="20"/>
                <w:color w:val="auto"/>
              </w:rPr>
            </w:pPr>
            <w:r>
              <w:rPr>
                <w:rFonts w:ascii="Arial" w:cs="Arial" w:eastAsia="Arial" w:hAnsi="Arial"/>
                <w:sz w:val="11"/>
                <w:szCs w:val="11"/>
                <w:color w:val="auto"/>
              </w:rPr>
              <w:t>2,296</w:t>
            </w:r>
          </w:p>
        </w:tc>
        <w:tc>
          <w:tcPr>
            <w:tcW w:w="0" w:type="dxa"/>
            <w:vAlign w:val="bottom"/>
          </w:tcPr>
          <w:p>
            <w:pPr>
              <w:spacing w:after="0"/>
              <w:rPr>
                <w:sz w:val="1"/>
                <w:szCs w:val="1"/>
                <w:color w:val="auto"/>
              </w:rPr>
            </w:pPr>
          </w:p>
        </w:tc>
      </w:tr>
      <w:tr>
        <w:trPr>
          <w:trHeight w:val="22"/>
        </w:trPr>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Depreciation and amortization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75</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1,394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1,257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2,651</w:t>
            </w:r>
          </w:p>
        </w:tc>
        <w:tc>
          <w:tcPr>
            <w:tcW w:w="0" w:type="dxa"/>
            <w:vAlign w:val="bottom"/>
          </w:tcPr>
          <w:p>
            <w:pPr>
              <w:spacing w:after="0"/>
              <w:rPr>
                <w:sz w:val="1"/>
                <w:szCs w:val="1"/>
                <w:color w:val="auto"/>
              </w:rPr>
            </w:pPr>
          </w:p>
        </w:tc>
      </w:tr>
      <w:tr>
        <w:trPr>
          <w:trHeight w:val="248"/>
        </w:trPr>
        <w:tc>
          <w:tcPr>
            <w:tcW w:w="2880" w:type="dxa"/>
            <w:vAlign w:val="bottom"/>
          </w:tcPr>
          <w:p>
            <w:pPr>
              <w:ind w:left="40"/>
              <w:spacing w:after="0"/>
              <w:rPr>
                <w:sz w:val="20"/>
                <w:szCs w:val="20"/>
                <w:color w:val="auto"/>
              </w:rPr>
            </w:pPr>
            <w:r>
              <w:rPr>
                <w:rFonts w:ascii="Arial" w:cs="Arial" w:eastAsia="Arial" w:hAnsi="Arial"/>
                <w:sz w:val="11"/>
                <w:szCs w:val="11"/>
                <w:color w:val="auto"/>
              </w:rPr>
              <w:t>Impairment charges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30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46"/>
              <w:spacing w:after="0"/>
              <w:rPr>
                <w:sz w:val="20"/>
                <w:szCs w:val="20"/>
                <w:color w:val="auto"/>
              </w:rPr>
            </w:pPr>
            <w:r>
              <w:rPr>
                <w:rFonts w:ascii="Arial" w:cs="Arial" w:eastAsia="Arial" w:hAnsi="Arial"/>
                <w:sz w:val="11"/>
                <w:szCs w:val="11"/>
                <w:color w:val="auto"/>
              </w:rPr>
              <w:t>35</w:t>
            </w:r>
          </w:p>
        </w:tc>
        <w:tc>
          <w:tcPr>
            <w:tcW w:w="0" w:type="dxa"/>
            <w:vAlign w:val="bottom"/>
          </w:tcPr>
          <w:p>
            <w:pPr>
              <w:spacing w:after="0"/>
              <w:rPr>
                <w:sz w:val="1"/>
                <w:szCs w:val="1"/>
                <w:color w:val="auto"/>
              </w:rPr>
            </w:pPr>
          </w:p>
        </w:tc>
      </w:tr>
      <w:tr>
        <w:trPr>
          <w:trHeight w:val="22"/>
        </w:trPr>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880" w:type="dxa"/>
            <w:vAlign w:val="bottom"/>
            <w:shd w:val="clear" w:color="auto" w:fill="CCEEFF"/>
          </w:tcPr>
          <w:p>
            <w:pPr>
              <w:ind w:left="40"/>
              <w:spacing w:after="0"/>
              <w:rPr>
                <w:sz w:val="20"/>
                <w:szCs w:val="20"/>
                <w:color w:val="auto"/>
              </w:rPr>
            </w:pPr>
            <w:r>
              <w:rPr>
                <w:rFonts w:ascii="Arial" w:cs="Arial" w:eastAsia="Arial" w:hAnsi="Arial"/>
                <w:sz w:val="11"/>
                <w:szCs w:val="11"/>
                <w:color w:val="auto"/>
              </w:rPr>
              <w:t>Equity income(a)</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458</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461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36</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5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497</w:t>
            </w:r>
          </w:p>
        </w:tc>
        <w:tc>
          <w:tcPr>
            <w:tcW w:w="0" w:type="dxa"/>
            <w:vAlign w:val="bottom"/>
          </w:tcPr>
          <w:p>
            <w:pPr>
              <w:spacing w:after="0"/>
              <w:rPr>
                <w:sz w:val="1"/>
                <w:szCs w:val="1"/>
                <w:color w:val="auto"/>
              </w:rPr>
            </w:pPr>
          </w:p>
        </w:tc>
      </w:tr>
      <w:tr>
        <w:trPr>
          <w:trHeight w:val="22"/>
        </w:trPr>
        <w:tc>
          <w:tcPr>
            <w:tcW w:w="28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2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center"/>
              <w:ind w:right="220"/>
              <w:spacing w:after="0"/>
              <w:rPr>
                <w:sz w:val="20"/>
                <w:szCs w:val="20"/>
                <w:color w:val="auto"/>
              </w:rPr>
            </w:pPr>
            <w:r>
              <w:rPr>
                <w:rFonts w:ascii="Arial" w:cs="Arial" w:eastAsia="Arial" w:hAnsi="Arial"/>
                <w:sz w:val="11"/>
                <w:szCs w:val="11"/>
                <w:b w:val="1"/>
                <w:bCs w:val="1"/>
                <w:color w:val="auto"/>
                <w:w w:val="98"/>
              </w:rPr>
              <w:t>Total</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center"/>
              <w:ind w:right="220"/>
              <w:spacing w:after="0"/>
              <w:rPr>
                <w:sz w:val="20"/>
                <w:szCs w:val="20"/>
                <w:color w:val="auto"/>
              </w:rPr>
            </w:pPr>
            <w:r>
              <w:rPr>
                <w:rFonts w:ascii="Arial" w:cs="Arial" w:eastAsia="Arial" w:hAnsi="Arial"/>
                <w:sz w:val="11"/>
                <w:szCs w:val="11"/>
                <w:b w:val="1"/>
                <w:bCs w:val="1"/>
                <w:color w:val="auto"/>
                <w:w w:val="90"/>
              </w:rPr>
              <w:t>GM</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164"/>
        </w:trPr>
        <w:tc>
          <w:tcPr>
            <w:tcW w:w="28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1"/>
                <w:szCs w:val="11"/>
                <w:b w:val="1"/>
                <w:bCs w:val="1"/>
                <w:color w:val="auto"/>
              </w:rPr>
              <w:t>GMNA</w:t>
            </w: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1"/>
                <w:szCs w:val="11"/>
                <w:b w:val="1"/>
                <w:bCs w:val="1"/>
                <w:color w:val="auto"/>
              </w:rPr>
              <w:t>GME</w:t>
            </w:r>
          </w:p>
        </w:tc>
        <w:tc>
          <w:tcPr>
            <w:tcW w:w="1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b w:val="1"/>
                <w:bCs w:val="1"/>
                <w:color w:val="auto"/>
              </w:rPr>
              <w:t>GMIO</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GMSA</w:t>
            </w: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b w:val="1"/>
                <w:bCs w:val="1"/>
                <w:color w:val="auto"/>
              </w:rPr>
              <w:t>Corporate</w:t>
            </w:r>
          </w:p>
        </w:tc>
        <w:tc>
          <w:tcPr>
            <w:tcW w:w="12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1"/>
                <w:szCs w:val="11"/>
                <w:b w:val="1"/>
                <w:bCs w:val="1"/>
                <w:color w:val="auto"/>
                <w:w w:val="99"/>
              </w:rPr>
              <w:t>Automotive</w:t>
            </w: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1"/>
                <w:szCs w:val="11"/>
                <w:b w:val="1"/>
                <w:bCs w:val="1"/>
                <w:color w:val="auto"/>
              </w:rPr>
              <w:t>Financial</w:t>
            </w:r>
          </w:p>
        </w:tc>
        <w:tc>
          <w:tcPr>
            <w:tcW w:w="1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Eliminations</w:t>
            </w:r>
          </w:p>
        </w:tc>
        <w:tc>
          <w:tcPr>
            <w:tcW w:w="14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ind w:right="146"/>
              <w:spacing w:after="0"/>
              <w:rPr>
                <w:sz w:val="20"/>
                <w:szCs w:val="20"/>
                <w:color w:val="auto"/>
              </w:rPr>
            </w:pPr>
            <w:r>
              <w:rPr>
                <w:rFonts w:ascii="Arial" w:cs="Arial" w:eastAsia="Arial" w:hAnsi="Arial"/>
                <w:sz w:val="11"/>
                <w:szCs w:val="11"/>
                <w:b w:val="1"/>
                <w:bCs w:val="1"/>
                <w:color w:val="auto"/>
              </w:rPr>
              <w:t>Total</w:t>
            </w:r>
          </w:p>
        </w:tc>
      </w:tr>
      <w:tr>
        <w:trPr>
          <w:trHeight w:val="242"/>
        </w:trPr>
        <w:tc>
          <w:tcPr>
            <w:tcW w:w="2880" w:type="dxa"/>
            <w:vAlign w:val="bottom"/>
          </w:tcPr>
          <w:p>
            <w:pPr>
              <w:ind w:left="40"/>
              <w:spacing w:after="0"/>
              <w:rPr>
                <w:sz w:val="20"/>
                <w:szCs w:val="20"/>
                <w:color w:val="auto"/>
              </w:rPr>
            </w:pPr>
            <w:r>
              <w:rPr>
                <w:rFonts w:ascii="Arial" w:cs="Arial" w:eastAsia="Arial" w:hAnsi="Arial"/>
                <w:sz w:val="11"/>
                <w:szCs w:val="11"/>
                <w:b w:val="1"/>
                <w:bCs w:val="1"/>
                <w:color w:val="auto"/>
              </w:rPr>
              <w:t>Three Months Ended September 30, 2015</w:t>
            </w: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r>
      <w:tr>
        <w:trPr>
          <w:trHeight w:val="22"/>
        </w:trPr>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sales and 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27,794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4,556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3,016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1,738</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37,140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1,707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38,843</w:t>
            </w:r>
          </w:p>
        </w:tc>
      </w:tr>
      <w:tr>
        <w:trPr>
          <w:trHeight w:val="248"/>
        </w:trPr>
        <w:tc>
          <w:tcPr>
            <w:tcW w:w="2880" w:type="dxa"/>
            <w:vAlign w:val="bottom"/>
          </w:tcPr>
          <w:p>
            <w:pPr>
              <w:ind w:left="40"/>
              <w:spacing w:after="0"/>
              <w:rPr>
                <w:sz w:val="20"/>
                <w:szCs w:val="20"/>
                <w:color w:val="auto"/>
              </w:rPr>
            </w:pPr>
            <w:r>
              <w:rPr>
                <w:rFonts w:ascii="Arial" w:cs="Arial" w:eastAsia="Arial" w:hAnsi="Arial"/>
                <w:sz w:val="11"/>
                <w:szCs w:val="11"/>
                <w:color w:val="auto"/>
              </w:rPr>
              <w:t>Expenditures for property</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1,352</w:t>
            </w:r>
          </w:p>
        </w:tc>
        <w:tc>
          <w:tcPr>
            <w:tcW w:w="120" w:type="dxa"/>
            <w:vAlign w:val="bottom"/>
          </w:tcPr>
          <w:p>
            <w:pPr>
              <w:spacing w:after="0"/>
              <w:rPr>
                <w:sz w:val="21"/>
                <w:szCs w:val="21"/>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210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83</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115</w:t>
            </w:r>
          </w:p>
        </w:tc>
        <w:tc>
          <w:tcPr>
            <w:tcW w:w="1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55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1,815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20</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46"/>
              <w:spacing w:after="0"/>
              <w:rPr>
                <w:sz w:val="20"/>
                <w:szCs w:val="20"/>
                <w:color w:val="auto"/>
              </w:rPr>
            </w:pPr>
            <w:r>
              <w:rPr>
                <w:rFonts w:ascii="Arial" w:cs="Arial" w:eastAsia="Arial" w:hAnsi="Arial"/>
                <w:sz w:val="11"/>
                <w:szCs w:val="11"/>
                <w:color w:val="auto"/>
              </w:rPr>
              <w:t>1,835</w:t>
            </w:r>
          </w:p>
        </w:tc>
      </w:tr>
      <w:tr>
        <w:trPr>
          <w:trHeight w:val="22"/>
        </w:trPr>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Depreciation and amortization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56</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657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1,878</w:t>
            </w:r>
          </w:p>
        </w:tc>
      </w:tr>
      <w:tr>
        <w:trPr>
          <w:trHeight w:val="248"/>
        </w:trPr>
        <w:tc>
          <w:tcPr>
            <w:tcW w:w="2880" w:type="dxa"/>
            <w:vAlign w:val="bottom"/>
          </w:tcPr>
          <w:p>
            <w:pPr>
              <w:ind w:left="40"/>
              <w:spacing w:after="0"/>
              <w:rPr>
                <w:sz w:val="20"/>
                <w:szCs w:val="20"/>
                <w:color w:val="auto"/>
              </w:rPr>
            </w:pPr>
            <w:r>
              <w:rPr>
                <w:rFonts w:ascii="Arial" w:cs="Arial" w:eastAsia="Arial" w:hAnsi="Arial"/>
                <w:sz w:val="11"/>
                <w:szCs w:val="11"/>
                <w:color w:val="auto"/>
              </w:rPr>
              <w:t>Impairment charges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81</w:t>
            </w:r>
          </w:p>
        </w:tc>
        <w:tc>
          <w:tcPr>
            <w:tcW w:w="120" w:type="dxa"/>
            <w:vAlign w:val="bottom"/>
          </w:tcPr>
          <w:p>
            <w:pPr>
              <w:spacing w:after="0"/>
              <w:rPr>
                <w:sz w:val="21"/>
                <w:szCs w:val="21"/>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15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7</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103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46"/>
              <w:spacing w:after="0"/>
              <w:rPr>
                <w:sz w:val="20"/>
                <w:szCs w:val="20"/>
                <w:color w:val="auto"/>
              </w:rPr>
            </w:pPr>
            <w:r>
              <w:rPr>
                <w:rFonts w:ascii="Arial" w:cs="Arial" w:eastAsia="Arial" w:hAnsi="Arial"/>
                <w:sz w:val="11"/>
                <w:szCs w:val="11"/>
                <w:color w:val="auto"/>
              </w:rPr>
              <w:t>103</w:t>
            </w:r>
          </w:p>
        </w:tc>
      </w:tr>
      <w:tr>
        <w:trPr>
          <w:trHeight w:val="22"/>
        </w:trPr>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48"/>
        </w:trPr>
        <w:tc>
          <w:tcPr>
            <w:tcW w:w="2880" w:type="dxa"/>
            <w:vAlign w:val="bottom"/>
            <w:shd w:val="clear" w:color="auto" w:fill="CCEEFF"/>
          </w:tcPr>
          <w:p>
            <w:pPr>
              <w:ind w:left="40"/>
              <w:spacing w:after="0"/>
              <w:rPr>
                <w:sz w:val="20"/>
                <w:szCs w:val="20"/>
                <w:color w:val="auto"/>
              </w:rPr>
            </w:pPr>
            <w:r>
              <w:rPr>
                <w:rFonts w:ascii="Arial" w:cs="Arial" w:eastAsia="Arial" w:hAnsi="Arial"/>
                <w:sz w:val="11"/>
                <w:szCs w:val="11"/>
                <w:color w:val="auto"/>
              </w:rPr>
              <w:t>Equity income(a)</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467</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472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30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5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502</w:t>
            </w:r>
          </w:p>
        </w:tc>
      </w:tr>
      <w:tr>
        <w:trPr>
          <w:trHeight w:val="22"/>
        </w:trPr>
        <w:tc>
          <w:tcPr>
            <w:tcW w:w="28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2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center"/>
              <w:ind w:right="220"/>
              <w:spacing w:after="0"/>
              <w:rPr>
                <w:sz w:val="20"/>
                <w:szCs w:val="20"/>
                <w:color w:val="auto"/>
              </w:rPr>
            </w:pPr>
            <w:r>
              <w:rPr>
                <w:rFonts w:ascii="Arial" w:cs="Arial" w:eastAsia="Arial" w:hAnsi="Arial"/>
                <w:sz w:val="11"/>
                <w:szCs w:val="11"/>
                <w:b w:val="1"/>
                <w:bCs w:val="1"/>
                <w:color w:val="auto"/>
                <w:w w:val="98"/>
              </w:rPr>
              <w:t>Total</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center"/>
              <w:ind w:right="220"/>
              <w:spacing w:after="0"/>
              <w:rPr>
                <w:sz w:val="20"/>
                <w:szCs w:val="20"/>
                <w:color w:val="auto"/>
              </w:rPr>
            </w:pPr>
            <w:r>
              <w:rPr>
                <w:rFonts w:ascii="Arial" w:cs="Arial" w:eastAsia="Arial" w:hAnsi="Arial"/>
                <w:sz w:val="11"/>
                <w:szCs w:val="11"/>
                <w:b w:val="1"/>
                <w:bCs w:val="1"/>
                <w:color w:val="auto"/>
                <w:w w:val="90"/>
              </w:rPr>
              <w:t>GM</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64"/>
        </w:trPr>
        <w:tc>
          <w:tcPr>
            <w:tcW w:w="28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1"/>
                <w:szCs w:val="11"/>
                <w:b w:val="1"/>
                <w:bCs w:val="1"/>
                <w:color w:val="auto"/>
              </w:rPr>
              <w:t>GMNA</w:t>
            </w: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1"/>
                <w:szCs w:val="11"/>
                <w:b w:val="1"/>
                <w:bCs w:val="1"/>
                <w:color w:val="auto"/>
              </w:rPr>
              <w:t>GME</w:t>
            </w:r>
          </w:p>
        </w:tc>
        <w:tc>
          <w:tcPr>
            <w:tcW w:w="1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b w:val="1"/>
                <w:bCs w:val="1"/>
                <w:color w:val="auto"/>
              </w:rPr>
              <w:t>GMIO</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GMSA</w:t>
            </w: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b w:val="1"/>
                <w:bCs w:val="1"/>
                <w:color w:val="auto"/>
              </w:rPr>
              <w:t>Corporate</w:t>
            </w:r>
          </w:p>
        </w:tc>
        <w:tc>
          <w:tcPr>
            <w:tcW w:w="12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1"/>
                <w:szCs w:val="11"/>
                <w:b w:val="1"/>
                <w:bCs w:val="1"/>
                <w:color w:val="auto"/>
                <w:w w:val="99"/>
              </w:rPr>
              <w:t>Automotive</w:t>
            </w: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1"/>
                <w:szCs w:val="11"/>
                <w:b w:val="1"/>
                <w:bCs w:val="1"/>
                <w:color w:val="auto"/>
              </w:rPr>
              <w:t>Financial</w:t>
            </w:r>
          </w:p>
        </w:tc>
        <w:tc>
          <w:tcPr>
            <w:tcW w:w="1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ind w:right="146"/>
              <w:spacing w:after="0"/>
              <w:rPr>
                <w:sz w:val="20"/>
                <w:szCs w:val="20"/>
                <w:color w:val="auto"/>
              </w:rPr>
            </w:pPr>
            <w:r>
              <w:rPr>
                <w:rFonts w:ascii="Arial" w:cs="Arial" w:eastAsia="Arial" w:hAnsi="Arial"/>
                <w:sz w:val="11"/>
                <w:szCs w:val="11"/>
                <w:b w:val="1"/>
                <w:bCs w:val="1"/>
                <w:color w:val="auto"/>
              </w:rPr>
              <w:t>Total</w:t>
            </w:r>
          </w:p>
        </w:tc>
      </w:tr>
      <w:tr>
        <w:trPr>
          <w:trHeight w:val="242"/>
        </w:trPr>
        <w:tc>
          <w:tcPr>
            <w:tcW w:w="2880" w:type="dxa"/>
            <w:vAlign w:val="bottom"/>
          </w:tcPr>
          <w:p>
            <w:pPr>
              <w:ind w:left="40"/>
              <w:spacing w:after="0"/>
              <w:rPr>
                <w:sz w:val="20"/>
                <w:szCs w:val="20"/>
                <w:color w:val="auto"/>
              </w:rPr>
            </w:pPr>
            <w:r>
              <w:rPr>
                <w:rFonts w:ascii="Arial" w:cs="Arial" w:eastAsia="Arial" w:hAnsi="Arial"/>
                <w:sz w:val="11"/>
                <w:szCs w:val="11"/>
                <w:b w:val="1"/>
                <w:bCs w:val="1"/>
                <w:color w:val="auto"/>
              </w:rPr>
              <w:t>Nine Months Ended September 30, 2016</w:t>
            </w: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r>
      <w:tr>
        <w:trPr>
          <w:trHeight w:val="22"/>
        </w:trPr>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sales and 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87,736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14,292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8,467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5,010</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115,618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6,866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122,462</w:t>
            </w:r>
          </w:p>
        </w:tc>
      </w:tr>
      <w:tr>
        <w:trPr>
          <w:trHeight w:val="248"/>
        </w:trPr>
        <w:tc>
          <w:tcPr>
            <w:tcW w:w="2880" w:type="dxa"/>
            <w:vAlign w:val="bottom"/>
          </w:tcPr>
          <w:p>
            <w:pPr>
              <w:ind w:left="40"/>
              <w:spacing w:after="0"/>
              <w:rPr>
                <w:sz w:val="20"/>
                <w:szCs w:val="20"/>
                <w:color w:val="auto"/>
              </w:rPr>
            </w:pPr>
            <w:r>
              <w:rPr>
                <w:rFonts w:ascii="Arial" w:cs="Arial" w:eastAsia="Arial" w:hAnsi="Arial"/>
                <w:sz w:val="11"/>
                <w:szCs w:val="11"/>
                <w:color w:val="auto"/>
              </w:rPr>
              <w:t>Expenditures for property</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5,350</w:t>
            </w:r>
          </w:p>
        </w:tc>
        <w:tc>
          <w:tcPr>
            <w:tcW w:w="120" w:type="dxa"/>
            <w:vAlign w:val="bottom"/>
          </w:tcPr>
          <w:p>
            <w:pPr>
              <w:spacing w:after="0"/>
              <w:rPr>
                <w:sz w:val="21"/>
                <w:szCs w:val="21"/>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796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416</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269</w:t>
            </w:r>
          </w:p>
        </w:tc>
        <w:tc>
          <w:tcPr>
            <w:tcW w:w="1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6,835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71</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6,906</w:t>
            </w:r>
          </w:p>
        </w:tc>
      </w:tr>
      <w:tr>
        <w:trPr>
          <w:trHeight w:val="22"/>
        </w:trPr>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Depreciation and amortization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3,179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327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202</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4,051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3,313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7,364</w:t>
            </w:r>
          </w:p>
        </w:tc>
      </w:tr>
      <w:tr>
        <w:trPr>
          <w:trHeight w:val="248"/>
        </w:trPr>
        <w:tc>
          <w:tcPr>
            <w:tcW w:w="2880" w:type="dxa"/>
            <w:vAlign w:val="bottom"/>
          </w:tcPr>
          <w:p>
            <w:pPr>
              <w:ind w:left="40"/>
              <w:spacing w:after="0"/>
              <w:rPr>
                <w:sz w:val="20"/>
                <w:szCs w:val="20"/>
                <w:color w:val="auto"/>
              </w:rPr>
            </w:pPr>
            <w:r>
              <w:rPr>
                <w:rFonts w:ascii="Arial" w:cs="Arial" w:eastAsia="Arial" w:hAnsi="Arial"/>
                <w:sz w:val="11"/>
                <w:szCs w:val="11"/>
                <w:color w:val="auto"/>
              </w:rPr>
              <w:t>Impairment charges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43</w:t>
            </w:r>
          </w:p>
        </w:tc>
        <w:tc>
          <w:tcPr>
            <w:tcW w:w="120" w:type="dxa"/>
            <w:vAlign w:val="bottom"/>
          </w:tcPr>
          <w:p>
            <w:pPr>
              <w:spacing w:after="0"/>
              <w:rPr>
                <w:sz w:val="21"/>
                <w:szCs w:val="21"/>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84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66</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193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193</w:t>
            </w:r>
          </w:p>
        </w:tc>
      </w:tr>
      <w:tr>
        <w:trPr>
          <w:trHeight w:val="22"/>
        </w:trPr>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48"/>
        </w:trPr>
        <w:tc>
          <w:tcPr>
            <w:tcW w:w="2880" w:type="dxa"/>
            <w:vAlign w:val="bottom"/>
            <w:shd w:val="clear" w:color="auto" w:fill="CCEEFF"/>
          </w:tcPr>
          <w:p>
            <w:pPr>
              <w:ind w:left="40"/>
              <w:spacing w:after="0"/>
              <w:rPr>
                <w:sz w:val="20"/>
                <w:szCs w:val="20"/>
                <w:color w:val="auto"/>
              </w:rPr>
            </w:pPr>
            <w:r>
              <w:rPr>
                <w:rFonts w:ascii="Arial" w:cs="Arial" w:eastAsia="Arial" w:hAnsi="Arial"/>
                <w:sz w:val="11"/>
                <w:szCs w:val="11"/>
                <w:color w:val="auto"/>
              </w:rPr>
              <w:t>Equity income(a)</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162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1,446</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1,608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109</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1,717</w:t>
            </w:r>
          </w:p>
        </w:tc>
      </w:tr>
      <w:tr>
        <w:trPr>
          <w:trHeight w:val="22"/>
        </w:trPr>
        <w:tc>
          <w:tcPr>
            <w:tcW w:w="28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2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center"/>
              <w:ind w:right="220"/>
              <w:spacing w:after="0"/>
              <w:rPr>
                <w:sz w:val="20"/>
                <w:szCs w:val="20"/>
                <w:color w:val="auto"/>
              </w:rPr>
            </w:pPr>
            <w:r>
              <w:rPr>
                <w:rFonts w:ascii="Arial" w:cs="Arial" w:eastAsia="Arial" w:hAnsi="Arial"/>
                <w:sz w:val="11"/>
                <w:szCs w:val="11"/>
                <w:b w:val="1"/>
                <w:bCs w:val="1"/>
                <w:color w:val="auto"/>
                <w:w w:val="98"/>
              </w:rPr>
              <w:t>Total</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center"/>
              <w:ind w:right="220"/>
              <w:spacing w:after="0"/>
              <w:rPr>
                <w:sz w:val="20"/>
                <w:szCs w:val="20"/>
                <w:color w:val="auto"/>
              </w:rPr>
            </w:pPr>
            <w:r>
              <w:rPr>
                <w:rFonts w:ascii="Arial" w:cs="Arial" w:eastAsia="Arial" w:hAnsi="Arial"/>
                <w:sz w:val="11"/>
                <w:szCs w:val="11"/>
                <w:b w:val="1"/>
                <w:bCs w:val="1"/>
                <w:color w:val="auto"/>
                <w:w w:val="90"/>
              </w:rPr>
              <w:t>GM</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64"/>
        </w:trPr>
        <w:tc>
          <w:tcPr>
            <w:tcW w:w="28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1"/>
                <w:szCs w:val="11"/>
                <w:b w:val="1"/>
                <w:bCs w:val="1"/>
                <w:color w:val="auto"/>
              </w:rPr>
              <w:t>GMNA</w:t>
            </w: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1"/>
                <w:szCs w:val="11"/>
                <w:b w:val="1"/>
                <w:bCs w:val="1"/>
                <w:color w:val="auto"/>
              </w:rPr>
              <w:t>GME</w:t>
            </w:r>
          </w:p>
        </w:tc>
        <w:tc>
          <w:tcPr>
            <w:tcW w:w="1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b w:val="1"/>
                <w:bCs w:val="1"/>
                <w:color w:val="auto"/>
              </w:rPr>
              <w:t>GMIO</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GMSA</w:t>
            </w: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b w:val="1"/>
                <w:bCs w:val="1"/>
                <w:color w:val="auto"/>
              </w:rPr>
              <w:t>Corporate</w:t>
            </w:r>
          </w:p>
        </w:tc>
        <w:tc>
          <w:tcPr>
            <w:tcW w:w="12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1"/>
                <w:szCs w:val="11"/>
                <w:b w:val="1"/>
                <w:bCs w:val="1"/>
                <w:color w:val="auto"/>
                <w:w w:val="99"/>
              </w:rPr>
              <w:t>Automotive</w:t>
            </w: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1"/>
                <w:szCs w:val="11"/>
                <w:b w:val="1"/>
                <w:bCs w:val="1"/>
                <w:color w:val="auto"/>
              </w:rPr>
              <w:t>Financial</w:t>
            </w:r>
          </w:p>
        </w:tc>
        <w:tc>
          <w:tcPr>
            <w:tcW w:w="1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ind w:right="146"/>
              <w:spacing w:after="0"/>
              <w:rPr>
                <w:sz w:val="20"/>
                <w:szCs w:val="20"/>
                <w:color w:val="auto"/>
              </w:rPr>
            </w:pPr>
            <w:r>
              <w:rPr>
                <w:rFonts w:ascii="Arial" w:cs="Arial" w:eastAsia="Arial" w:hAnsi="Arial"/>
                <w:sz w:val="11"/>
                <w:szCs w:val="11"/>
                <w:b w:val="1"/>
                <w:bCs w:val="1"/>
                <w:color w:val="auto"/>
              </w:rPr>
              <w:t>Total</w:t>
            </w:r>
          </w:p>
        </w:tc>
      </w:tr>
      <w:tr>
        <w:trPr>
          <w:trHeight w:val="242"/>
        </w:trPr>
        <w:tc>
          <w:tcPr>
            <w:tcW w:w="2880" w:type="dxa"/>
            <w:vAlign w:val="bottom"/>
          </w:tcPr>
          <w:p>
            <w:pPr>
              <w:ind w:left="40"/>
              <w:spacing w:after="0"/>
              <w:rPr>
                <w:sz w:val="20"/>
                <w:szCs w:val="20"/>
                <w:color w:val="auto"/>
              </w:rPr>
            </w:pPr>
            <w:r>
              <w:rPr>
                <w:rFonts w:ascii="Arial" w:cs="Arial" w:eastAsia="Arial" w:hAnsi="Arial"/>
                <w:sz w:val="11"/>
                <w:szCs w:val="11"/>
                <w:b w:val="1"/>
                <w:bCs w:val="1"/>
                <w:color w:val="auto"/>
              </w:rPr>
              <w:t>Nine Months Ended September 30, 2015</w:t>
            </w: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r>
      <w:tr>
        <w:trPr>
          <w:trHeight w:val="22"/>
        </w:trPr>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sales and 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78,951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13,992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9,181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5,939</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108,174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4,576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112,735</w:t>
            </w:r>
          </w:p>
        </w:tc>
      </w:tr>
      <w:tr>
        <w:trPr>
          <w:trHeight w:val="248"/>
        </w:trPr>
        <w:tc>
          <w:tcPr>
            <w:tcW w:w="2880" w:type="dxa"/>
            <w:vAlign w:val="bottom"/>
          </w:tcPr>
          <w:p>
            <w:pPr>
              <w:ind w:left="40"/>
              <w:spacing w:after="0"/>
              <w:rPr>
                <w:sz w:val="20"/>
                <w:szCs w:val="20"/>
                <w:color w:val="auto"/>
              </w:rPr>
            </w:pPr>
            <w:r>
              <w:rPr>
                <w:rFonts w:ascii="Arial" w:cs="Arial" w:eastAsia="Arial" w:hAnsi="Arial"/>
                <w:sz w:val="11"/>
                <w:szCs w:val="11"/>
                <w:color w:val="auto"/>
              </w:rPr>
              <w:t>Expenditures for property</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3,775</w:t>
            </w:r>
          </w:p>
        </w:tc>
        <w:tc>
          <w:tcPr>
            <w:tcW w:w="120" w:type="dxa"/>
            <w:vAlign w:val="bottom"/>
          </w:tcPr>
          <w:p>
            <w:pPr>
              <w:spacing w:after="0"/>
              <w:rPr>
                <w:sz w:val="21"/>
                <w:szCs w:val="21"/>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702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372</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350</w:t>
            </w:r>
          </w:p>
        </w:tc>
        <w:tc>
          <w:tcPr>
            <w:tcW w:w="1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61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5,260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64</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5,324</w:t>
            </w:r>
          </w:p>
        </w:tc>
      </w:tr>
      <w:tr>
        <w:trPr>
          <w:trHeight w:val="22"/>
        </w:trPr>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Depreciation and amortization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2,793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331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205</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3,622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1,496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5,118</w:t>
            </w:r>
          </w:p>
        </w:tc>
      </w:tr>
      <w:tr>
        <w:trPr>
          <w:trHeight w:val="248"/>
        </w:trPr>
        <w:tc>
          <w:tcPr>
            <w:tcW w:w="2880" w:type="dxa"/>
            <w:vAlign w:val="bottom"/>
          </w:tcPr>
          <w:p>
            <w:pPr>
              <w:ind w:left="40"/>
              <w:spacing w:after="0"/>
              <w:rPr>
                <w:sz w:val="20"/>
                <w:szCs w:val="20"/>
                <w:color w:val="auto"/>
              </w:rPr>
            </w:pPr>
            <w:r>
              <w:rPr>
                <w:rFonts w:ascii="Arial" w:cs="Arial" w:eastAsia="Arial" w:hAnsi="Arial"/>
                <w:sz w:val="11"/>
                <w:szCs w:val="11"/>
                <w:color w:val="auto"/>
              </w:rPr>
              <w:t>Impairment charges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350</w:t>
            </w:r>
          </w:p>
        </w:tc>
        <w:tc>
          <w:tcPr>
            <w:tcW w:w="120" w:type="dxa"/>
            <w:vAlign w:val="bottom"/>
          </w:tcPr>
          <w:p>
            <w:pPr>
              <w:spacing w:after="0"/>
              <w:rPr>
                <w:sz w:val="21"/>
                <w:szCs w:val="21"/>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94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312</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34</w:t>
            </w:r>
          </w:p>
        </w:tc>
        <w:tc>
          <w:tcPr>
            <w:tcW w:w="1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790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790</w:t>
            </w:r>
          </w:p>
        </w:tc>
      </w:tr>
      <w:tr>
        <w:trPr>
          <w:trHeight w:val="22"/>
        </w:trPr>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Equity income(a)</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1,477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1,493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1,579</w:t>
            </w:r>
          </w:p>
        </w:tc>
      </w:tr>
      <w:tr>
        <w:trPr>
          <w:trHeight w:val="159"/>
        </w:trPr>
        <w:tc>
          <w:tcPr>
            <w:tcW w:w="2880" w:type="dxa"/>
            <w:vAlign w:val="bottom"/>
          </w:tcPr>
          <w:p>
            <w:pPr>
              <w:spacing w:after="0" w:line="159" w:lineRule="exact"/>
              <w:rPr>
                <w:sz w:val="20"/>
                <w:szCs w:val="20"/>
                <w:color w:val="auto"/>
              </w:rPr>
            </w:pPr>
            <w:r>
              <w:rPr>
                <w:rFonts w:ascii="Arial" w:cs="Arial" w:eastAsia="Arial" w:hAnsi="Arial"/>
                <w:sz w:val="14"/>
                <w:szCs w:val="14"/>
                <w:color w:val="auto"/>
              </w:rPr>
              <w:t>_________</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r>
    </w:tbl>
    <w:p>
      <w:pPr>
        <w:ind w:left="340" w:hanging="332"/>
        <w:spacing w:after="0" w:line="238" w:lineRule="auto"/>
        <w:tabs>
          <w:tab w:leader="none" w:pos="340" w:val="left"/>
        </w:tabs>
        <w:numPr>
          <w:ilvl w:val="0"/>
          <w:numId w:val="5"/>
        </w:numPr>
        <w:rPr>
          <w:rFonts w:ascii="Arial" w:cs="Arial" w:eastAsia="Arial" w:hAnsi="Arial"/>
          <w:sz w:val="11"/>
          <w:szCs w:val="11"/>
          <w:color w:val="auto"/>
        </w:rPr>
      </w:pPr>
      <w:r>
        <w:rPr>
          <w:rFonts w:ascii="Arial" w:cs="Arial" w:eastAsia="Arial" w:hAnsi="Arial"/>
          <w:sz w:val="11"/>
          <w:szCs w:val="11"/>
          <w:color w:val="auto"/>
        </w:rPr>
        <w:t>Includes automotive China joint ventures equity income of $459 million and $463 million in the three months ended September 30, 2016 and 2015 and $1,448 million and $1,485 million in the nine months ended September 30, 2016 and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20"/>
          </w:cols>
          <w:pgMar w:left="240" w:top="581" w:right="239" w:bottom="1440" w:gutter="0" w:footer="0" w:header="0"/>
        </w:sectPr>
      </w:pPr>
    </w:p>
    <w:bookmarkStart w:id="12" w:name="page13"/>
    <w:bookmarkEnd w:id="12"/>
    <w:p>
      <w:pPr>
        <w:jc w:val="center"/>
        <w:ind w:left="98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left="980"/>
        <w:spacing w:after="0"/>
        <w:rPr>
          <w:sz w:val="20"/>
          <w:szCs w:val="20"/>
          <w:color w:val="auto"/>
        </w:rPr>
      </w:pPr>
      <w:r>
        <w:rPr>
          <w:rFonts w:ascii="Arial" w:cs="Arial" w:eastAsia="Arial" w:hAnsi="Arial"/>
          <w:sz w:val="16"/>
          <w:szCs w:val="16"/>
          <w:b w:val="1"/>
          <w:bCs w:val="1"/>
          <w:color w:val="auto"/>
        </w:rPr>
        <w:t>Supplemental Material</w:t>
      </w:r>
    </w:p>
    <w:p>
      <w:pPr>
        <w:spacing w:after="0" w:line="5" w:lineRule="exact"/>
        <w:rPr>
          <w:sz w:val="20"/>
          <w:szCs w:val="20"/>
          <w:color w:val="auto"/>
        </w:rPr>
      </w:pPr>
    </w:p>
    <w:p>
      <w:pPr>
        <w:jc w:val="center"/>
        <w:ind w:left="98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i w:val="1"/>
          <w:iCs w:val="1"/>
          <w:color w:val="auto"/>
        </w:rPr>
        <w:t>Unaudited)</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Vehicle Sales</w:t>
      </w:r>
    </w:p>
    <w:p>
      <w:pPr>
        <w:spacing w:after="0" w:line="214" w:lineRule="exact"/>
        <w:rPr>
          <w:sz w:val="20"/>
          <w:szCs w:val="20"/>
          <w:color w:val="auto"/>
        </w:rPr>
      </w:pPr>
    </w:p>
    <w:p>
      <w:pPr>
        <w:jc w:val="both"/>
        <w:ind w:firstLine="162"/>
        <w:spacing w:after="0" w:line="253" w:lineRule="auto"/>
        <w:rPr>
          <w:sz w:val="20"/>
          <w:szCs w:val="20"/>
          <w:color w:val="auto"/>
        </w:rPr>
      </w:pPr>
      <w:r>
        <w:rPr>
          <w:rFonts w:ascii="Arial" w:cs="Arial" w:eastAsia="Arial" w:hAnsi="Arial"/>
          <w:sz w:val="16"/>
          <w:szCs w:val="16"/>
          <w:color w:val="auto"/>
        </w:rPr>
        <w:t>GM presents both wholesale and retail vehicle sales data to assist in the analysis of its revenue and market share. GM does not currently export vehicles to Cuba, Iran, North Korea, Sudan or Syria. Accordingly, these countries are excluded from industry sales data and corresponding calculations of GM's market share.</w:t>
      </w:r>
    </w:p>
    <w:p>
      <w:pPr>
        <w:spacing w:after="0" w:line="174" w:lineRule="exact"/>
        <w:rPr>
          <w:sz w:val="20"/>
          <w:szCs w:val="20"/>
          <w:color w:val="auto"/>
        </w:rPr>
      </w:pPr>
    </w:p>
    <w:p>
      <w:pPr>
        <w:jc w:val="both"/>
        <w:ind w:firstLine="162"/>
        <w:spacing w:after="0" w:line="251" w:lineRule="auto"/>
        <w:rPr>
          <w:sz w:val="20"/>
          <w:szCs w:val="20"/>
          <w:color w:val="auto"/>
        </w:rPr>
      </w:pPr>
      <w:r>
        <w:rPr>
          <w:rFonts w:ascii="Arial" w:cs="Arial" w:eastAsia="Arial" w:hAnsi="Arial"/>
          <w:sz w:val="16"/>
          <w:szCs w:val="16"/>
          <w:color w:val="auto"/>
        </w:rPr>
        <w:t>Wholesale vehicle sales data, which represents sales directly to dealers and others, is the measure that correlates to GM's revenue from the sale of vehicles, which is the largest component of Automotive net sales and revenue. Wholesale vehicle sales exclude vehicles produced by joint ventures. In the nine months ended September 30, 2016 46.1% of GM's wholesale vehicle sales volume was generated outside the U.S. The following table summarizes total wholesale vehicle sales of new vehicles by automotive segment (vehicles in thousands):</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240" w:type="dxa"/>
            <w:vAlign w:val="bottom"/>
          </w:tcPr>
          <w:p>
            <w:pPr>
              <w:spacing w:after="0"/>
              <w:rPr>
                <w:sz w:val="15"/>
                <w:szCs w:val="15"/>
                <w:color w:val="auto"/>
              </w:rPr>
            </w:pPr>
          </w:p>
        </w:tc>
        <w:tc>
          <w:tcPr>
            <w:tcW w:w="3560" w:type="dxa"/>
            <w:vAlign w:val="bottom"/>
            <w:tcBorders>
              <w:bottom w:val="single" w:sz="8" w:color="auto"/>
            </w:tcBorders>
            <w:gridSpan w:val="3"/>
          </w:tcPr>
          <w:p>
            <w:pPr>
              <w:jc w:val="right"/>
              <w:ind w:right="1062"/>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15"/>
                <w:szCs w:val="15"/>
                <w:color w:val="auto"/>
              </w:rPr>
            </w:pPr>
          </w:p>
        </w:tc>
        <w:tc>
          <w:tcPr>
            <w:tcW w:w="3520" w:type="dxa"/>
            <w:vAlign w:val="bottom"/>
            <w:tcBorders>
              <w:bottom w:val="single" w:sz="8" w:color="auto"/>
            </w:tcBorders>
            <w:gridSpan w:val="3"/>
          </w:tcPr>
          <w:p>
            <w:pPr>
              <w:jc w:val="right"/>
              <w:ind w:right="1082"/>
              <w:spacing w:after="0"/>
              <w:rPr>
                <w:sz w:val="20"/>
                <w:szCs w:val="20"/>
                <w:color w:val="auto"/>
              </w:rPr>
            </w:pPr>
            <w:r>
              <w:rPr>
                <w:rFonts w:ascii="Arial" w:cs="Arial" w:eastAsia="Arial" w:hAnsi="Arial"/>
                <w:sz w:val="13"/>
                <w:szCs w:val="13"/>
                <w:b w:val="1"/>
                <w:bCs w:val="1"/>
                <w:color w:val="auto"/>
              </w:rPr>
              <w:t>Nine Months Ended</w:t>
            </w:r>
          </w:p>
        </w:tc>
      </w:tr>
      <w:tr>
        <w:trPr>
          <w:trHeight w:val="264"/>
        </w:trPr>
        <w:tc>
          <w:tcPr>
            <w:tcW w:w="4240" w:type="dxa"/>
            <w:vAlign w:val="bottom"/>
          </w:tcPr>
          <w:p>
            <w:pPr>
              <w:spacing w:after="0"/>
              <w:rPr>
                <w:sz w:val="22"/>
                <w:szCs w:val="22"/>
                <w:color w:val="auto"/>
              </w:rPr>
            </w:pPr>
          </w:p>
        </w:tc>
        <w:tc>
          <w:tcPr>
            <w:tcW w:w="1840" w:type="dxa"/>
            <w:vAlign w:val="bottom"/>
            <w:gridSpan w:val="2"/>
          </w:tcPr>
          <w:p>
            <w:pPr>
              <w:ind w:left="280"/>
              <w:spacing w:after="0"/>
              <w:rPr>
                <w:sz w:val="20"/>
                <w:szCs w:val="20"/>
                <w:color w:val="auto"/>
              </w:rPr>
            </w:pPr>
            <w:r>
              <w:rPr>
                <w:rFonts w:ascii="Arial" w:cs="Arial" w:eastAsia="Arial" w:hAnsi="Arial"/>
                <w:sz w:val="13"/>
                <w:szCs w:val="13"/>
                <w:b w:val="1"/>
                <w:bCs w:val="1"/>
                <w:color w:val="auto"/>
              </w:rPr>
              <w:t>September 30, 2016</w:t>
            </w:r>
          </w:p>
        </w:tc>
        <w:tc>
          <w:tcPr>
            <w:tcW w:w="1820" w:type="dxa"/>
            <w:vAlign w:val="bottom"/>
            <w:gridSpan w:val="2"/>
          </w:tcPr>
          <w:p>
            <w:pPr>
              <w:ind w:left="280"/>
              <w:spacing w:after="0"/>
              <w:rPr>
                <w:sz w:val="20"/>
                <w:szCs w:val="20"/>
                <w:color w:val="auto"/>
              </w:rPr>
            </w:pPr>
            <w:r>
              <w:rPr>
                <w:rFonts w:ascii="Arial" w:cs="Arial" w:eastAsia="Arial" w:hAnsi="Arial"/>
                <w:sz w:val="13"/>
                <w:szCs w:val="13"/>
                <w:b w:val="1"/>
                <w:bCs w:val="1"/>
                <w:color w:val="auto"/>
              </w:rPr>
              <w:t>September 30, 2015</w:t>
            </w:r>
          </w:p>
        </w:tc>
        <w:tc>
          <w:tcPr>
            <w:tcW w:w="1820" w:type="dxa"/>
            <w:vAlign w:val="bottom"/>
            <w:gridSpan w:val="2"/>
          </w:tcPr>
          <w:p>
            <w:pPr>
              <w:ind w:left="280"/>
              <w:spacing w:after="0"/>
              <w:rPr>
                <w:sz w:val="20"/>
                <w:szCs w:val="20"/>
                <w:color w:val="auto"/>
              </w:rPr>
            </w:pPr>
            <w:r>
              <w:rPr>
                <w:rFonts w:ascii="Arial" w:cs="Arial" w:eastAsia="Arial" w:hAnsi="Arial"/>
                <w:sz w:val="13"/>
                <w:szCs w:val="13"/>
                <w:b w:val="1"/>
                <w:bCs w:val="1"/>
                <w:color w:val="auto"/>
              </w:rPr>
              <w:t>September 30, 2016</w:t>
            </w:r>
          </w:p>
        </w:tc>
        <w:tc>
          <w:tcPr>
            <w:tcW w:w="1700" w:type="dxa"/>
            <w:vAlign w:val="bottom"/>
          </w:tcPr>
          <w:p>
            <w:pPr>
              <w:jc w:val="right"/>
              <w:ind w:right="182"/>
              <w:spacing w:after="0"/>
              <w:rPr>
                <w:sz w:val="20"/>
                <w:szCs w:val="20"/>
                <w:color w:val="auto"/>
              </w:rPr>
            </w:pPr>
            <w:r>
              <w:rPr>
                <w:rFonts w:ascii="Arial" w:cs="Arial" w:eastAsia="Arial" w:hAnsi="Arial"/>
                <w:sz w:val="13"/>
                <w:szCs w:val="13"/>
                <w:b w:val="1"/>
                <w:bCs w:val="1"/>
                <w:color w:val="auto"/>
              </w:rPr>
              <w:t>September 30, 2015</w:t>
            </w:r>
          </w:p>
        </w:tc>
      </w:tr>
      <w:tr>
        <w:trPr>
          <w:trHeight w:val="257"/>
        </w:trPr>
        <w:tc>
          <w:tcPr>
            <w:tcW w:w="42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GMNA</w:t>
            </w:r>
          </w:p>
        </w:tc>
        <w:tc>
          <w:tcPr>
            <w:tcW w:w="17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1,030</w:t>
            </w:r>
          </w:p>
        </w:tc>
        <w:tc>
          <w:tcPr>
            <w:tcW w:w="120" w:type="dxa"/>
            <w:vAlign w:val="bottom"/>
            <w:tcBorders>
              <w:top w:val="single" w:sz="8" w:color="CCEEFF"/>
            </w:tcBorders>
            <w:shd w:val="clear" w:color="auto" w:fill="CCEEFF"/>
          </w:tcPr>
          <w:p>
            <w:pPr>
              <w:spacing w:after="0"/>
              <w:rPr>
                <w:sz w:val="22"/>
                <w:szCs w:val="22"/>
                <w:color w:val="auto"/>
              </w:rPr>
            </w:pPr>
          </w:p>
        </w:tc>
        <w:tc>
          <w:tcPr>
            <w:tcW w:w="172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938</w:t>
            </w:r>
          </w:p>
        </w:tc>
        <w:tc>
          <w:tcPr>
            <w:tcW w:w="100" w:type="dxa"/>
            <w:vAlign w:val="bottom"/>
            <w:tcBorders>
              <w:top w:val="single" w:sz="8" w:color="CCEEFF"/>
            </w:tcBorders>
            <w:shd w:val="clear" w:color="auto" w:fill="CCEEFF"/>
          </w:tcPr>
          <w:p>
            <w:pPr>
              <w:spacing w:after="0"/>
              <w:rPr>
                <w:sz w:val="22"/>
                <w:szCs w:val="22"/>
                <w:color w:val="auto"/>
              </w:rPr>
            </w:pPr>
          </w:p>
        </w:tc>
        <w:tc>
          <w:tcPr>
            <w:tcW w:w="17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2,908</w:t>
            </w:r>
          </w:p>
        </w:tc>
        <w:tc>
          <w:tcPr>
            <w:tcW w:w="100" w:type="dxa"/>
            <w:vAlign w:val="bottom"/>
            <w:tcBorders>
              <w:top w:val="single" w:sz="8" w:color="CCEEFF"/>
            </w:tcBorders>
            <w:shd w:val="clear" w:color="auto" w:fill="CCEEFF"/>
          </w:tcPr>
          <w:p>
            <w:pPr>
              <w:spacing w:after="0"/>
              <w:rPr>
                <w:sz w:val="22"/>
                <w:szCs w:val="22"/>
                <w:color w:val="auto"/>
              </w:rPr>
            </w:pPr>
          </w:p>
        </w:tc>
        <w:tc>
          <w:tcPr>
            <w:tcW w:w="170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2,645</w:t>
            </w:r>
          </w:p>
        </w:tc>
      </w:tr>
      <w:tr>
        <w:trPr>
          <w:trHeight w:val="260"/>
        </w:trPr>
        <w:tc>
          <w:tcPr>
            <w:tcW w:w="4240" w:type="dxa"/>
            <w:vAlign w:val="bottom"/>
          </w:tcPr>
          <w:p>
            <w:pPr>
              <w:ind w:left="40"/>
              <w:spacing w:after="0"/>
              <w:rPr>
                <w:sz w:val="20"/>
                <w:szCs w:val="20"/>
                <w:color w:val="auto"/>
              </w:rPr>
            </w:pPr>
            <w:r>
              <w:rPr>
                <w:rFonts w:ascii="Arial" w:cs="Arial" w:eastAsia="Arial" w:hAnsi="Arial"/>
                <w:sz w:val="16"/>
                <w:szCs w:val="16"/>
                <w:color w:val="auto"/>
              </w:rPr>
              <w:t>GME</w:t>
            </w:r>
          </w:p>
        </w:tc>
        <w:tc>
          <w:tcPr>
            <w:tcW w:w="1720" w:type="dxa"/>
            <w:vAlign w:val="bottom"/>
          </w:tcPr>
          <w:p>
            <w:pPr>
              <w:jc w:val="right"/>
              <w:ind w:right="44"/>
              <w:spacing w:after="0"/>
              <w:rPr>
                <w:sz w:val="20"/>
                <w:szCs w:val="20"/>
                <w:color w:val="auto"/>
              </w:rPr>
            </w:pPr>
            <w:r>
              <w:rPr>
                <w:rFonts w:ascii="Arial" w:cs="Arial" w:eastAsia="Arial" w:hAnsi="Arial"/>
                <w:sz w:val="16"/>
                <w:szCs w:val="16"/>
                <w:color w:val="auto"/>
              </w:rPr>
              <w:t>261</w:t>
            </w:r>
          </w:p>
        </w:tc>
        <w:tc>
          <w:tcPr>
            <w:tcW w:w="120" w:type="dxa"/>
            <w:vAlign w:val="bottom"/>
          </w:tcPr>
          <w:p>
            <w:pPr>
              <w:spacing w:after="0"/>
              <w:rPr>
                <w:sz w:val="22"/>
                <w:szCs w:val="22"/>
                <w:color w:val="auto"/>
              </w:rPr>
            </w:pPr>
          </w:p>
        </w:tc>
        <w:tc>
          <w:tcPr>
            <w:tcW w:w="1720" w:type="dxa"/>
            <w:vAlign w:val="bottom"/>
          </w:tcPr>
          <w:p>
            <w:pPr>
              <w:jc w:val="right"/>
              <w:ind w:right="22"/>
              <w:spacing w:after="0"/>
              <w:rPr>
                <w:sz w:val="20"/>
                <w:szCs w:val="20"/>
                <w:color w:val="auto"/>
              </w:rPr>
            </w:pPr>
            <w:r>
              <w:rPr>
                <w:rFonts w:ascii="Arial" w:cs="Arial" w:eastAsia="Arial" w:hAnsi="Arial"/>
                <w:sz w:val="16"/>
                <w:szCs w:val="16"/>
                <w:color w:val="auto"/>
              </w:rPr>
              <w:t>276</w:t>
            </w:r>
          </w:p>
        </w:tc>
        <w:tc>
          <w:tcPr>
            <w:tcW w:w="100" w:type="dxa"/>
            <w:vAlign w:val="bottom"/>
          </w:tcPr>
          <w:p>
            <w:pPr>
              <w:spacing w:after="0"/>
              <w:rPr>
                <w:sz w:val="22"/>
                <w:szCs w:val="22"/>
                <w:color w:val="auto"/>
              </w:rPr>
            </w:pPr>
          </w:p>
        </w:tc>
        <w:tc>
          <w:tcPr>
            <w:tcW w:w="1720" w:type="dxa"/>
            <w:vAlign w:val="bottom"/>
          </w:tcPr>
          <w:p>
            <w:pPr>
              <w:jc w:val="right"/>
              <w:ind w:right="44"/>
              <w:spacing w:after="0"/>
              <w:rPr>
                <w:sz w:val="20"/>
                <w:szCs w:val="20"/>
                <w:color w:val="auto"/>
              </w:rPr>
            </w:pPr>
            <w:r>
              <w:rPr>
                <w:rFonts w:ascii="Arial" w:cs="Arial" w:eastAsia="Arial" w:hAnsi="Arial"/>
                <w:sz w:val="16"/>
                <w:szCs w:val="16"/>
                <w:color w:val="auto"/>
              </w:rPr>
              <w:t>880</w:t>
            </w:r>
          </w:p>
        </w:tc>
        <w:tc>
          <w:tcPr>
            <w:tcW w:w="100" w:type="dxa"/>
            <w:vAlign w:val="bottom"/>
          </w:tcPr>
          <w:p>
            <w:pPr>
              <w:spacing w:after="0"/>
              <w:rPr>
                <w:sz w:val="22"/>
                <w:szCs w:val="22"/>
                <w:color w:val="auto"/>
              </w:rPr>
            </w:pPr>
          </w:p>
        </w:tc>
        <w:tc>
          <w:tcPr>
            <w:tcW w:w="1700" w:type="dxa"/>
            <w:vAlign w:val="bottom"/>
          </w:tcPr>
          <w:p>
            <w:pPr>
              <w:jc w:val="right"/>
              <w:ind w:right="22"/>
              <w:spacing w:after="0"/>
              <w:rPr>
                <w:sz w:val="20"/>
                <w:szCs w:val="20"/>
                <w:color w:val="auto"/>
              </w:rPr>
            </w:pPr>
            <w:r>
              <w:rPr>
                <w:rFonts w:ascii="Arial" w:cs="Arial" w:eastAsia="Arial" w:hAnsi="Arial"/>
                <w:sz w:val="16"/>
                <w:szCs w:val="16"/>
                <w:color w:val="auto"/>
              </w:rPr>
              <w:t>847</w:t>
            </w:r>
          </w:p>
        </w:tc>
      </w:tr>
      <w:tr>
        <w:trPr>
          <w:trHeight w:val="280"/>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GMIO</w:t>
            </w:r>
          </w:p>
        </w:tc>
        <w:tc>
          <w:tcPr>
            <w:tcW w:w="17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136</w:t>
            </w:r>
          </w:p>
        </w:tc>
        <w:tc>
          <w:tcPr>
            <w:tcW w:w="12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146</w:t>
            </w:r>
          </w:p>
        </w:tc>
        <w:tc>
          <w:tcPr>
            <w:tcW w:w="10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406</w:t>
            </w: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431</w:t>
            </w:r>
          </w:p>
        </w:tc>
      </w:tr>
      <w:tr>
        <w:trPr>
          <w:trHeight w:val="264"/>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GMSA</w:t>
            </w:r>
          </w:p>
        </w:tc>
        <w:tc>
          <w:tcPr>
            <w:tcW w:w="172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153</w:t>
            </w:r>
          </w:p>
        </w:tc>
        <w:tc>
          <w:tcPr>
            <w:tcW w:w="120" w:type="dxa"/>
            <w:vAlign w:val="bottom"/>
            <w:tcBorders>
              <w:bottom w:val="single" w:sz="8" w:color="CCEEFF"/>
            </w:tcBorders>
          </w:tcPr>
          <w:p>
            <w:pPr>
              <w:spacing w:after="0"/>
              <w:rPr>
                <w:sz w:val="22"/>
                <w:szCs w:val="22"/>
                <w:color w:val="auto"/>
              </w:rPr>
            </w:pPr>
          </w:p>
        </w:tc>
        <w:tc>
          <w:tcPr>
            <w:tcW w:w="17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142</w:t>
            </w:r>
          </w:p>
        </w:tc>
        <w:tc>
          <w:tcPr>
            <w:tcW w:w="100" w:type="dxa"/>
            <w:vAlign w:val="bottom"/>
            <w:tcBorders>
              <w:bottom w:val="single" w:sz="8" w:color="CCEEFF"/>
            </w:tcBorders>
          </w:tcPr>
          <w:p>
            <w:pPr>
              <w:spacing w:after="0"/>
              <w:rPr>
                <w:sz w:val="22"/>
                <w:szCs w:val="22"/>
                <w:color w:val="auto"/>
              </w:rPr>
            </w:pPr>
          </w:p>
        </w:tc>
        <w:tc>
          <w:tcPr>
            <w:tcW w:w="172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400</w:t>
            </w:r>
          </w:p>
        </w:tc>
        <w:tc>
          <w:tcPr>
            <w:tcW w:w="10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435</w:t>
            </w:r>
          </w:p>
        </w:tc>
      </w:tr>
      <w:tr>
        <w:trPr>
          <w:trHeight w:val="24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Worldwide</w:t>
            </w:r>
          </w:p>
        </w:tc>
        <w:tc>
          <w:tcPr>
            <w:tcW w:w="17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b w:val="1"/>
                <w:bCs w:val="1"/>
                <w:color w:val="auto"/>
              </w:rPr>
              <w:t>1,580</w:t>
            </w:r>
          </w:p>
        </w:tc>
        <w:tc>
          <w:tcPr>
            <w:tcW w:w="1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1,502</w:t>
            </w:r>
          </w:p>
        </w:tc>
        <w:tc>
          <w:tcPr>
            <w:tcW w:w="1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b w:val="1"/>
                <w:bCs w:val="1"/>
                <w:color w:val="auto"/>
              </w:rPr>
              <w:t>4,594</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4,358</w:t>
            </w:r>
          </w:p>
        </w:tc>
      </w:tr>
      <w:tr>
        <w:trPr>
          <w:trHeight w:val="20"/>
        </w:trPr>
        <w:tc>
          <w:tcPr>
            <w:tcW w:w="42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581" w:right="239" w:bottom="1440" w:gutter="0" w:footer="0" w:header="0"/>
        </w:sectPr>
      </w:pPr>
    </w:p>
    <w:bookmarkStart w:id="13" w:name="page14"/>
    <w:bookmarkEnd w:id="13"/>
    <w:p>
      <w:pPr>
        <w:jc w:val="center"/>
        <w:ind w:left="98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left="980"/>
        <w:spacing w:after="0"/>
        <w:rPr>
          <w:sz w:val="20"/>
          <w:szCs w:val="20"/>
          <w:color w:val="auto"/>
        </w:rPr>
      </w:pPr>
      <w:r>
        <w:rPr>
          <w:rFonts w:ascii="Arial" w:cs="Arial" w:eastAsia="Arial" w:hAnsi="Arial"/>
          <w:sz w:val="16"/>
          <w:szCs w:val="16"/>
          <w:b w:val="1"/>
          <w:bCs w:val="1"/>
          <w:color w:val="auto"/>
        </w:rPr>
        <w:t>Supplemental Material</w:t>
      </w:r>
    </w:p>
    <w:p>
      <w:pPr>
        <w:spacing w:after="0" w:line="5" w:lineRule="exact"/>
        <w:rPr>
          <w:sz w:val="20"/>
          <w:szCs w:val="20"/>
          <w:color w:val="auto"/>
        </w:rPr>
      </w:pPr>
    </w:p>
    <w:p>
      <w:pPr>
        <w:jc w:val="center"/>
        <w:ind w:left="98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i w:val="1"/>
          <w:iCs w:val="1"/>
          <w:color w:val="auto"/>
        </w:rPr>
        <w:t>Unaudited)</w:t>
      </w:r>
    </w:p>
    <w:p>
      <w:pPr>
        <w:spacing w:after="0" w:line="221" w:lineRule="exact"/>
        <w:rPr>
          <w:sz w:val="20"/>
          <w:szCs w:val="20"/>
          <w:color w:val="auto"/>
        </w:rPr>
      </w:pPr>
    </w:p>
    <w:p>
      <w:pPr>
        <w:jc w:val="both"/>
        <w:ind w:firstLine="162"/>
        <w:spacing w:after="0" w:line="251" w:lineRule="auto"/>
        <w:rPr>
          <w:sz w:val="20"/>
          <w:szCs w:val="20"/>
          <w:color w:val="auto"/>
        </w:rPr>
      </w:pPr>
      <w:r>
        <w:rPr>
          <w:rFonts w:ascii="Arial" w:cs="Arial" w:eastAsia="Arial" w:hAnsi="Arial"/>
          <w:sz w:val="16"/>
          <w:szCs w:val="16"/>
          <w:color w:val="auto"/>
        </w:rPr>
        <w:t>Retail vehicle sales data, which represents sales to end customers based upon the good faith estimates of management, including fleets, does not correlate directly to the revenue GM recognizes during the period. However, retail vehicle sales data is indicative of the underlying demand for GM vehicles. Market share information is based primarily on retail vehicle sales volume. In countries where end customer data is not readily available, other data sources such as wholesale or forecast volumes are used to estimate retail vehicle sales.</w:t>
      </w:r>
    </w:p>
    <w:p>
      <w:pPr>
        <w:spacing w:after="0" w:line="176" w:lineRule="exact"/>
        <w:rPr>
          <w:sz w:val="20"/>
          <w:szCs w:val="20"/>
          <w:color w:val="auto"/>
        </w:rPr>
      </w:pPr>
    </w:p>
    <w:p>
      <w:pPr>
        <w:jc w:val="both"/>
        <w:ind w:firstLine="162"/>
        <w:spacing w:after="0" w:line="248" w:lineRule="auto"/>
        <w:rPr>
          <w:sz w:val="20"/>
          <w:szCs w:val="20"/>
          <w:color w:val="auto"/>
        </w:rPr>
      </w:pPr>
      <w:r>
        <w:rPr>
          <w:rFonts w:ascii="Arial" w:cs="Arial" w:eastAsia="Arial" w:hAnsi="Arial"/>
          <w:sz w:val="16"/>
          <w:szCs w:val="16"/>
          <w:color w:val="auto"/>
        </w:rPr>
        <w:t>Retail vehicle sales data includes all sales by joint ventures on a total vehicle basis, not based on the percentage of ownership in the joint venture. Certain joint venture agreements in China allow for the contractual right to report vehicle sales on non-GM trademarked vehicles by those joint ventures. Retail vehicle sales data includes vehicles used by dealers under courtesy transportation programs and vehicles sold through the dealer registration channel primarily in Europe. This sales channel consists primarily of dealer demonstrator, loaner and self-registered vehicles which are not eligible to be sold as new vehicles after being registered by dealers. Certain fleet sales that are accounted for as operating leases are included in retail vehicle sales at the time of delivery to daily rental car companies. The following table summarizes total retail sales volume, or estimated sales volume where retail sales volume is not available, by geographic region (vehicles in thousands):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580" w:type="dxa"/>
            <w:vAlign w:val="bottom"/>
          </w:tcPr>
          <w:p>
            <w:pPr>
              <w:spacing w:after="0"/>
              <w:rPr>
                <w:sz w:val="15"/>
                <w:szCs w:val="15"/>
                <w:color w:val="auto"/>
              </w:rPr>
            </w:pPr>
          </w:p>
        </w:tc>
        <w:tc>
          <w:tcPr>
            <w:tcW w:w="3320" w:type="dxa"/>
            <w:vAlign w:val="bottom"/>
            <w:tcBorders>
              <w:bottom w:val="single" w:sz="8" w:color="auto"/>
            </w:tcBorders>
            <w:gridSpan w:val="3"/>
          </w:tcPr>
          <w:p>
            <w:pPr>
              <w:jc w:val="right"/>
              <w:ind w:right="940"/>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15"/>
                <w:szCs w:val="15"/>
                <w:color w:val="auto"/>
              </w:rPr>
            </w:pPr>
          </w:p>
        </w:tc>
        <w:tc>
          <w:tcPr>
            <w:tcW w:w="3400" w:type="dxa"/>
            <w:vAlign w:val="bottom"/>
            <w:tcBorders>
              <w:bottom w:val="single" w:sz="8" w:color="auto"/>
            </w:tcBorders>
            <w:gridSpan w:val="3"/>
          </w:tcPr>
          <w:p>
            <w:pPr>
              <w:jc w:val="right"/>
              <w:ind w:right="1020"/>
              <w:spacing w:after="0"/>
              <w:rPr>
                <w:sz w:val="20"/>
                <w:szCs w:val="20"/>
                <w:color w:val="auto"/>
              </w:rPr>
            </w:pPr>
            <w:r>
              <w:rPr>
                <w:rFonts w:ascii="Arial" w:cs="Arial" w:eastAsia="Arial" w:hAnsi="Arial"/>
                <w:sz w:val="13"/>
                <w:szCs w:val="13"/>
                <w:b w:val="1"/>
                <w:bCs w:val="1"/>
                <w:color w:val="auto"/>
              </w:rPr>
              <w:t>Nine Months Ended</w:t>
            </w:r>
          </w:p>
        </w:tc>
      </w:tr>
      <w:tr>
        <w:trPr>
          <w:trHeight w:val="264"/>
        </w:trPr>
        <w:tc>
          <w:tcPr>
            <w:tcW w:w="4580" w:type="dxa"/>
            <w:vAlign w:val="bottom"/>
          </w:tcPr>
          <w:p>
            <w:pPr>
              <w:spacing w:after="0"/>
              <w:rPr>
                <w:sz w:val="22"/>
                <w:szCs w:val="22"/>
                <w:color w:val="auto"/>
              </w:rPr>
            </w:pPr>
          </w:p>
        </w:tc>
        <w:tc>
          <w:tcPr>
            <w:tcW w:w="1720" w:type="dxa"/>
            <w:vAlign w:val="bottom"/>
            <w:gridSpan w:val="2"/>
          </w:tcPr>
          <w:p>
            <w:pPr>
              <w:ind w:left="200"/>
              <w:spacing w:after="0"/>
              <w:rPr>
                <w:sz w:val="20"/>
                <w:szCs w:val="20"/>
                <w:color w:val="auto"/>
              </w:rPr>
            </w:pPr>
            <w:r>
              <w:rPr>
                <w:rFonts w:ascii="Arial" w:cs="Arial" w:eastAsia="Arial" w:hAnsi="Arial"/>
                <w:sz w:val="13"/>
                <w:szCs w:val="13"/>
                <w:b w:val="1"/>
                <w:bCs w:val="1"/>
                <w:color w:val="auto"/>
              </w:rPr>
              <w:t>September 30, 2016</w:t>
            </w:r>
          </w:p>
        </w:tc>
        <w:tc>
          <w:tcPr>
            <w:tcW w:w="1700" w:type="dxa"/>
            <w:vAlign w:val="bottom"/>
            <w:gridSpan w:val="2"/>
          </w:tcPr>
          <w:p>
            <w:pPr>
              <w:ind w:left="220"/>
              <w:spacing w:after="0"/>
              <w:rPr>
                <w:sz w:val="20"/>
                <w:szCs w:val="20"/>
                <w:color w:val="auto"/>
              </w:rPr>
            </w:pPr>
            <w:r>
              <w:rPr>
                <w:rFonts w:ascii="Arial" w:cs="Arial" w:eastAsia="Arial" w:hAnsi="Arial"/>
                <w:sz w:val="13"/>
                <w:szCs w:val="13"/>
                <w:b w:val="1"/>
                <w:bCs w:val="1"/>
                <w:color w:val="auto"/>
              </w:rPr>
              <w:t>September 30, 2015</w:t>
            </w:r>
          </w:p>
        </w:tc>
        <w:tc>
          <w:tcPr>
            <w:tcW w:w="1820" w:type="dxa"/>
            <w:vAlign w:val="bottom"/>
            <w:gridSpan w:val="2"/>
          </w:tcPr>
          <w:p>
            <w:pPr>
              <w:ind w:left="260"/>
              <w:spacing w:after="0"/>
              <w:rPr>
                <w:sz w:val="20"/>
                <w:szCs w:val="20"/>
                <w:color w:val="auto"/>
              </w:rPr>
            </w:pPr>
            <w:r>
              <w:rPr>
                <w:rFonts w:ascii="Arial" w:cs="Arial" w:eastAsia="Arial" w:hAnsi="Arial"/>
                <w:sz w:val="13"/>
                <w:szCs w:val="13"/>
                <w:b w:val="1"/>
                <w:bCs w:val="1"/>
                <w:color w:val="auto"/>
              </w:rPr>
              <w:t>September 30, 2016</w:t>
            </w:r>
          </w:p>
        </w:tc>
        <w:tc>
          <w:tcPr>
            <w:tcW w:w="1580" w:type="dxa"/>
            <w:vAlign w:val="bottom"/>
          </w:tcPr>
          <w:p>
            <w:pPr>
              <w:jc w:val="right"/>
              <w:ind w:right="120"/>
              <w:spacing w:after="0"/>
              <w:rPr>
                <w:sz w:val="20"/>
                <w:szCs w:val="20"/>
                <w:color w:val="auto"/>
              </w:rPr>
            </w:pPr>
            <w:r>
              <w:rPr>
                <w:rFonts w:ascii="Arial" w:cs="Arial" w:eastAsia="Arial" w:hAnsi="Arial"/>
                <w:sz w:val="13"/>
                <w:szCs w:val="13"/>
                <w:b w:val="1"/>
                <w:bCs w:val="1"/>
                <w:color w:val="auto"/>
              </w:rPr>
              <w:t>September 30, 2015</w:t>
            </w:r>
          </w:p>
        </w:tc>
      </w:tr>
      <w:tr>
        <w:trPr>
          <w:trHeight w:val="270"/>
        </w:trPr>
        <w:tc>
          <w:tcPr>
            <w:tcW w:w="4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16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7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580" w:type="dxa"/>
            <w:vAlign w:val="bottom"/>
            <w:tcBorders>
              <w:top w:val="single" w:sz="8" w:color="auto"/>
            </w:tcBorders>
            <w:shd w:val="clear" w:color="auto" w:fill="CCEEFF"/>
          </w:tcPr>
          <w:p>
            <w:pPr>
              <w:spacing w:after="0"/>
              <w:rPr>
                <w:sz w:val="23"/>
                <w:szCs w:val="23"/>
                <w:color w:val="auto"/>
              </w:rPr>
            </w:pPr>
          </w:p>
        </w:tc>
      </w:tr>
      <w:tr>
        <w:trPr>
          <w:trHeight w:val="260"/>
        </w:trPr>
        <w:tc>
          <w:tcPr>
            <w:tcW w:w="4580" w:type="dxa"/>
            <w:vAlign w:val="bottom"/>
          </w:tcPr>
          <w:p>
            <w:pPr>
              <w:ind w:left="280"/>
              <w:spacing w:after="0"/>
              <w:rPr>
                <w:sz w:val="20"/>
                <w:szCs w:val="20"/>
                <w:color w:val="auto"/>
              </w:rPr>
            </w:pPr>
            <w:r>
              <w:rPr>
                <w:rFonts w:ascii="Arial" w:cs="Arial" w:eastAsia="Arial" w:hAnsi="Arial"/>
                <w:sz w:val="16"/>
                <w:szCs w:val="16"/>
                <w:color w:val="auto"/>
              </w:rPr>
              <w:t>Chevrolet - Cars</w:t>
            </w: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174</w:t>
            </w:r>
          </w:p>
        </w:tc>
        <w:tc>
          <w:tcPr>
            <w:tcW w:w="120" w:type="dxa"/>
            <w:vAlign w:val="bottom"/>
          </w:tcPr>
          <w:p>
            <w:pPr>
              <w:spacing w:after="0"/>
              <w:rPr>
                <w:sz w:val="22"/>
                <w:szCs w:val="22"/>
                <w:color w:val="auto"/>
              </w:rPr>
            </w:pP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182</w:t>
            </w:r>
          </w:p>
        </w:tc>
        <w:tc>
          <w:tcPr>
            <w:tcW w:w="100" w:type="dxa"/>
            <w:vAlign w:val="bottom"/>
          </w:tcPr>
          <w:p>
            <w:pPr>
              <w:spacing w:after="0"/>
              <w:rPr>
                <w:sz w:val="22"/>
                <w:szCs w:val="22"/>
                <w:color w:val="auto"/>
              </w:rPr>
            </w:pPr>
          </w:p>
        </w:tc>
        <w:tc>
          <w:tcPr>
            <w:tcW w:w="1700" w:type="dxa"/>
            <w:vAlign w:val="bottom"/>
          </w:tcPr>
          <w:p>
            <w:pPr>
              <w:jc w:val="right"/>
              <w:ind w:right="21"/>
              <w:spacing w:after="0"/>
              <w:rPr>
                <w:sz w:val="20"/>
                <w:szCs w:val="20"/>
                <w:color w:val="auto"/>
              </w:rPr>
            </w:pPr>
            <w:r>
              <w:rPr>
                <w:rFonts w:ascii="Arial" w:cs="Arial" w:eastAsia="Arial" w:hAnsi="Arial"/>
                <w:sz w:val="16"/>
                <w:szCs w:val="16"/>
                <w:color w:val="auto"/>
              </w:rPr>
              <w:t>548</w:t>
            </w:r>
          </w:p>
        </w:tc>
        <w:tc>
          <w:tcPr>
            <w:tcW w:w="120" w:type="dxa"/>
            <w:vAlign w:val="bottom"/>
          </w:tcPr>
          <w:p>
            <w:pPr>
              <w:spacing w:after="0"/>
              <w:rPr>
                <w:sz w:val="22"/>
                <w:szCs w:val="22"/>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590</w:t>
            </w:r>
          </w:p>
        </w:tc>
      </w:tr>
      <w:tr>
        <w:trPr>
          <w:trHeight w:val="280"/>
        </w:trPr>
        <w:tc>
          <w:tcPr>
            <w:tcW w:w="45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Chevrolet - Trucks</w:t>
            </w:r>
          </w:p>
        </w:tc>
        <w:tc>
          <w:tcPr>
            <w:tcW w:w="16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241</w:t>
            </w: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239</w:t>
            </w: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665</w:t>
            </w: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649</w:t>
            </w:r>
          </w:p>
        </w:tc>
      </w:tr>
      <w:tr>
        <w:trPr>
          <w:trHeight w:val="260"/>
        </w:trPr>
        <w:tc>
          <w:tcPr>
            <w:tcW w:w="4580" w:type="dxa"/>
            <w:vAlign w:val="bottom"/>
          </w:tcPr>
          <w:p>
            <w:pPr>
              <w:ind w:left="280"/>
              <w:spacing w:after="0"/>
              <w:rPr>
                <w:sz w:val="20"/>
                <w:szCs w:val="20"/>
                <w:color w:val="auto"/>
              </w:rPr>
            </w:pPr>
            <w:r>
              <w:rPr>
                <w:rFonts w:ascii="Arial" w:cs="Arial" w:eastAsia="Arial" w:hAnsi="Arial"/>
                <w:sz w:val="16"/>
                <w:szCs w:val="16"/>
                <w:color w:val="auto"/>
              </w:rPr>
              <w:t>Chevrolet - Crossovers</w:t>
            </w: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22"/>
                <w:szCs w:val="22"/>
                <w:color w:val="auto"/>
              </w:rPr>
            </w:pP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22"/>
                <w:szCs w:val="22"/>
                <w:color w:val="auto"/>
              </w:rPr>
            </w:pPr>
          </w:p>
        </w:tc>
        <w:tc>
          <w:tcPr>
            <w:tcW w:w="1700" w:type="dxa"/>
            <w:vAlign w:val="bottom"/>
          </w:tcPr>
          <w:p>
            <w:pPr>
              <w:jc w:val="right"/>
              <w:ind w:right="21"/>
              <w:spacing w:after="0"/>
              <w:rPr>
                <w:sz w:val="20"/>
                <w:szCs w:val="20"/>
                <w:color w:val="auto"/>
              </w:rPr>
            </w:pPr>
            <w:r>
              <w:rPr>
                <w:rFonts w:ascii="Arial" w:cs="Arial" w:eastAsia="Arial" w:hAnsi="Arial"/>
                <w:sz w:val="16"/>
                <w:szCs w:val="16"/>
                <w:color w:val="auto"/>
              </w:rPr>
              <w:t>320</w:t>
            </w:r>
          </w:p>
        </w:tc>
        <w:tc>
          <w:tcPr>
            <w:tcW w:w="120" w:type="dxa"/>
            <w:vAlign w:val="bottom"/>
          </w:tcPr>
          <w:p>
            <w:pPr>
              <w:spacing w:after="0"/>
              <w:rPr>
                <w:sz w:val="22"/>
                <w:szCs w:val="22"/>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358</w:t>
            </w:r>
          </w:p>
        </w:tc>
      </w:tr>
      <w:tr>
        <w:trPr>
          <w:trHeight w:val="280"/>
        </w:trPr>
        <w:tc>
          <w:tcPr>
            <w:tcW w:w="45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Cadillac</w:t>
            </w:r>
          </w:p>
        </w:tc>
        <w:tc>
          <w:tcPr>
            <w:tcW w:w="16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46</w:t>
            </w: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119</w:t>
            </w: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126</w:t>
            </w:r>
          </w:p>
        </w:tc>
      </w:tr>
      <w:tr>
        <w:trPr>
          <w:trHeight w:val="260"/>
        </w:trPr>
        <w:tc>
          <w:tcPr>
            <w:tcW w:w="4580" w:type="dxa"/>
            <w:vAlign w:val="bottom"/>
          </w:tcPr>
          <w:p>
            <w:pPr>
              <w:ind w:left="280"/>
              <w:spacing w:after="0"/>
              <w:rPr>
                <w:sz w:val="20"/>
                <w:szCs w:val="20"/>
                <w:color w:val="auto"/>
              </w:rPr>
            </w:pPr>
            <w:r>
              <w:rPr>
                <w:rFonts w:ascii="Arial" w:cs="Arial" w:eastAsia="Arial" w:hAnsi="Arial"/>
                <w:sz w:val="16"/>
                <w:szCs w:val="16"/>
                <w:color w:val="auto"/>
              </w:rPr>
              <w:t>Buick</w:t>
            </w: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22"/>
                <w:szCs w:val="22"/>
                <w:color w:val="auto"/>
              </w:rPr>
            </w:pP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22"/>
                <w:szCs w:val="22"/>
                <w:color w:val="auto"/>
              </w:rPr>
            </w:pPr>
          </w:p>
        </w:tc>
        <w:tc>
          <w:tcPr>
            <w:tcW w:w="1700" w:type="dxa"/>
            <w:vAlign w:val="bottom"/>
          </w:tcPr>
          <w:p>
            <w:pPr>
              <w:jc w:val="right"/>
              <w:ind w:right="21"/>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22"/>
                <w:szCs w:val="22"/>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168</w:t>
            </w:r>
          </w:p>
        </w:tc>
      </w:tr>
      <w:tr>
        <w:trPr>
          <w:trHeight w:val="273"/>
        </w:trPr>
        <w:tc>
          <w:tcPr>
            <w:tcW w:w="45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GMC</w:t>
            </w:r>
          </w:p>
        </w:tc>
        <w:tc>
          <w:tcPr>
            <w:tcW w:w="16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136</w:t>
            </w:r>
          </w:p>
        </w:tc>
        <w:tc>
          <w:tcPr>
            <w:tcW w:w="120" w:type="dxa"/>
            <w:vAlign w:val="bottom"/>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146</w:t>
            </w:r>
          </w:p>
        </w:tc>
        <w:tc>
          <w:tcPr>
            <w:tcW w:w="100" w:type="dxa"/>
            <w:vAlign w:val="bottom"/>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390</w:t>
            </w:r>
          </w:p>
        </w:tc>
        <w:tc>
          <w:tcPr>
            <w:tcW w:w="120" w:type="dxa"/>
            <w:vAlign w:val="bottom"/>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409</w:t>
            </w:r>
          </w:p>
        </w:tc>
      </w:tr>
      <w:tr>
        <w:trPr>
          <w:trHeight w:val="247"/>
        </w:trPr>
        <w:tc>
          <w:tcPr>
            <w:tcW w:w="4580" w:type="dxa"/>
            <w:vAlign w:val="bottom"/>
          </w:tcPr>
          <w:p>
            <w:pPr>
              <w:ind w:left="280"/>
              <w:spacing w:after="0"/>
              <w:rPr>
                <w:sz w:val="20"/>
                <w:szCs w:val="20"/>
                <w:color w:val="auto"/>
              </w:rPr>
            </w:pPr>
            <w:r>
              <w:rPr>
                <w:rFonts w:ascii="Arial" w:cs="Arial" w:eastAsia="Arial" w:hAnsi="Arial"/>
                <w:sz w:val="16"/>
                <w:szCs w:val="16"/>
                <w:b w:val="1"/>
                <w:bCs w:val="1"/>
                <w:color w:val="auto"/>
              </w:rPr>
              <w:t>Total United States</w:t>
            </w:r>
          </w:p>
        </w:tc>
        <w:tc>
          <w:tcPr>
            <w:tcW w:w="1600" w:type="dxa"/>
            <w:vAlign w:val="bottom"/>
          </w:tcPr>
          <w:p>
            <w:pPr>
              <w:jc w:val="right"/>
              <w:ind w:right="41"/>
              <w:spacing w:after="0"/>
              <w:rPr>
                <w:sz w:val="20"/>
                <w:szCs w:val="20"/>
                <w:color w:val="auto"/>
              </w:rPr>
            </w:pPr>
            <w:r>
              <w:rPr>
                <w:rFonts w:ascii="Arial" w:cs="Arial" w:eastAsia="Arial" w:hAnsi="Arial"/>
                <w:sz w:val="16"/>
                <w:szCs w:val="16"/>
                <w:b w:val="1"/>
                <w:bCs w:val="1"/>
                <w:color w:val="auto"/>
              </w:rPr>
              <w:t>773</w:t>
            </w:r>
          </w:p>
        </w:tc>
        <w:tc>
          <w:tcPr>
            <w:tcW w:w="120" w:type="dxa"/>
            <w:vAlign w:val="bottom"/>
          </w:tcPr>
          <w:p>
            <w:pPr>
              <w:spacing w:after="0"/>
              <w:rPr>
                <w:sz w:val="21"/>
                <w:szCs w:val="21"/>
                <w:color w:val="auto"/>
              </w:rPr>
            </w:pPr>
          </w:p>
        </w:tc>
        <w:tc>
          <w:tcPr>
            <w:tcW w:w="1600" w:type="dxa"/>
            <w:vAlign w:val="bottom"/>
          </w:tcPr>
          <w:p>
            <w:pPr>
              <w:jc w:val="right"/>
              <w:ind w:right="40"/>
              <w:spacing w:after="0"/>
              <w:rPr>
                <w:sz w:val="20"/>
                <w:szCs w:val="20"/>
                <w:color w:val="auto"/>
              </w:rPr>
            </w:pPr>
            <w:r>
              <w:rPr>
                <w:rFonts w:ascii="Arial" w:cs="Arial" w:eastAsia="Arial" w:hAnsi="Arial"/>
                <w:sz w:val="16"/>
                <w:szCs w:val="16"/>
                <w:b w:val="1"/>
                <w:bCs w:val="1"/>
                <w:color w:val="auto"/>
              </w:rPr>
              <w:t>794</w:t>
            </w:r>
          </w:p>
        </w:tc>
        <w:tc>
          <w:tcPr>
            <w:tcW w:w="100" w:type="dxa"/>
            <w:vAlign w:val="bottom"/>
          </w:tcPr>
          <w:p>
            <w:pPr>
              <w:spacing w:after="0"/>
              <w:rPr>
                <w:sz w:val="21"/>
                <w:szCs w:val="21"/>
                <w:color w:val="auto"/>
              </w:rPr>
            </w:pPr>
          </w:p>
        </w:tc>
        <w:tc>
          <w:tcPr>
            <w:tcW w:w="1700" w:type="dxa"/>
            <w:vAlign w:val="bottom"/>
          </w:tcPr>
          <w:p>
            <w:pPr>
              <w:jc w:val="right"/>
              <w:ind w:right="21"/>
              <w:spacing w:after="0"/>
              <w:rPr>
                <w:sz w:val="20"/>
                <w:szCs w:val="20"/>
                <w:color w:val="auto"/>
              </w:rPr>
            </w:pPr>
            <w:r>
              <w:rPr>
                <w:rFonts w:ascii="Arial" w:cs="Arial" w:eastAsia="Arial" w:hAnsi="Arial"/>
                <w:sz w:val="16"/>
                <w:szCs w:val="16"/>
                <w:b w:val="1"/>
                <w:bCs w:val="1"/>
                <w:color w:val="auto"/>
              </w:rPr>
              <w:t>2,212</w:t>
            </w:r>
          </w:p>
        </w:tc>
        <w:tc>
          <w:tcPr>
            <w:tcW w:w="120" w:type="dxa"/>
            <w:vAlign w:val="bottom"/>
          </w:tcPr>
          <w:p>
            <w:pPr>
              <w:spacing w:after="0"/>
              <w:rPr>
                <w:sz w:val="21"/>
                <w:szCs w:val="21"/>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b w:val="1"/>
                <w:bCs w:val="1"/>
                <w:color w:val="auto"/>
              </w:rPr>
              <w:t>2,300</w:t>
            </w:r>
          </w:p>
        </w:tc>
      </w:tr>
      <w:tr>
        <w:trPr>
          <w:trHeight w:val="273"/>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Canada, Mexico and Other</w:t>
            </w:r>
          </w:p>
        </w:tc>
        <w:tc>
          <w:tcPr>
            <w:tcW w:w="16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146</w:t>
            </w:r>
          </w:p>
        </w:tc>
        <w:tc>
          <w:tcPr>
            <w:tcW w:w="120" w:type="dxa"/>
            <w:vAlign w:val="bottom"/>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137</w:t>
            </w:r>
          </w:p>
        </w:tc>
        <w:tc>
          <w:tcPr>
            <w:tcW w:w="100" w:type="dxa"/>
            <w:vAlign w:val="bottom"/>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416</w:t>
            </w:r>
          </w:p>
        </w:tc>
        <w:tc>
          <w:tcPr>
            <w:tcW w:w="120" w:type="dxa"/>
            <w:vAlign w:val="bottom"/>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385</w:t>
            </w:r>
          </w:p>
        </w:tc>
      </w:tr>
      <w:tr>
        <w:trPr>
          <w:trHeight w:val="250"/>
        </w:trPr>
        <w:tc>
          <w:tcPr>
            <w:tcW w:w="4580" w:type="dxa"/>
            <w:vAlign w:val="bottom"/>
            <w:tcBorders>
              <w:bottom w:val="single" w:sz="8" w:color="CCEEFF"/>
            </w:tcBorders>
          </w:tcPr>
          <w:p>
            <w:pPr>
              <w:ind w:left="280"/>
              <w:spacing w:after="0"/>
              <w:rPr>
                <w:sz w:val="20"/>
                <w:szCs w:val="20"/>
                <w:color w:val="auto"/>
              </w:rPr>
            </w:pPr>
            <w:r>
              <w:rPr>
                <w:rFonts w:ascii="Arial" w:cs="Arial" w:eastAsia="Arial" w:hAnsi="Arial"/>
                <w:sz w:val="16"/>
                <w:szCs w:val="16"/>
                <w:b w:val="1"/>
                <w:bCs w:val="1"/>
                <w:color w:val="auto"/>
              </w:rPr>
              <w:t>Total North America</w:t>
            </w:r>
          </w:p>
        </w:tc>
        <w:tc>
          <w:tcPr>
            <w:tcW w:w="16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919</w:t>
            </w:r>
          </w:p>
        </w:tc>
        <w:tc>
          <w:tcPr>
            <w:tcW w:w="12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931</w:t>
            </w:r>
          </w:p>
        </w:tc>
        <w:tc>
          <w:tcPr>
            <w:tcW w:w="100" w:type="dxa"/>
            <w:vAlign w:val="bottom"/>
            <w:tcBorders>
              <w:bottom w:val="single" w:sz="8" w:color="CCEEFF"/>
            </w:tcBorders>
          </w:tcPr>
          <w:p>
            <w:pPr>
              <w:spacing w:after="0"/>
              <w:rPr>
                <w:sz w:val="21"/>
                <w:szCs w:val="21"/>
                <w:color w:val="auto"/>
              </w:rPr>
            </w:pPr>
          </w:p>
        </w:tc>
        <w:tc>
          <w:tcPr>
            <w:tcW w:w="17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2,628</w:t>
            </w:r>
          </w:p>
        </w:tc>
        <w:tc>
          <w:tcPr>
            <w:tcW w:w="12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2,685</w:t>
            </w:r>
          </w:p>
        </w:tc>
      </w:tr>
      <w:tr>
        <w:trPr>
          <w:trHeight w:val="270"/>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Europe</w:t>
            </w:r>
          </w:p>
        </w:tc>
        <w:tc>
          <w:tcPr>
            <w:tcW w:w="1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r>
      <w:tr>
        <w:trPr>
          <w:trHeight w:val="260"/>
        </w:trPr>
        <w:tc>
          <w:tcPr>
            <w:tcW w:w="4580" w:type="dxa"/>
            <w:vAlign w:val="bottom"/>
          </w:tcPr>
          <w:p>
            <w:pPr>
              <w:ind w:left="280"/>
              <w:spacing w:after="0"/>
              <w:rPr>
                <w:sz w:val="20"/>
                <w:szCs w:val="20"/>
                <w:color w:val="auto"/>
              </w:rPr>
            </w:pPr>
            <w:r>
              <w:rPr>
                <w:rFonts w:ascii="Arial" w:cs="Arial" w:eastAsia="Arial" w:hAnsi="Arial"/>
                <w:sz w:val="16"/>
                <w:szCs w:val="16"/>
                <w:color w:val="auto"/>
              </w:rPr>
              <w:t>Opel/Vauxhall</w:t>
            </w: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273</w:t>
            </w:r>
          </w:p>
        </w:tc>
        <w:tc>
          <w:tcPr>
            <w:tcW w:w="120" w:type="dxa"/>
            <w:vAlign w:val="bottom"/>
          </w:tcPr>
          <w:p>
            <w:pPr>
              <w:spacing w:after="0"/>
              <w:rPr>
                <w:sz w:val="22"/>
                <w:szCs w:val="22"/>
                <w:color w:val="auto"/>
              </w:rPr>
            </w:pP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268</w:t>
            </w:r>
          </w:p>
        </w:tc>
        <w:tc>
          <w:tcPr>
            <w:tcW w:w="100" w:type="dxa"/>
            <w:vAlign w:val="bottom"/>
          </w:tcPr>
          <w:p>
            <w:pPr>
              <w:spacing w:after="0"/>
              <w:rPr>
                <w:sz w:val="22"/>
                <w:szCs w:val="22"/>
                <w:color w:val="auto"/>
              </w:rPr>
            </w:pPr>
          </w:p>
        </w:tc>
        <w:tc>
          <w:tcPr>
            <w:tcW w:w="1700" w:type="dxa"/>
            <w:vAlign w:val="bottom"/>
          </w:tcPr>
          <w:p>
            <w:pPr>
              <w:jc w:val="right"/>
              <w:ind w:right="21"/>
              <w:spacing w:after="0"/>
              <w:rPr>
                <w:sz w:val="20"/>
                <w:szCs w:val="20"/>
                <w:color w:val="auto"/>
              </w:rPr>
            </w:pPr>
            <w:r>
              <w:rPr>
                <w:rFonts w:ascii="Arial" w:cs="Arial" w:eastAsia="Arial" w:hAnsi="Arial"/>
                <w:sz w:val="16"/>
                <w:szCs w:val="16"/>
                <w:color w:val="auto"/>
              </w:rPr>
              <w:t>895</w:t>
            </w:r>
          </w:p>
        </w:tc>
        <w:tc>
          <w:tcPr>
            <w:tcW w:w="120" w:type="dxa"/>
            <w:vAlign w:val="bottom"/>
          </w:tcPr>
          <w:p>
            <w:pPr>
              <w:spacing w:after="0"/>
              <w:rPr>
                <w:sz w:val="22"/>
                <w:szCs w:val="22"/>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851</w:t>
            </w:r>
          </w:p>
        </w:tc>
      </w:tr>
      <w:tr>
        <w:trPr>
          <w:trHeight w:val="273"/>
        </w:trPr>
        <w:tc>
          <w:tcPr>
            <w:tcW w:w="45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Chevrolet(a)</w:t>
            </w:r>
          </w:p>
        </w:tc>
        <w:tc>
          <w:tcPr>
            <w:tcW w:w="16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50</w:t>
            </w:r>
          </w:p>
        </w:tc>
      </w:tr>
      <w:tr>
        <w:trPr>
          <w:trHeight w:val="250"/>
        </w:trPr>
        <w:tc>
          <w:tcPr>
            <w:tcW w:w="4580" w:type="dxa"/>
            <w:vAlign w:val="bottom"/>
            <w:tcBorders>
              <w:bottom w:val="single" w:sz="8" w:color="CCEEFF"/>
            </w:tcBorders>
          </w:tcPr>
          <w:p>
            <w:pPr>
              <w:ind w:left="280"/>
              <w:spacing w:after="0"/>
              <w:rPr>
                <w:sz w:val="20"/>
                <w:szCs w:val="20"/>
                <w:color w:val="auto"/>
              </w:rPr>
            </w:pPr>
            <w:r>
              <w:rPr>
                <w:rFonts w:ascii="Arial" w:cs="Arial" w:eastAsia="Arial" w:hAnsi="Arial"/>
                <w:sz w:val="16"/>
                <w:szCs w:val="16"/>
                <w:b w:val="1"/>
                <w:bCs w:val="1"/>
                <w:color w:val="auto"/>
              </w:rPr>
              <w:t>Total Europe</w:t>
            </w:r>
          </w:p>
        </w:tc>
        <w:tc>
          <w:tcPr>
            <w:tcW w:w="16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283</w:t>
            </w:r>
          </w:p>
        </w:tc>
        <w:tc>
          <w:tcPr>
            <w:tcW w:w="12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289</w:t>
            </w:r>
          </w:p>
        </w:tc>
        <w:tc>
          <w:tcPr>
            <w:tcW w:w="100" w:type="dxa"/>
            <w:vAlign w:val="bottom"/>
            <w:tcBorders>
              <w:bottom w:val="single" w:sz="8" w:color="CCEEFF"/>
            </w:tcBorders>
          </w:tcPr>
          <w:p>
            <w:pPr>
              <w:spacing w:after="0"/>
              <w:rPr>
                <w:sz w:val="21"/>
                <w:szCs w:val="21"/>
                <w:color w:val="auto"/>
              </w:rPr>
            </w:pPr>
          </w:p>
        </w:tc>
        <w:tc>
          <w:tcPr>
            <w:tcW w:w="17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923</w:t>
            </w:r>
          </w:p>
        </w:tc>
        <w:tc>
          <w:tcPr>
            <w:tcW w:w="12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901</w:t>
            </w:r>
          </w:p>
        </w:tc>
      </w:tr>
      <w:tr>
        <w:trPr>
          <w:trHeight w:val="270"/>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Asia/Pacific, Middle East and Africa</w:t>
            </w:r>
          </w:p>
        </w:tc>
        <w:tc>
          <w:tcPr>
            <w:tcW w:w="1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r>
      <w:tr>
        <w:trPr>
          <w:trHeight w:val="260"/>
        </w:trPr>
        <w:tc>
          <w:tcPr>
            <w:tcW w:w="4580" w:type="dxa"/>
            <w:vAlign w:val="bottom"/>
          </w:tcPr>
          <w:p>
            <w:pPr>
              <w:ind w:left="280"/>
              <w:spacing w:after="0"/>
              <w:rPr>
                <w:sz w:val="20"/>
                <w:szCs w:val="20"/>
                <w:color w:val="auto"/>
              </w:rPr>
            </w:pPr>
            <w:r>
              <w:rPr>
                <w:rFonts w:ascii="Arial" w:cs="Arial" w:eastAsia="Arial" w:hAnsi="Arial"/>
                <w:sz w:val="16"/>
                <w:szCs w:val="16"/>
                <w:color w:val="auto"/>
              </w:rPr>
              <w:t>Chevrolet</w:t>
            </w: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235</w:t>
            </w:r>
          </w:p>
        </w:tc>
        <w:tc>
          <w:tcPr>
            <w:tcW w:w="120" w:type="dxa"/>
            <w:vAlign w:val="bottom"/>
          </w:tcPr>
          <w:p>
            <w:pPr>
              <w:spacing w:after="0"/>
              <w:rPr>
                <w:sz w:val="22"/>
                <w:szCs w:val="22"/>
                <w:color w:val="auto"/>
              </w:rPr>
            </w:pP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258</w:t>
            </w:r>
          </w:p>
        </w:tc>
        <w:tc>
          <w:tcPr>
            <w:tcW w:w="100" w:type="dxa"/>
            <w:vAlign w:val="bottom"/>
          </w:tcPr>
          <w:p>
            <w:pPr>
              <w:spacing w:after="0"/>
              <w:rPr>
                <w:sz w:val="22"/>
                <w:szCs w:val="22"/>
                <w:color w:val="auto"/>
              </w:rPr>
            </w:pPr>
          </w:p>
        </w:tc>
        <w:tc>
          <w:tcPr>
            <w:tcW w:w="1700" w:type="dxa"/>
            <w:vAlign w:val="bottom"/>
          </w:tcPr>
          <w:p>
            <w:pPr>
              <w:jc w:val="right"/>
              <w:ind w:right="21"/>
              <w:spacing w:after="0"/>
              <w:rPr>
                <w:sz w:val="20"/>
                <w:szCs w:val="20"/>
                <w:color w:val="auto"/>
              </w:rPr>
            </w:pPr>
            <w:r>
              <w:rPr>
                <w:rFonts w:ascii="Arial" w:cs="Arial" w:eastAsia="Arial" w:hAnsi="Arial"/>
                <w:sz w:val="16"/>
                <w:szCs w:val="16"/>
                <w:color w:val="auto"/>
              </w:rPr>
              <w:t>668</w:t>
            </w:r>
          </w:p>
        </w:tc>
        <w:tc>
          <w:tcPr>
            <w:tcW w:w="120" w:type="dxa"/>
            <w:vAlign w:val="bottom"/>
          </w:tcPr>
          <w:p>
            <w:pPr>
              <w:spacing w:after="0"/>
              <w:rPr>
                <w:sz w:val="22"/>
                <w:szCs w:val="22"/>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848</w:t>
            </w:r>
          </w:p>
        </w:tc>
      </w:tr>
      <w:tr>
        <w:trPr>
          <w:trHeight w:val="280"/>
        </w:trPr>
        <w:tc>
          <w:tcPr>
            <w:tcW w:w="45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Wuling</w:t>
            </w:r>
          </w:p>
        </w:tc>
        <w:tc>
          <w:tcPr>
            <w:tcW w:w="16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293</w:t>
            </w: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318</w:t>
            </w: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969</w:t>
            </w: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1,113</w:t>
            </w:r>
          </w:p>
        </w:tc>
      </w:tr>
      <w:tr>
        <w:trPr>
          <w:trHeight w:val="260"/>
        </w:trPr>
        <w:tc>
          <w:tcPr>
            <w:tcW w:w="4580" w:type="dxa"/>
            <w:vAlign w:val="bottom"/>
          </w:tcPr>
          <w:p>
            <w:pPr>
              <w:ind w:left="280"/>
              <w:spacing w:after="0"/>
              <w:rPr>
                <w:sz w:val="20"/>
                <w:szCs w:val="20"/>
                <w:color w:val="auto"/>
              </w:rPr>
            </w:pPr>
            <w:r>
              <w:rPr>
                <w:rFonts w:ascii="Arial" w:cs="Arial" w:eastAsia="Arial" w:hAnsi="Arial"/>
                <w:sz w:val="16"/>
                <w:szCs w:val="16"/>
                <w:color w:val="auto"/>
              </w:rPr>
              <w:t>Buick</w:t>
            </w: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284</w:t>
            </w:r>
          </w:p>
        </w:tc>
        <w:tc>
          <w:tcPr>
            <w:tcW w:w="120" w:type="dxa"/>
            <w:vAlign w:val="bottom"/>
          </w:tcPr>
          <w:p>
            <w:pPr>
              <w:spacing w:after="0"/>
              <w:rPr>
                <w:sz w:val="22"/>
                <w:szCs w:val="22"/>
                <w:color w:val="auto"/>
              </w:rPr>
            </w:pP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22"/>
                <w:szCs w:val="22"/>
                <w:color w:val="auto"/>
              </w:rPr>
            </w:pPr>
          </w:p>
        </w:tc>
        <w:tc>
          <w:tcPr>
            <w:tcW w:w="1700" w:type="dxa"/>
            <w:vAlign w:val="bottom"/>
          </w:tcPr>
          <w:p>
            <w:pPr>
              <w:jc w:val="right"/>
              <w:ind w:right="21"/>
              <w:spacing w:after="0"/>
              <w:rPr>
                <w:sz w:val="20"/>
                <w:szCs w:val="20"/>
                <w:color w:val="auto"/>
              </w:rPr>
            </w:pPr>
            <w:r>
              <w:rPr>
                <w:rFonts w:ascii="Arial" w:cs="Arial" w:eastAsia="Arial" w:hAnsi="Arial"/>
                <w:sz w:val="16"/>
                <w:szCs w:val="16"/>
                <w:color w:val="auto"/>
              </w:rPr>
              <w:t>844</w:t>
            </w:r>
          </w:p>
        </w:tc>
        <w:tc>
          <w:tcPr>
            <w:tcW w:w="120" w:type="dxa"/>
            <w:vAlign w:val="bottom"/>
          </w:tcPr>
          <w:p>
            <w:pPr>
              <w:spacing w:after="0"/>
              <w:rPr>
                <w:sz w:val="22"/>
                <w:szCs w:val="22"/>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686</w:t>
            </w:r>
          </w:p>
        </w:tc>
      </w:tr>
      <w:tr>
        <w:trPr>
          <w:trHeight w:val="280"/>
        </w:trPr>
        <w:tc>
          <w:tcPr>
            <w:tcW w:w="45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Baojun</w:t>
            </w:r>
          </w:p>
        </w:tc>
        <w:tc>
          <w:tcPr>
            <w:tcW w:w="16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149</w:t>
            </w: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122</w:t>
            </w: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478</w:t>
            </w: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304</w:t>
            </w:r>
          </w:p>
        </w:tc>
      </w:tr>
      <w:tr>
        <w:trPr>
          <w:trHeight w:val="260"/>
        </w:trPr>
        <w:tc>
          <w:tcPr>
            <w:tcW w:w="4580" w:type="dxa"/>
            <w:vAlign w:val="bottom"/>
          </w:tcPr>
          <w:p>
            <w:pPr>
              <w:ind w:left="280"/>
              <w:spacing w:after="0"/>
              <w:rPr>
                <w:sz w:val="20"/>
                <w:szCs w:val="20"/>
                <w:color w:val="auto"/>
              </w:rPr>
            </w:pPr>
            <w:r>
              <w:rPr>
                <w:rFonts w:ascii="Arial" w:cs="Arial" w:eastAsia="Arial" w:hAnsi="Arial"/>
                <w:sz w:val="16"/>
                <w:szCs w:val="16"/>
                <w:color w:val="auto"/>
              </w:rPr>
              <w:t>Cadillac</w:t>
            </w: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2"/>
                <w:szCs w:val="22"/>
                <w:color w:val="auto"/>
              </w:rPr>
            </w:pP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2"/>
                <w:szCs w:val="22"/>
                <w:color w:val="auto"/>
              </w:rPr>
            </w:pPr>
          </w:p>
        </w:tc>
        <w:tc>
          <w:tcPr>
            <w:tcW w:w="1700" w:type="dxa"/>
            <w:vAlign w:val="bottom"/>
          </w:tcPr>
          <w:p>
            <w:pPr>
              <w:jc w:val="right"/>
              <w:ind w:right="21"/>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22"/>
                <w:szCs w:val="22"/>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60</w:t>
            </w:r>
          </w:p>
        </w:tc>
      </w:tr>
      <w:tr>
        <w:trPr>
          <w:trHeight w:val="273"/>
        </w:trPr>
        <w:tc>
          <w:tcPr>
            <w:tcW w:w="45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16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140</w:t>
            </w:r>
          </w:p>
        </w:tc>
        <w:tc>
          <w:tcPr>
            <w:tcW w:w="120" w:type="dxa"/>
            <w:vAlign w:val="bottom"/>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155</w:t>
            </w:r>
          </w:p>
        </w:tc>
      </w:tr>
      <w:tr>
        <w:trPr>
          <w:trHeight w:val="250"/>
        </w:trPr>
        <w:tc>
          <w:tcPr>
            <w:tcW w:w="4580" w:type="dxa"/>
            <w:vAlign w:val="bottom"/>
            <w:tcBorders>
              <w:bottom w:val="single" w:sz="8" w:color="CCEEFF"/>
            </w:tcBorders>
          </w:tcPr>
          <w:p>
            <w:pPr>
              <w:ind w:left="280"/>
              <w:spacing w:after="0"/>
              <w:rPr>
                <w:sz w:val="20"/>
                <w:szCs w:val="20"/>
                <w:color w:val="auto"/>
              </w:rPr>
            </w:pPr>
            <w:r>
              <w:rPr>
                <w:rFonts w:ascii="Arial" w:cs="Arial" w:eastAsia="Arial" w:hAnsi="Arial"/>
                <w:sz w:val="16"/>
                <w:szCs w:val="16"/>
                <w:b w:val="1"/>
                <w:bCs w:val="1"/>
                <w:color w:val="auto"/>
              </w:rPr>
              <w:t>Total Asia/Pacific, Middle East and Africa</w:t>
            </w:r>
          </w:p>
        </w:tc>
        <w:tc>
          <w:tcPr>
            <w:tcW w:w="16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1,036</w:t>
            </w:r>
          </w:p>
        </w:tc>
        <w:tc>
          <w:tcPr>
            <w:tcW w:w="12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1,005</w:t>
            </w:r>
          </w:p>
        </w:tc>
        <w:tc>
          <w:tcPr>
            <w:tcW w:w="100" w:type="dxa"/>
            <w:vAlign w:val="bottom"/>
            <w:tcBorders>
              <w:bottom w:val="single" w:sz="8" w:color="CCEEFF"/>
            </w:tcBorders>
          </w:tcPr>
          <w:p>
            <w:pPr>
              <w:spacing w:after="0"/>
              <w:rPr>
                <w:sz w:val="21"/>
                <w:szCs w:val="21"/>
                <w:color w:val="auto"/>
              </w:rPr>
            </w:pPr>
          </w:p>
        </w:tc>
        <w:tc>
          <w:tcPr>
            <w:tcW w:w="17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3,179</w:t>
            </w:r>
          </w:p>
        </w:tc>
        <w:tc>
          <w:tcPr>
            <w:tcW w:w="12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3,166</w:t>
            </w:r>
          </w:p>
        </w:tc>
      </w:tr>
      <w:tr>
        <w:trPr>
          <w:trHeight w:val="250"/>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South America(b)</w:t>
            </w:r>
          </w:p>
        </w:tc>
        <w:tc>
          <w:tcPr>
            <w:tcW w:w="16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153</w:t>
            </w:r>
          </w:p>
        </w:tc>
        <w:tc>
          <w:tcPr>
            <w:tcW w:w="120" w:type="dxa"/>
            <w:vAlign w:val="bottom"/>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151</w:t>
            </w:r>
          </w:p>
        </w:tc>
        <w:tc>
          <w:tcPr>
            <w:tcW w:w="100" w:type="dxa"/>
            <w:vAlign w:val="bottom"/>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422</w:t>
            </w:r>
          </w:p>
        </w:tc>
        <w:tc>
          <w:tcPr>
            <w:tcW w:w="120" w:type="dxa"/>
            <w:vAlign w:val="bottom"/>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486</w:t>
            </w:r>
          </w:p>
        </w:tc>
      </w:tr>
      <w:tr>
        <w:trPr>
          <w:trHeight w:val="240"/>
        </w:trPr>
        <w:tc>
          <w:tcPr>
            <w:tcW w:w="4580" w:type="dxa"/>
            <w:vAlign w:val="bottom"/>
          </w:tcPr>
          <w:p>
            <w:pPr>
              <w:ind w:left="40"/>
              <w:spacing w:after="0"/>
              <w:rPr>
                <w:sz w:val="20"/>
                <w:szCs w:val="20"/>
                <w:color w:val="auto"/>
              </w:rPr>
            </w:pPr>
            <w:r>
              <w:rPr>
                <w:rFonts w:ascii="Arial" w:cs="Arial" w:eastAsia="Arial" w:hAnsi="Arial"/>
                <w:sz w:val="16"/>
                <w:szCs w:val="16"/>
                <w:b w:val="1"/>
                <w:bCs w:val="1"/>
                <w:color w:val="auto"/>
              </w:rPr>
              <w:t>Total Worldwide</w:t>
            </w:r>
          </w:p>
        </w:tc>
        <w:tc>
          <w:tcPr>
            <w:tcW w:w="16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2,391</w:t>
            </w:r>
          </w:p>
        </w:tc>
        <w:tc>
          <w:tcPr>
            <w:tcW w:w="120" w:type="dxa"/>
            <w:vAlign w:val="bottom"/>
          </w:tcPr>
          <w:p>
            <w:pPr>
              <w:spacing w:after="0"/>
              <w:rPr>
                <w:sz w:val="20"/>
                <w:szCs w:val="20"/>
                <w:color w:val="auto"/>
              </w:rPr>
            </w:pPr>
          </w:p>
        </w:tc>
        <w:tc>
          <w:tcPr>
            <w:tcW w:w="16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2,376</w:t>
            </w:r>
          </w:p>
        </w:tc>
        <w:tc>
          <w:tcPr>
            <w:tcW w:w="100" w:type="dxa"/>
            <w:vAlign w:val="bottom"/>
          </w:tcPr>
          <w:p>
            <w:pPr>
              <w:spacing w:after="0"/>
              <w:rPr>
                <w:sz w:val="20"/>
                <w:szCs w:val="20"/>
                <w:color w:val="auto"/>
              </w:rPr>
            </w:pPr>
          </w:p>
        </w:tc>
        <w:tc>
          <w:tcPr>
            <w:tcW w:w="17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7,152</w:t>
            </w:r>
          </w:p>
        </w:tc>
        <w:tc>
          <w:tcPr>
            <w:tcW w:w="120" w:type="dxa"/>
            <w:vAlign w:val="bottom"/>
          </w:tcPr>
          <w:p>
            <w:pPr>
              <w:spacing w:after="0"/>
              <w:rPr>
                <w:sz w:val="20"/>
                <w:szCs w:val="20"/>
                <w:color w:val="auto"/>
              </w:rPr>
            </w:pPr>
          </w:p>
        </w:tc>
        <w:tc>
          <w:tcPr>
            <w:tcW w:w="15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7,238</w:t>
            </w:r>
          </w:p>
        </w:tc>
      </w:tr>
      <w:tr>
        <w:trPr>
          <w:trHeight w:val="20"/>
        </w:trPr>
        <w:tc>
          <w:tcPr>
            <w:tcW w:w="45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_______</w:t>
      </w:r>
    </w:p>
    <w:p>
      <w:pPr>
        <w:spacing w:after="0" w:line="28" w:lineRule="exact"/>
        <w:rPr>
          <w:sz w:val="20"/>
          <w:szCs w:val="20"/>
          <w:color w:val="auto"/>
        </w:rPr>
      </w:pPr>
    </w:p>
    <w:p>
      <w:pPr>
        <w:ind w:left="220" w:hanging="212"/>
        <w:spacing w:after="0"/>
        <w:tabs>
          <w:tab w:leader="none" w:pos="22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Buick, Cadillac and GMC sales.</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6"/>
        </w:numPr>
        <w:rPr>
          <w:rFonts w:ascii="Arial" w:cs="Arial" w:eastAsia="Arial" w:hAnsi="Arial"/>
          <w:sz w:val="14"/>
          <w:szCs w:val="14"/>
          <w:color w:val="auto"/>
        </w:rPr>
      </w:pPr>
      <w:r>
        <w:rPr>
          <w:rFonts w:ascii="Arial" w:cs="Arial" w:eastAsia="Arial" w:hAnsi="Arial"/>
          <w:sz w:val="14"/>
          <w:szCs w:val="14"/>
          <w:color w:val="auto"/>
        </w:rPr>
        <w:t>Primarily Chevrolet.</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581" w:right="239" w:bottom="1440" w:gutter="0" w:footer="0" w:header="0"/>
        </w:sectPr>
      </w:pPr>
    </w:p>
    <w:bookmarkStart w:id="14" w:name="page15"/>
    <w:bookmarkEnd w:id="14"/>
    <w:p>
      <w:pPr>
        <w:jc w:val="center"/>
        <w:ind w:left="98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left="980"/>
        <w:spacing w:after="0"/>
        <w:rPr>
          <w:sz w:val="20"/>
          <w:szCs w:val="20"/>
          <w:color w:val="auto"/>
        </w:rPr>
      </w:pPr>
      <w:r>
        <w:rPr>
          <w:rFonts w:ascii="Arial" w:cs="Arial" w:eastAsia="Arial" w:hAnsi="Arial"/>
          <w:sz w:val="16"/>
          <w:szCs w:val="16"/>
          <w:b w:val="1"/>
          <w:bCs w:val="1"/>
          <w:color w:val="auto"/>
        </w:rPr>
        <w:t>Supplemental Material</w:t>
      </w:r>
    </w:p>
    <w:p>
      <w:pPr>
        <w:spacing w:after="0" w:line="5" w:lineRule="exact"/>
        <w:rPr>
          <w:sz w:val="20"/>
          <w:szCs w:val="20"/>
          <w:color w:val="auto"/>
        </w:rPr>
      </w:pPr>
    </w:p>
    <w:p>
      <w:pPr>
        <w:jc w:val="center"/>
        <w:ind w:left="98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i w:val="1"/>
          <w:iCs w:val="1"/>
          <w:color w:val="auto"/>
        </w:rPr>
        <w:t>Unaudited)</w:t>
      </w:r>
    </w:p>
    <w:p>
      <w:pPr>
        <w:spacing w:after="0" w:line="221" w:lineRule="exact"/>
        <w:rPr>
          <w:sz w:val="20"/>
          <w:szCs w:val="20"/>
          <w:color w:val="auto"/>
        </w:rPr>
      </w:pPr>
    </w:p>
    <w:p>
      <w:pPr>
        <w:ind w:firstLine="162"/>
        <w:spacing w:after="0" w:line="260" w:lineRule="auto"/>
        <w:rPr>
          <w:sz w:val="20"/>
          <w:szCs w:val="20"/>
          <w:color w:val="auto"/>
        </w:rPr>
      </w:pPr>
      <w:r>
        <w:rPr>
          <w:rFonts w:ascii="Arial" w:cs="Arial" w:eastAsia="Arial" w:hAnsi="Arial"/>
          <w:sz w:val="16"/>
          <w:szCs w:val="16"/>
          <w:color w:val="auto"/>
        </w:rPr>
        <w:t>The wholesale vehicle sales at GM's China joint ventures presented in the following table are included in GM's retail vehicle sales on the preceding page (vehicles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060" w:type="dxa"/>
            <w:vAlign w:val="bottom"/>
          </w:tcPr>
          <w:p>
            <w:pPr>
              <w:spacing w:after="0"/>
              <w:rPr>
                <w:sz w:val="15"/>
                <w:szCs w:val="15"/>
                <w:color w:val="auto"/>
              </w:rPr>
            </w:pPr>
          </w:p>
        </w:tc>
        <w:tc>
          <w:tcPr>
            <w:tcW w:w="2660" w:type="dxa"/>
            <w:vAlign w:val="bottom"/>
            <w:tcBorders>
              <w:bottom w:val="single" w:sz="8" w:color="auto"/>
            </w:tcBorders>
            <w:gridSpan w:val="4"/>
          </w:tcPr>
          <w:p>
            <w:pPr>
              <w:ind w:left="720"/>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15"/>
                <w:szCs w:val="15"/>
                <w:color w:val="auto"/>
              </w:rPr>
            </w:pPr>
          </w:p>
        </w:tc>
        <w:tc>
          <w:tcPr>
            <w:tcW w:w="2600" w:type="dxa"/>
            <w:vAlign w:val="bottom"/>
            <w:tcBorders>
              <w:bottom w:val="single" w:sz="8" w:color="auto"/>
            </w:tcBorders>
            <w:gridSpan w:val="3"/>
          </w:tcPr>
          <w:p>
            <w:pPr>
              <w:ind w:left="720"/>
              <w:spacing w:after="0"/>
              <w:rPr>
                <w:sz w:val="20"/>
                <w:szCs w:val="20"/>
                <w:color w:val="auto"/>
              </w:rPr>
            </w:pPr>
            <w:r>
              <w:rPr>
                <w:rFonts w:ascii="Arial" w:cs="Arial" w:eastAsia="Arial" w:hAnsi="Arial"/>
                <w:sz w:val="13"/>
                <w:szCs w:val="13"/>
                <w:b w:val="1"/>
                <w:bCs w:val="1"/>
                <w:color w:val="auto"/>
              </w:rPr>
              <w:t>Nine Months Ended</w:t>
            </w:r>
          </w:p>
        </w:tc>
      </w:tr>
      <w:tr>
        <w:trPr>
          <w:trHeight w:val="264"/>
        </w:trPr>
        <w:tc>
          <w:tcPr>
            <w:tcW w:w="6060" w:type="dxa"/>
            <w:vAlign w:val="bottom"/>
          </w:tcPr>
          <w:p>
            <w:pPr>
              <w:spacing w:after="0"/>
              <w:rPr>
                <w:sz w:val="22"/>
                <w:szCs w:val="22"/>
                <w:color w:val="auto"/>
              </w:rPr>
            </w:pPr>
          </w:p>
        </w:tc>
        <w:tc>
          <w:tcPr>
            <w:tcW w:w="1380" w:type="dxa"/>
            <w:vAlign w:val="bottom"/>
            <w:gridSpan w:val="2"/>
          </w:tcPr>
          <w:p>
            <w:pPr>
              <w:ind w:left="40"/>
              <w:spacing w:after="0"/>
              <w:rPr>
                <w:sz w:val="20"/>
                <w:szCs w:val="20"/>
                <w:color w:val="auto"/>
              </w:rPr>
            </w:pPr>
            <w:r>
              <w:rPr>
                <w:rFonts w:ascii="Arial" w:cs="Arial" w:eastAsia="Arial" w:hAnsi="Arial"/>
                <w:sz w:val="13"/>
                <w:szCs w:val="13"/>
                <w:b w:val="1"/>
                <w:bCs w:val="1"/>
                <w:color w:val="auto"/>
              </w:rPr>
              <w:t>September 30, 2016</w:t>
            </w:r>
          </w:p>
        </w:tc>
        <w:tc>
          <w:tcPr>
            <w:tcW w:w="1380" w:type="dxa"/>
            <w:vAlign w:val="bottom"/>
            <w:gridSpan w:val="3"/>
          </w:tcPr>
          <w:p>
            <w:pPr>
              <w:ind w:left="60"/>
              <w:spacing w:after="0"/>
              <w:rPr>
                <w:sz w:val="20"/>
                <w:szCs w:val="20"/>
                <w:color w:val="auto"/>
              </w:rPr>
            </w:pPr>
            <w:r>
              <w:rPr>
                <w:rFonts w:ascii="Arial" w:cs="Arial" w:eastAsia="Arial" w:hAnsi="Arial"/>
                <w:sz w:val="13"/>
                <w:szCs w:val="13"/>
                <w:b w:val="1"/>
                <w:bCs w:val="1"/>
                <w:color w:val="auto"/>
              </w:rPr>
              <w:t>September 30, 2015</w:t>
            </w:r>
          </w:p>
        </w:tc>
        <w:tc>
          <w:tcPr>
            <w:tcW w:w="1360" w:type="dxa"/>
            <w:vAlign w:val="bottom"/>
            <w:gridSpan w:val="2"/>
          </w:tcPr>
          <w:p>
            <w:pPr>
              <w:ind w:left="40"/>
              <w:spacing w:after="0"/>
              <w:rPr>
                <w:sz w:val="20"/>
                <w:szCs w:val="20"/>
                <w:color w:val="auto"/>
              </w:rPr>
            </w:pPr>
            <w:r>
              <w:rPr>
                <w:rFonts w:ascii="Arial" w:cs="Arial" w:eastAsia="Arial" w:hAnsi="Arial"/>
                <w:sz w:val="13"/>
                <w:szCs w:val="13"/>
                <w:b w:val="1"/>
                <w:bCs w:val="1"/>
                <w:color w:val="auto"/>
              </w:rPr>
              <w:t>September 30, 2016</w:t>
            </w:r>
          </w:p>
        </w:tc>
        <w:tc>
          <w:tcPr>
            <w:tcW w:w="1240" w:type="dxa"/>
            <w:vAlign w:val="bottom"/>
          </w:tcPr>
          <w:p>
            <w:pPr>
              <w:jc w:val="right"/>
              <w:spacing w:after="0"/>
              <w:rPr>
                <w:sz w:val="20"/>
                <w:szCs w:val="20"/>
                <w:color w:val="auto"/>
              </w:rPr>
            </w:pPr>
            <w:r>
              <w:rPr>
                <w:rFonts w:ascii="Arial" w:cs="Arial" w:eastAsia="Arial" w:hAnsi="Arial"/>
                <w:sz w:val="13"/>
                <w:szCs w:val="13"/>
                <w:b w:val="1"/>
                <w:bCs w:val="1"/>
                <w:color w:val="auto"/>
                <w:w w:val="97"/>
              </w:rPr>
              <w:t>September 30, 2015</w:t>
            </w:r>
          </w:p>
        </w:tc>
      </w:tr>
      <w:tr>
        <w:trPr>
          <w:trHeight w:val="257"/>
        </w:trPr>
        <w:tc>
          <w:tcPr>
            <w:tcW w:w="60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SAIC General Motors Sales Co., Ltd.</w:t>
            </w:r>
          </w:p>
        </w:tc>
        <w:tc>
          <w:tcPr>
            <w:tcW w:w="126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433</w:t>
            </w:r>
          </w:p>
        </w:tc>
        <w:tc>
          <w:tcPr>
            <w:tcW w:w="120" w:type="dxa"/>
            <w:vAlign w:val="bottom"/>
            <w:tcBorders>
              <w:top w:val="single" w:sz="8" w:color="CCEEFF"/>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373</w:t>
            </w:r>
          </w:p>
        </w:tc>
        <w:tc>
          <w:tcPr>
            <w:tcW w:w="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6"/>
                <w:szCs w:val="16"/>
                <w:color w:val="auto"/>
              </w:rPr>
              <w:t>1,243</w:t>
            </w:r>
          </w:p>
        </w:tc>
        <w:tc>
          <w:tcPr>
            <w:tcW w:w="120" w:type="dxa"/>
            <w:vAlign w:val="bottom"/>
            <w:tcBorders>
              <w:top w:val="single" w:sz="8" w:color="CCEEFF"/>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1,158</w:t>
            </w:r>
          </w:p>
        </w:tc>
      </w:tr>
      <w:tr>
        <w:trPr>
          <w:trHeight w:val="218"/>
        </w:trPr>
        <w:tc>
          <w:tcPr>
            <w:tcW w:w="6060" w:type="dxa"/>
            <w:vAlign w:val="bottom"/>
          </w:tcPr>
          <w:p>
            <w:pPr>
              <w:ind w:left="40"/>
              <w:spacing w:after="0"/>
              <w:rPr>
                <w:sz w:val="20"/>
                <w:szCs w:val="20"/>
                <w:color w:val="auto"/>
              </w:rPr>
            </w:pPr>
            <w:r>
              <w:rPr>
                <w:rFonts w:ascii="Arial" w:cs="Arial" w:eastAsia="Arial" w:hAnsi="Arial"/>
                <w:sz w:val="16"/>
                <w:szCs w:val="16"/>
                <w:color w:val="auto"/>
              </w:rPr>
              <w:t>SAIC GM Wuling Automobile Co., Ltd. and FAW-GM Light Duty Commercial</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195"/>
        </w:trPr>
        <w:tc>
          <w:tcPr>
            <w:tcW w:w="6060" w:type="dxa"/>
            <w:vAlign w:val="bottom"/>
          </w:tcPr>
          <w:p>
            <w:pPr>
              <w:ind w:left="200"/>
              <w:spacing w:after="0"/>
              <w:rPr>
                <w:sz w:val="20"/>
                <w:szCs w:val="20"/>
                <w:color w:val="auto"/>
              </w:rPr>
            </w:pPr>
            <w:r>
              <w:rPr>
                <w:rFonts w:ascii="Arial" w:cs="Arial" w:eastAsia="Arial" w:hAnsi="Arial"/>
                <w:sz w:val="16"/>
                <w:szCs w:val="16"/>
                <w:color w:val="auto"/>
              </w:rPr>
              <w:t>Vehicle Co., Ltd.</w:t>
            </w:r>
          </w:p>
        </w:tc>
        <w:tc>
          <w:tcPr>
            <w:tcW w:w="1260" w:type="dxa"/>
            <w:vAlign w:val="bottom"/>
          </w:tcPr>
          <w:p>
            <w:pPr>
              <w:jc w:val="right"/>
              <w:ind w:right="43"/>
              <w:spacing w:after="0"/>
              <w:rPr>
                <w:sz w:val="20"/>
                <w:szCs w:val="20"/>
                <w:color w:val="auto"/>
              </w:rPr>
            </w:pPr>
            <w:r>
              <w:rPr>
                <w:rFonts w:ascii="Arial" w:cs="Arial" w:eastAsia="Arial" w:hAnsi="Arial"/>
                <w:sz w:val="16"/>
                <w:szCs w:val="16"/>
                <w:color w:val="auto"/>
              </w:rPr>
              <w:t>441</w:t>
            </w:r>
          </w:p>
        </w:tc>
        <w:tc>
          <w:tcPr>
            <w:tcW w:w="120" w:type="dxa"/>
            <w:vAlign w:val="bottom"/>
          </w:tcPr>
          <w:p>
            <w:pPr>
              <w:spacing w:after="0"/>
              <w:rPr>
                <w:sz w:val="16"/>
                <w:szCs w:val="16"/>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441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ind w:left="740"/>
              <w:spacing w:after="0"/>
              <w:rPr>
                <w:sz w:val="20"/>
                <w:szCs w:val="20"/>
                <w:color w:val="auto"/>
              </w:rPr>
            </w:pPr>
            <w:r>
              <w:rPr>
                <w:rFonts w:ascii="Arial" w:cs="Arial" w:eastAsia="Arial" w:hAnsi="Arial"/>
                <w:sz w:val="16"/>
                <w:szCs w:val="16"/>
                <w:color w:val="auto"/>
              </w:rPr>
              <w:t>1,447</w:t>
            </w:r>
          </w:p>
        </w:tc>
        <w:tc>
          <w:tcPr>
            <w:tcW w:w="120" w:type="dxa"/>
            <w:vAlign w:val="bottom"/>
          </w:tcPr>
          <w:p>
            <w:pPr>
              <w:spacing w:after="0"/>
              <w:rPr>
                <w:sz w:val="16"/>
                <w:szCs w:val="16"/>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1,418</w:t>
            </w:r>
          </w:p>
        </w:tc>
      </w:tr>
      <w:tr>
        <w:trPr>
          <w:trHeight w:val="634"/>
        </w:trPr>
        <w:tc>
          <w:tcPr>
            <w:tcW w:w="6060" w:type="dxa"/>
            <w:vAlign w:val="bottom"/>
          </w:tcPr>
          <w:p>
            <w:pPr>
              <w:spacing w:after="0"/>
              <w:rPr>
                <w:sz w:val="24"/>
                <w:szCs w:val="24"/>
                <w:color w:val="auto"/>
              </w:rPr>
            </w:pPr>
          </w:p>
        </w:tc>
        <w:tc>
          <w:tcPr>
            <w:tcW w:w="2760" w:type="dxa"/>
            <w:vAlign w:val="bottom"/>
            <w:tcBorders>
              <w:bottom w:val="single" w:sz="8" w:color="auto"/>
            </w:tcBorders>
            <w:gridSpan w:val="5"/>
          </w:tcPr>
          <w:p>
            <w:pPr>
              <w:ind w:left="760"/>
              <w:spacing w:after="0"/>
              <w:rPr>
                <w:sz w:val="20"/>
                <w:szCs w:val="20"/>
                <w:color w:val="auto"/>
              </w:rPr>
            </w:pPr>
            <w:r>
              <w:rPr>
                <w:rFonts w:ascii="Arial" w:cs="Arial" w:eastAsia="Arial" w:hAnsi="Arial"/>
                <w:sz w:val="13"/>
                <w:szCs w:val="13"/>
                <w:b w:val="1"/>
                <w:bCs w:val="1"/>
                <w:color w:val="auto"/>
              </w:rPr>
              <w:t>Three Months Ended</w:t>
            </w:r>
          </w:p>
        </w:tc>
        <w:tc>
          <w:tcPr>
            <w:tcW w:w="2600" w:type="dxa"/>
            <w:vAlign w:val="bottom"/>
            <w:tcBorders>
              <w:bottom w:val="single" w:sz="8" w:color="auto"/>
            </w:tcBorders>
            <w:gridSpan w:val="3"/>
          </w:tcPr>
          <w:p>
            <w:pPr>
              <w:ind w:left="700"/>
              <w:spacing w:after="0"/>
              <w:rPr>
                <w:sz w:val="20"/>
                <w:szCs w:val="20"/>
                <w:color w:val="auto"/>
              </w:rPr>
            </w:pPr>
            <w:r>
              <w:rPr>
                <w:rFonts w:ascii="Arial" w:cs="Arial" w:eastAsia="Arial" w:hAnsi="Arial"/>
                <w:sz w:val="13"/>
                <w:szCs w:val="13"/>
                <w:b w:val="1"/>
                <w:bCs w:val="1"/>
                <w:color w:val="auto"/>
              </w:rPr>
              <w:t>Nine Months Ended</w:t>
            </w:r>
          </w:p>
        </w:tc>
      </w:tr>
      <w:tr>
        <w:trPr>
          <w:trHeight w:val="264"/>
        </w:trPr>
        <w:tc>
          <w:tcPr>
            <w:tcW w:w="6060" w:type="dxa"/>
            <w:vAlign w:val="bottom"/>
          </w:tcPr>
          <w:p>
            <w:pPr>
              <w:spacing w:after="0"/>
              <w:rPr>
                <w:sz w:val="22"/>
                <w:szCs w:val="22"/>
                <w:color w:val="auto"/>
              </w:rPr>
            </w:pPr>
          </w:p>
        </w:tc>
        <w:tc>
          <w:tcPr>
            <w:tcW w:w="1380" w:type="dxa"/>
            <w:vAlign w:val="bottom"/>
            <w:gridSpan w:val="2"/>
          </w:tcPr>
          <w:p>
            <w:pPr>
              <w:ind w:left="40"/>
              <w:spacing w:after="0"/>
              <w:rPr>
                <w:sz w:val="20"/>
                <w:szCs w:val="20"/>
                <w:color w:val="auto"/>
              </w:rPr>
            </w:pPr>
            <w:r>
              <w:rPr>
                <w:rFonts w:ascii="Arial" w:cs="Arial" w:eastAsia="Arial" w:hAnsi="Arial"/>
                <w:sz w:val="13"/>
                <w:szCs w:val="13"/>
                <w:b w:val="1"/>
                <w:bCs w:val="1"/>
                <w:color w:val="auto"/>
              </w:rPr>
              <w:t>September 30, 2016</w:t>
            </w:r>
          </w:p>
        </w:tc>
        <w:tc>
          <w:tcPr>
            <w:tcW w:w="1380" w:type="dxa"/>
            <w:vAlign w:val="bottom"/>
            <w:gridSpan w:val="3"/>
          </w:tcPr>
          <w:p>
            <w:pPr>
              <w:ind w:left="40"/>
              <w:spacing w:after="0"/>
              <w:rPr>
                <w:sz w:val="20"/>
                <w:szCs w:val="20"/>
                <w:color w:val="auto"/>
              </w:rPr>
            </w:pPr>
            <w:r>
              <w:rPr>
                <w:rFonts w:ascii="Arial" w:cs="Arial" w:eastAsia="Arial" w:hAnsi="Arial"/>
                <w:sz w:val="13"/>
                <w:szCs w:val="13"/>
                <w:b w:val="1"/>
                <w:bCs w:val="1"/>
                <w:color w:val="auto"/>
              </w:rPr>
              <w:t>September 30, 2015</w:t>
            </w:r>
          </w:p>
        </w:tc>
        <w:tc>
          <w:tcPr>
            <w:tcW w:w="1360" w:type="dxa"/>
            <w:vAlign w:val="bottom"/>
            <w:gridSpan w:val="2"/>
          </w:tcPr>
          <w:p>
            <w:pPr>
              <w:ind w:left="40"/>
              <w:spacing w:after="0"/>
              <w:rPr>
                <w:sz w:val="20"/>
                <w:szCs w:val="20"/>
                <w:color w:val="auto"/>
              </w:rPr>
            </w:pPr>
            <w:r>
              <w:rPr>
                <w:rFonts w:ascii="Arial" w:cs="Arial" w:eastAsia="Arial" w:hAnsi="Arial"/>
                <w:sz w:val="13"/>
                <w:szCs w:val="13"/>
                <w:b w:val="1"/>
                <w:bCs w:val="1"/>
                <w:color w:val="auto"/>
              </w:rPr>
              <w:t>September 30, 2016</w:t>
            </w:r>
          </w:p>
        </w:tc>
        <w:tc>
          <w:tcPr>
            <w:tcW w:w="1240" w:type="dxa"/>
            <w:vAlign w:val="bottom"/>
          </w:tcPr>
          <w:p>
            <w:pPr>
              <w:jc w:val="right"/>
              <w:spacing w:after="0"/>
              <w:rPr>
                <w:sz w:val="20"/>
                <w:szCs w:val="20"/>
                <w:color w:val="auto"/>
              </w:rPr>
            </w:pPr>
            <w:r>
              <w:rPr>
                <w:rFonts w:ascii="Arial" w:cs="Arial" w:eastAsia="Arial" w:hAnsi="Arial"/>
                <w:sz w:val="13"/>
                <w:szCs w:val="13"/>
                <w:b w:val="1"/>
                <w:bCs w:val="1"/>
                <w:color w:val="auto"/>
                <w:w w:val="97"/>
              </w:rPr>
              <w:t>September 30, 2015</w:t>
            </w:r>
          </w:p>
        </w:tc>
      </w:tr>
      <w:tr>
        <w:trPr>
          <w:trHeight w:val="260"/>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Market Share</w:t>
            </w:r>
          </w:p>
        </w:tc>
        <w:tc>
          <w:tcPr>
            <w:tcW w:w="12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r>
      <w:tr>
        <w:trPr>
          <w:trHeight w:val="280"/>
        </w:trPr>
        <w:tc>
          <w:tcPr>
            <w:tcW w:w="60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United States - Cars</w:t>
            </w: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12.6%</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11.6%</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12.6%</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12.4%</w:t>
            </w:r>
          </w:p>
        </w:tc>
      </w:tr>
      <w:tr>
        <w:trPr>
          <w:trHeight w:val="260"/>
        </w:trPr>
        <w:tc>
          <w:tcPr>
            <w:tcW w:w="6060" w:type="dxa"/>
            <w:vAlign w:val="bottom"/>
          </w:tcPr>
          <w:p>
            <w:pPr>
              <w:ind w:left="200"/>
              <w:spacing w:after="0"/>
              <w:rPr>
                <w:sz w:val="20"/>
                <w:szCs w:val="20"/>
                <w:color w:val="auto"/>
              </w:rPr>
            </w:pPr>
            <w:r>
              <w:rPr>
                <w:rFonts w:ascii="Arial" w:cs="Arial" w:eastAsia="Arial" w:hAnsi="Arial"/>
                <w:sz w:val="16"/>
                <w:szCs w:val="16"/>
                <w:color w:val="auto"/>
              </w:rPr>
              <w:t>United States - Trucks</w:t>
            </w:r>
          </w:p>
        </w:tc>
        <w:tc>
          <w:tcPr>
            <w:tcW w:w="1260" w:type="dxa"/>
            <w:vAlign w:val="bottom"/>
          </w:tcPr>
          <w:p>
            <w:pPr>
              <w:jc w:val="center"/>
              <w:spacing w:after="0"/>
              <w:rPr>
                <w:sz w:val="20"/>
                <w:szCs w:val="20"/>
                <w:color w:val="auto"/>
              </w:rPr>
            </w:pPr>
            <w:r>
              <w:rPr>
                <w:rFonts w:ascii="Arial" w:cs="Arial" w:eastAsia="Arial" w:hAnsi="Arial"/>
                <w:sz w:val="16"/>
                <w:szCs w:val="16"/>
                <w:color w:val="auto"/>
              </w:rPr>
              <w:t>25.0%</w:t>
            </w:r>
          </w:p>
        </w:tc>
        <w:tc>
          <w:tcPr>
            <w:tcW w:w="12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rPr>
              <w:t>25.2%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rPr>
              <w:t>23.6%</w:t>
            </w:r>
          </w:p>
        </w:tc>
        <w:tc>
          <w:tcPr>
            <w:tcW w:w="120" w:type="dxa"/>
            <w:vAlign w:val="bottom"/>
          </w:tcPr>
          <w:p>
            <w:pPr>
              <w:spacing w:after="0"/>
              <w:rPr>
                <w:sz w:val="22"/>
                <w:szCs w:val="22"/>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rPr>
              <w:t>24.4%</w:t>
            </w:r>
          </w:p>
        </w:tc>
      </w:tr>
      <w:tr>
        <w:trPr>
          <w:trHeight w:val="280"/>
        </w:trPr>
        <w:tc>
          <w:tcPr>
            <w:tcW w:w="60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United States - Crossovers</w:t>
            </w: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14.6%</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16.9%</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14.7%</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17.3%</w:t>
            </w:r>
          </w:p>
        </w:tc>
      </w:tr>
      <w:tr>
        <w:trPr>
          <w:trHeight w:val="260"/>
        </w:trPr>
        <w:tc>
          <w:tcPr>
            <w:tcW w:w="6060" w:type="dxa"/>
            <w:vAlign w:val="bottom"/>
          </w:tcPr>
          <w:p>
            <w:pPr>
              <w:ind w:left="200"/>
              <w:spacing w:after="0"/>
              <w:rPr>
                <w:sz w:val="20"/>
                <w:szCs w:val="20"/>
                <w:color w:val="auto"/>
              </w:rPr>
            </w:pPr>
            <w:r>
              <w:rPr>
                <w:rFonts w:ascii="Arial" w:cs="Arial" w:eastAsia="Arial" w:hAnsi="Arial"/>
                <w:sz w:val="16"/>
                <w:szCs w:val="16"/>
                <w:color w:val="auto"/>
              </w:rPr>
              <w:t>Total United States</w:t>
            </w:r>
          </w:p>
        </w:tc>
        <w:tc>
          <w:tcPr>
            <w:tcW w:w="1260" w:type="dxa"/>
            <w:vAlign w:val="bottom"/>
          </w:tcPr>
          <w:p>
            <w:pPr>
              <w:jc w:val="center"/>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rPr>
              <w:t>17.1%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rPr>
              <w:t>16.6%</w:t>
            </w:r>
          </w:p>
        </w:tc>
        <w:tc>
          <w:tcPr>
            <w:tcW w:w="120" w:type="dxa"/>
            <w:vAlign w:val="bottom"/>
          </w:tcPr>
          <w:p>
            <w:pPr>
              <w:spacing w:after="0"/>
              <w:rPr>
                <w:sz w:val="22"/>
                <w:szCs w:val="22"/>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rPr>
              <w:t>17.2%</w:t>
            </w:r>
          </w:p>
        </w:tc>
      </w:tr>
      <w:tr>
        <w:trPr>
          <w:trHeight w:val="280"/>
        </w:trPr>
        <w:tc>
          <w:tcPr>
            <w:tcW w:w="60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North America</w:t>
            </w: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16.5%</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16.6%</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16.1%</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16.7%</w:t>
            </w:r>
          </w:p>
        </w:tc>
      </w:tr>
      <w:tr>
        <w:trPr>
          <w:trHeight w:val="260"/>
        </w:trPr>
        <w:tc>
          <w:tcPr>
            <w:tcW w:w="6060" w:type="dxa"/>
            <w:vAlign w:val="bottom"/>
          </w:tcPr>
          <w:p>
            <w:pPr>
              <w:ind w:left="200"/>
              <w:spacing w:after="0"/>
              <w:rPr>
                <w:sz w:val="20"/>
                <w:szCs w:val="20"/>
                <w:color w:val="auto"/>
              </w:rPr>
            </w:pPr>
            <w:r>
              <w:rPr>
                <w:rFonts w:ascii="Arial" w:cs="Arial" w:eastAsia="Arial" w:hAnsi="Arial"/>
                <w:sz w:val="16"/>
                <w:szCs w:val="16"/>
                <w:color w:val="auto"/>
              </w:rPr>
              <w:t>Total Europe</w:t>
            </w:r>
          </w:p>
        </w:tc>
        <w:tc>
          <w:tcPr>
            <w:tcW w:w="1260" w:type="dxa"/>
            <w:vAlign w:val="bottom"/>
          </w:tcPr>
          <w:p>
            <w:pPr>
              <w:jc w:val="center"/>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8"/>
              </w:rPr>
              <w:t>6.3%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98"/>
              </w:rPr>
              <w:t>6.1%</w:t>
            </w:r>
          </w:p>
        </w:tc>
        <w:tc>
          <w:tcPr>
            <w:tcW w:w="120" w:type="dxa"/>
            <w:vAlign w:val="bottom"/>
          </w:tcPr>
          <w:p>
            <w:pPr>
              <w:spacing w:after="0"/>
              <w:rPr>
                <w:sz w:val="22"/>
                <w:szCs w:val="22"/>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98"/>
              </w:rPr>
              <w:t>6.2%</w:t>
            </w:r>
          </w:p>
        </w:tc>
      </w:tr>
      <w:tr>
        <w:trPr>
          <w:trHeight w:val="280"/>
        </w:trPr>
        <w:tc>
          <w:tcPr>
            <w:tcW w:w="60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Asia/Pacific, Middle East and Africa</w:t>
            </w: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9.3%</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10.0%</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9.5%</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9.9%</w:t>
            </w:r>
          </w:p>
        </w:tc>
      </w:tr>
      <w:tr>
        <w:trPr>
          <w:trHeight w:val="260"/>
        </w:trPr>
        <w:tc>
          <w:tcPr>
            <w:tcW w:w="6060" w:type="dxa"/>
            <w:vAlign w:val="bottom"/>
          </w:tcPr>
          <w:p>
            <w:pPr>
              <w:ind w:left="200"/>
              <w:spacing w:after="0"/>
              <w:rPr>
                <w:sz w:val="20"/>
                <w:szCs w:val="20"/>
                <w:color w:val="auto"/>
              </w:rPr>
            </w:pPr>
            <w:r>
              <w:rPr>
                <w:rFonts w:ascii="Arial" w:cs="Arial" w:eastAsia="Arial" w:hAnsi="Arial"/>
                <w:sz w:val="16"/>
                <w:szCs w:val="16"/>
                <w:color w:val="auto"/>
              </w:rPr>
              <w:t>Total South America</w:t>
            </w:r>
          </w:p>
        </w:tc>
        <w:tc>
          <w:tcPr>
            <w:tcW w:w="1260" w:type="dxa"/>
            <w:vAlign w:val="bottom"/>
          </w:tcPr>
          <w:p>
            <w:pPr>
              <w:jc w:val="center"/>
              <w:spacing w:after="0"/>
              <w:rPr>
                <w:sz w:val="20"/>
                <w:szCs w:val="20"/>
                <w:color w:val="auto"/>
              </w:rPr>
            </w:pPr>
            <w:r>
              <w:rPr>
                <w:rFonts w:ascii="Arial" w:cs="Arial" w:eastAsia="Arial" w:hAnsi="Arial"/>
                <w:sz w:val="16"/>
                <w:szCs w:val="16"/>
                <w:color w:val="auto"/>
              </w:rPr>
              <w:t>15.9%</w:t>
            </w:r>
          </w:p>
        </w:tc>
        <w:tc>
          <w:tcPr>
            <w:tcW w:w="12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rPr>
              <w:t>14.1%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rPr>
              <w:t>15.6%</w:t>
            </w:r>
          </w:p>
        </w:tc>
        <w:tc>
          <w:tcPr>
            <w:tcW w:w="120" w:type="dxa"/>
            <w:vAlign w:val="bottom"/>
          </w:tcPr>
          <w:p>
            <w:pPr>
              <w:spacing w:after="0"/>
              <w:rPr>
                <w:sz w:val="22"/>
                <w:szCs w:val="22"/>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rPr>
              <w:t>15.3%</w:t>
            </w:r>
          </w:p>
        </w:tc>
      </w:tr>
      <w:tr>
        <w:trPr>
          <w:trHeight w:val="280"/>
        </w:trPr>
        <w:tc>
          <w:tcPr>
            <w:tcW w:w="6060" w:type="dxa"/>
            <w:vAlign w:val="bottom"/>
            <w:shd w:val="clear" w:color="auto" w:fill="CCEEFF"/>
          </w:tcPr>
          <w:p>
            <w:pPr>
              <w:ind w:left="200"/>
              <w:spacing w:after="0"/>
              <w:rPr>
                <w:sz w:val="20"/>
                <w:szCs w:val="20"/>
                <w:color w:val="auto"/>
              </w:rPr>
            </w:pPr>
            <w:r>
              <w:rPr>
                <w:rFonts w:ascii="Arial" w:cs="Arial" w:eastAsia="Arial" w:hAnsi="Arial"/>
                <w:sz w:val="16"/>
                <w:szCs w:val="16"/>
                <w:b w:val="1"/>
                <w:bCs w:val="1"/>
                <w:color w:val="auto"/>
              </w:rPr>
              <w:t>Total Worldwide</w:t>
            </w: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rPr>
              <w:t>10.7%</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rPr>
              <w:t>11.1%</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rPr>
              <w:t>10.5%</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rPr>
              <w:t>11.0%</w:t>
            </w:r>
          </w:p>
        </w:tc>
      </w:tr>
      <w:tr>
        <w:trPr>
          <w:trHeight w:val="270"/>
        </w:trPr>
        <w:tc>
          <w:tcPr>
            <w:tcW w:w="60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United States fleet sales as a percentage of retail vehicle sales</w:t>
            </w: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15.5%</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17.7%</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19.1%</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22.8%</w:t>
            </w:r>
          </w:p>
        </w:tc>
      </w:tr>
      <w:tr>
        <w:trPr>
          <w:trHeight w:val="270"/>
        </w:trPr>
        <w:tc>
          <w:tcPr>
            <w:tcW w:w="60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North America Capacity Two Shift Utilization</w:t>
            </w: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115.3%</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106.2%</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106.6%</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106.0%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40" w:top="581" w:right="239" w:bottom="1440" w:gutter="0" w:footer="0" w:header="0"/>
        </w:sectPr>
      </w:pPr>
    </w:p>
    <w:bookmarkStart w:id="15" w:name="page16"/>
    <w:bookmarkEnd w:id="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Net sales and revenue</w:t>
      </w:r>
    </w:p>
    <w:p>
      <w:pPr>
        <w:spacing w:after="0" w:line="150" w:lineRule="exact"/>
        <w:rPr>
          <w:sz w:val="20"/>
          <w:szCs w:val="20"/>
          <w:color w:val="auto"/>
        </w:rPr>
      </w:pPr>
    </w:p>
    <w:p>
      <w:pPr>
        <w:ind w:left="140"/>
        <w:spacing w:after="0"/>
        <w:rPr>
          <w:sz w:val="20"/>
          <w:szCs w:val="20"/>
          <w:color w:val="auto"/>
        </w:rPr>
      </w:pPr>
      <w:r>
        <w:rPr>
          <w:rFonts w:ascii="Arial" w:cs="Arial" w:eastAsia="Arial" w:hAnsi="Arial"/>
          <w:sz w:val="13"/>
          <w:szCs w:val="13"/>
          <w:color w:val="auto"/>
        </w:rPr>
        <w:t>Automotive</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GM Financial</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Total net sales and revenue</w:t>
      </w:r>
    </w:p>
    <w:p>
      <w:pPr>
        <w:spacing w:after="0" w:line="10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Costs and expenses</w:t>
      </w:r>
    </w:p>
    <w:p>
      <w:pPr>
        <w:spacing w:after="0" w:line="150" w:lineRule="exact"/>
        <w:rPr>
          <w:sz w:val="20"/>
          <w:szCs w:val="20"/>
          <w:color w:val="auto"/>
        </w:rPr>
      </w:pPr>
    </w:p>
    <w:p>
      <w:pPr>
        <w:ind w:left="140"/>
        <w:spacing w:after="0"/>
        <w:rPr>
          <w:sz w:val="20"/>
          <w:szCs w:val="20"/>
          <w:color w:val="auto"/>
        </w:rPr>
      </w:pPr>
      <w:r>
        <w:rPr>
          <w:rFonts w:ascii="Arial" w:cs="Arial" w:eastAsia="Arial" w:hAnsi="Arial"/>
          <w:sz w:val="13"/>
          <w:szCs w:val="13"/>
          <w:color w:val="auto"/>
        </w:rPr>
        <w:t>Automotive cost of sales</w:t>
      </w:r>
    </w:p>
    <w:p>
      <w:pPr>
        <w:spacing w:after="0" w:line="121" w:lineRule="exact"/>
        <w:rPr>
          <w:sz w:val="20"/>
          <w:szCs w:val="20"/>
          <w:color w:val="auto"/>
        </w:rPr>
      </w:pPr>
    </w:p>
    <w:p>
      <w:pPr>
        <w:ind w:left="300" w:right="80" w:hanging="161"/>
        <w:spacing w:after="0" w:line="230" w:lineRule="auto"/>
        <w:rPr>
          <w:sz w:val="20"/>
          <w:szCs w:val="20"/>
          <w:color w:val="auto"/>
        </w:rPr>
      </w:pPr>
      <w:r>
        <w:rPr>
          <w:rFonts w:ascii="Arial" w:cs="Arial" w:eastAsia="Arial" w:hAnsi="Arial"/>
          <w:sz w:val="13"/>
          <w:szCs w:val="13"/>
          <w:color w:val="auto"/>
        </w:rPr>
        <w:t>GM Financial interest, operating and other expenses</w:t>
      </w:r>
    </w:p>
    <w:p>
      <w:pPr>
        <w:spacing w:after="0" w:line="38" w:lineRule="exact"/>
        <w:rPr>
          <w:sz w:val="20"/>
          <w:szCs w:val="20"/>
          <w:color w:val="auto"/>
        </w:rPr>
      </w:pPr>
    </w:p>
    <w:p>
      <w:pPr>
        <w:ind w:left="300" w:right="360" w:hanging="161"/>
        <w:spacing w:after="0" w:line="259" w:lineRule="auto"/>
        <w:rPr>
          <w:sz w:val="20"/>
          <w:szCs w:val="20"/>
          <w:color w:val="auto"/>
        </w:rPr>
      </w:pPr>
      <w:r>
        <w:rPr>
          <w:rFonts w:ascii="Arial" w:cs="Arial" w:eastAsia="Arial" w:hAnsi="Arial"/>
          <w:sz w:val="12"/>
          <w:szCs w:val="12"/>
          <w:color w:val="auto"/>
        </w:rPr>
        <w:t>Automotive selling, general and administrative expense</w:t>
      </w:r>
    </w:p>
    <w:p>
      <w:pPr>
        <w:spacing w:after="0" w:line="26"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Total costs and expenses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Operating income</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Automotive interest expense</w:t>
      </w:r>
    </w:p>
    <w:p>
      <w:pPr>
        <w:spacing w:after="0" w:line="121" w:lineRule="exact"/>
        <w:rPr>
          <w:sz w:val="20"/>
          <w:szCs w:val="20"/>
          <w:color w:val="auto"/>
        </w:rPr>
      </w:pPr>
    </w:p>
    <w:p>
      <w:pPr>
        <w:ind w:left="160" w:hanging="161"/>
        <w:spacing w:after="0" w:line="230" w:lineRule="auto"/>
        <w:rPr>
          <w:sz w:val="20"/>
          <w:szCs w:val="20"/>
          <w:color w:val="auto"/>
        </w:rPr>
      </w:pPr>
      <w:r>
        <w:rPr>
          <w:rFonts w:ascii="Arial" w:cs="Arial" w:eastAsia="Arial" w:hAnsi="Arial"/>
          <w:sz w:val="13"/>
          <w:szCs w:val="13"/>
          <w:color w:val="auto"/>
        </w:rPr>
        <w:t>Interest income and other non-operating income, net</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Equity income</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Income before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Income tax expense</w:t>
      </w:r>
    </w:p>
    <w:p>
      <w:pPr>
        <w:spacing w:after="0" w:line="10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Net income</w:t>
      </w:r>
    </w:p>
    <w:p>
      <w:pPr>
        <w:spacing w:after="0" w:line="137" w:lineRule="exact"/>
        <w:rPr>
          <w:sz w:val="20"/>
          <w:szCs w:val="20"/>
          <w:color w:val="auto"/>
        </w:rPr>
      </w:pPr>
    </w:p>
    <w:p>
      <w:pPr>
        <w:ind w:left="160" w:right="180" w:hanging="161"/>
        <w:spacing w:after="0" w:line="230" w:lineRule="auto"/>
        <w:rPr>
          <w:sz w:val="20"/>
          <w:szCs w:val="20"/>
          <w:color w:val="auto"/>
        </w:rPr>
      </w:pPr>
      <w:r>
        <w:rPr>
          <w:rFonts w:ascii="Arial" w:cs="Arial" w:eastAsia="Arial" w:hAnsi="Arial"/>
          <w:sz w:val="13"/>
          <w:szCs w:val="13"/>
          <w:color w:val="auto"/>
        </w:rPr>
        <w:t>Net loss attributable to noncontrolling interests</w:t>
      </w:r>
    </w:p>
    <w:p>
      <w:pPr>
        <w:spacing w:after="0" w:line="22" w:lineRule="exact"/>
        <w:rPr>
          <w:sz w:val="20"/>
          <w:szCs w:val="20"/>
          <w:color w:val="auto"/>
        </w:rPr>
      </w:pPr>
    </w:p>
    <w:p>
      <w:pPr>
        <w:ind w:left="160" w:right="140" w:hanging="161"/>
        <w:spacing w:after="0" w:line="246" w:lineRule="auto"/>
        <w:rPr>
          <w:sz w:val="20"/>
          <w:szCs w:val="20"/>
          <w:color w:val="auto"/>
        </w:rPr>
      </w:pPr>
      <w:r>
        <w:rPr>
          <w:rFonts w:ascii="Arial" w:cs="Arial" w:eastAsia="Arial" w:hAnsi="Arial"/>
          <w:sz w:val="13"/>
          <w:szCs w:val="13"/>
          <w:b w:val="1"/>
          <w:bCs w:val="1"/>
          <w:color w:val="auto"/>
        </w:rPr>
        <w:t>Net income attributable to common stockholders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Net sales and revenue</w:t>
      </w:r>
    </w:p>
    <w:p>
      <w:pPr>
        <w:spacing w:after="0" w:line="150" w:lineRule="exact"/>
        <w:rPr>
          <w:sz w:val="20"/>
          <w:szCs w:val="20"/>
          <w:color w:val="auto"/>
        </w:rPr>
      </w:pPr>
    </w:p>
    <w:p>
      <w:pPr>
        <w:ind w:left="140"/>
        <w:spacing w:after="0"/>
        <w:rPr>
          <w:sz w:val="20"/>
          <w:szCs w:val="20"/>
          <w:color w:val="auto"/>
        </w:rPr>
      </w:pPr>
      <w:r>
        <w:rPr>
          <w:rFonts w:ascii="Arial" w:cs="Arial" w:eastAsia="Arial" w:hAnsi="Arial"/>
          <w:sz w:val="13"/>
          <w:szCs w:val="13"/>
          <w:color w:val="auto"/>
        </w:rPr>
        <w:t>Automotive</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GM Financial</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Total net sales and revenue</w:t>
      </w:r>
    </w:p>
    <w:p>
      <w:pPr>
        <w:spacing w:after="0" w:line="10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Costs and expenses</w:t>
      </w:r>
    </w:p>
    <w:p>
      <w:pPr>
        <w:spacing w:after="0" w:line="150" w:lineRule="exact"/>
        <w:rPr>
          <w:sz w:val="20"/>
          <w:szCs w:val="20"/>
          <w:color w:val="auto"/>
        </w:rPr>
      </w:pPr>
    </w:p>
    <w:p>
      <w:pPr>
        <w:ind w:left="140"/>
        <w:spacing w:after="0"/>
        <w:rPr>
          <w:sz w:val="20"/>
          <w:szCs w:val="20"/>
          <w:color w:val="auto"/>
        </w:rPr>
      </w:pPr>
      <w:r>
        <w:rPr>
          <w:rFonts w:ascii="Arial" w:cs="Arial" w:eastAsia="Arial" w:hAnsi="Arial"/>
          <w:sz w:val="13"/>
          <w:szCs w:val="13"/>
          <w:color w:val="auto"/>
        </w:rPr>
        <w:t>Automotive cost of sales</w:t>
      </w:r>
    </w:p>
    <w:p>
      <w:pPr>
        <w:spacing w:after="0" w:line="121" w:lineRule="exact"/>
        <w:rPr>
          <w:sz w:val="20"/>
          <w:szCs w:val="20"/>
          <w:color w:val="auto"/>
        </w:rPr>
      </w:pPr>
    </w:p>
    <w:p>
      <w:pPr>
        <w:ind w:left="300" w:right="80" w:hanging="161"/>
        <w:spacing w:after="0" w:line="230" w:lineRule="auto"/>
        <w:rPr>
          <w:sz w:val="20"/>
          <w:szCs w:val="20"/>
          <w:color w:val="auto"/>
        </w:rPr>
      </w:pPr>
      <w:r>
        <w:rPr>
          <w:rFonts w:ascii="Arial" w:cs="Arial" w:eastAsia="Arial" w:hAnsi="Arial"/>
          <w:sz w:val="13"/>
          <w:szCs w:val="13"/>
          <w:color w:val="auto"/>
        </w:rPr>
        <w:t>GM Financial interest, operating and other expenses</w:t>
      </w:r>
    </w:p>
    <w:p>
      <w:pPr>
        <w:spacing w:after="0" w:line="38" w:lineRule="exact"/>
        <w:rPr>
          <w:sz w:val="20"/>
          <w:szCs w:val="20"/>
          <w:color w:val="auto"/>
        </w:rPr>
      </w:pPr>
    </w:p>
    <w:p>
      <w:pPr>
        <w:ind w:left="300" w:right="360" w:hanging="161"/>
        <w:spacing w:after="0" w:line="259" w:lineRule="auto"/>
        <w:rPr>
          <w:sz w:val="20"/>
          <w:szCs w:val="20"/>
          <w:color w:val="auto"/>
        </w:rPr>
      </w:pPr>
      <w:r>
        <w:rPr>
          <w:rFonts w:ascii="Arial" w:cs="Arial" w:eastAsia="Arial" w:hAnsi="Arial"/>
          <w:sz w:val="12"/>
          <w:szCs w:val="12"/>
          <w:color w:val="auto"/>
        </w:rPr>
        <w:t>Automotive selling, general and administrative expense</w:t>
      </w:r>
    </w:p>
    <w:p>
      <w:pPr>
        <w:spacing w:after="0" w:line="26"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Total costs and expenses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Operating income</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Automotive interest expense</w:t>
      </w:r>
    </w:p>
    <w:p>
      <w:pPr>
        <w:spacing w:after="0" w:line="121" w:lineRule="exact"/>
        <w:rPr>
          <w:sz w:val="20"/>
          <w:szCs w:val="20"/>
          <w:color w:val="auto"/>
        </w:rPr>
      </w:pPr>
    </w:p>
    <w:p>
      <w:pPr>
        <w:ind w:left="160" w:hanging="161"/>
        <w:spacing w:after="0" w:line="230" w:lineRule="auto"/>
        <w:rPr>
          <w:sz w:val="20"/>
          <w:szCs w:val="20"/>
          <w:color w:val="auto"/>
        </w:rPr>
      </w:pPr>
      <w:r>
        <w:rPr>
          <w:rFonts w:ascii="Arial" w:cs="Arial" w:eastAsia="Arial" w:hAnsi="Arial"/>
          <w:sz w:val="13"/>
          <w:szCs w:val="13"/>
          <w:color w:val="auto"/>
        </w:rPr>
        <w:t>Interest income and other non-operating income, net</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Equity income</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Income before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Income tax expense</w:t>
      </w:r>
    </w:p>
    <w:p>
      <w:pPr>
        <w:spacing w:after="0" w:line="10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Net income</w:t>
      </w:r>
    </w:p>
    <w:p>
      <w:pPr>
        <w:spacing w:after="0" w:line="137" w:lineRule="exact"/>
        <w:rPr>
          <w:sz w:val="20"/>
          <w:szCs w:val="20"/>
          <w:color w:val="auto"/>
        </w:rPr>
      </w:pPr>
    </w:p>
    <w:p>
      <w:pPr>
        <w:ind w:left="160" w:right="180" w:hanging="161"/>
        <w:spacing w:after="0" w:line="230" w:lineRule="auto"/>
        <w:rPr>
          <w:sz w:val="20"/>
          <w:szCs w:val="20"/>
          <w:color w:val="auto"/>
        </w:rPr>
      </w:pPr>
      <w:r>
        <w:rPr>
          <w:rFonts w:ascii="Arial" w:cs="Arial" w:eastAsia="Arial" w:hAnsi="Arial"/>
          <w:sz w:val="13"/>
          <w:szCs w:val="13"/>
          <w:color w:val="auto"/>
        </w:rPr>
        <w:t>Net loss attributable to noncontrolling interests</w:t>
      </w:r>
    </w:p>
    <w:p>
      <w:pPr>
        <w:spacing w:after="0" w:line="22" w:lineRule="exact"/>
        <w:rPr>
          <w:sz w:val="20"/>
          <w:szCs w:val="20"/>
          <w:color w:val="auto"/>
        </w:rPr>
      </w:pPr>
    </w:p>
    <w:p>
      <w:pPr>
        <w:ind w:left="160" w:right="140" w:hanging="161"/>
        <w:spacing w:after="0" w:line="246" w:lineRule="auto"/>
        <w:rPr>
          <w:sz w:val="20"/>
          <w:szCs w:val="20"/>
          <w:color w:val="auto"/>
        </w:rPr>
      </w:pPr>
      <w:r>
        <w:rPr>
          <w:rFonts w:ascii="Arial" w:cs="Arial" w:eastAsia="Arial" w:hAnsi="Arial"/>
          <w:sz w:val="13"/>
          <w:szCs w:val="13"/>
          <w:b w:val="1"/>
          <w:bCs w:val="1"/>
          <w:color w:val="auto"/>
        </w:rPr>
        <w:t>Net income attributable to common stockholders</w:t>
      </w:r>
    </w:p>
    <w:p>
      <w:pPr>
        <w:spacing w:after="0" w:line="20" w:lineRule="exact"/>
        <w:rPr>
          <w:sz w:val="20"/>
          <w:szCs w:val="20"/>
          <w:color w:val="auto"/>
        </w:rPr>
      </w:pPr>
      <w:r>
        <w:rPr>
          <w:sz w:val="20"/>
          <w:szCs w:val="20"/>
          <w:color w:val="auto"/>
        </w:rPr>
        <w:br w:type="column"/>
      </w:r>
    </w:p>
    <w:p>
      <w:pPr>
        <w:jc w:val="center"/>
        <w:ind w:right="13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1" w:lineRule="exact"/>
        <w:rPr>
          <w:sz w:val="20"/>
          <w:szCs w:val="20"/>
          <w:color w:val="auto"/>
        </w:rPr>
      </w:pPr>
    </w:p>
    <w:p>
      <w:pPr>
        <w:jc w:val="center"/>
        <w:ind w:right="1380"/>
        <w:spacing w:after="0"/>
        <w:rPr>
          <w:sz w:val="20"/>
          <w:szCs w:val="20"/>
          <w:color w:val="auto"/>
        </w:rPr>
      </w:pPr>
      <w:r>
        <w:rPr>
          <w:rFonts w:ascii="Arial" w:cs="Arial" w:eastAsia="Arial" w:hAnsi="Arial"/>
          <w:sz w:val="18"/>
          <w:szCs w:val="18"/>
          <w:b w:val="1"/>
          <w:bCs w:val="1"/>
          <w:color w:val="auto"/>
        </w:rPr>
        <w:t>Condensed Consolidating Income Statements</w:t>
      </w:r>
    </w:p>
    <w:p>
      <w:pPr>
        <w:spacing w:after="0" w:line="9" w:lineRule="exact"/>
        <w:rPr>
          <w:sz w:val="20"/>
          <w:szCs w:val="20"/>
          <w:color w:val="auto"/>
        </w:rPr>
      </w:pPr>
    </w:p>
    <w:p>
      <w:pPr>
        <w:jc w:val="center"/>
        <w:ind w:right="1380"/>
        <w:spacing w:after="0"/>
        <w:rPr>
          <w:sz w:val="20"/>
          <w:szCs w:val="20"/>
          <w:color w:val="auto"/>
        </w:rPr>
      </w:pPr>
      <w:r>
        <w:rPr>
          <w:rFonts w:ascii="Arial" w:cs="Arial" w:eastAsia="Arial" w:hAnsi="Arial"/>
          <w:sz w:val="18"/>
          <w:szCs w:val="18"/>
          <w:i w:val="1"/>
          <w:iCs w:val="1"/>
          <w:color w:val="auto"/>
        </w:rPr>
        <w:t>(In millions) (Unaudited)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40" w:type="dxa"/>
            <w:vAlign w:val="bottom"/>
            <w:gridSpan w:val="6"/>
          </w:tcPr>
          <w:p>
            <w:pPr>
              <w:jc w:val="center"/>
              <w:ind w:right="140"/>
              <w:spacing w:after="0"/>
              <w:rPr>
                <w:sz w:val="20"/>
                <w:szCs w:val="20"/>
                <w:color w:val="auto"/>
              </w:rPr>
            </w:pPr>
            <w:r>
              <w:rPr>
                <w:rFonts w:ascii="Arial" w:cs="Arial" w:eastAsia="Arial" w:hAnsi="Arial"/>
                <w:sz w:val="11"/>
                <w:szCs w:val="11"/>
                <w:b w:val="1"/>
                <w:bCs w:val="1"/>
                <w:color w:val="auto"/>
                <w:w w:val="98"/>
              </w:rPr>
              <w:t>Three Months Ended September 30, 2016</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gridSpan w:val="6"/>
          </w:tcPr>
          <w:p>
            <w:pPr>
              <w:jc w:val="center"/>
              <w:spacing w:after="0"/>
              <w:rPr>
                <w:sz w:val="20"/>
                <w:szCs w:val="20"/>
                <w:color w:val="auto"/>
              </w:rPr>
            </w:pPr>
            <w:r>
              <w:rPr>
                <w:rFonts w:ascii="Arial" w:cs="Arial" w:eastAsia="Arial" w:hAnsi="Arial"/>
                <w:sz w:val="11"/>
                <w:szCs w:val="11"/>
                <w:b w:val="1"/>
                <w:bCs w:val="1"/>
                <w:color w:val="auto"/>
                <w:w w:val="97"/>
              </w:rPr>
              <w:t>Three Months Ended September 30, 2015</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22"/>
        </w:trPr>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42"/>
        </w:trPr>
        <w:tc>
          <w:tcPr>
            <w:tcW w:w="160" w:type="dxa"/>
            <w:vAlign w:val="bottom"/>
          </w:tcPr>
          <w:p>
            <w:pPr>
              <w:spacing w:after="0"/>
              <w:rPr>
                <w:sz w:val="21"/>
                <w:szCs w:val="2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Automotive</w:t>
            </w:r>
          </w:p>
        </w:tc>
        <w:tc>
          <w:tcPr>
            <w:tcW w:w="140" w:type="dxa"/>
            <w:vAlign w:val="bottom"/>
          </w:tcPr>
          <w:p>
            <w:pPr>
              <w:spacing w:after="0"/>
              <w:rPr>
                <w:sz w:val="21"/>
                <w:szCs w:val="21"/>
                <w:color w:val="auto"/>
              </w:rPr>
            </w:pPr>
          </w:p>
        </w:tc>
        <w:tc>
          <w:tcPr>
            <w:tcW w:w="1020" w:type="dxa"/>
            <w:vAlign w:val="bottom"/>
            <w:gridSpan w:val="2"/>
          </w:tcPr>
          <w:p>
            <w:pPr>
              <w:ind w:left="40"/>
              <w:spacing w:after="0"/>
              <w:rPr>
                <w:sz w:val="20"/>
                <w:szCs w:val="20"/>
                <w:color w:val="auto"/>
              </w:rPr>
            </w:pPr>
            <w:r>
              <w:rPr>
                <w:rFonts w:ascii="Arial" w:cs="Arial" w:eastAsia="Arial" w:hAnsi="Arial"/>
                <w:sz w:val="11"/>
                <w:szCs w:val="11"/>
                <w:b w:val="1"/>
                <w:bCs w:val="1"/>
                <w:color w:val="auto"/>
              </w:rPr>
              <w:t>GM Financial</w:t>
            </w:r>
          </w:p>
        </w:tc>
        <w:tc>
          <w:tcPr>
            <w:tcW w:w="160" w:type="dxa"/>
            <w:vAlign w:val="bottom"/>
          </w:tcPr>
          <w:p>
            <w:pPr>
              <w:spacing w:after="0"/>
              <w:rPr>
                <w:sz w:val="21"/>
                <w:szCs w:val="2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Eliminations</w:t>
            </w:r>
          </w:p>
        </w:tc>
        <w:tc>
          <w:tcPr>
            <w:tcW w:w="140" w:type="dxa"/>
            <w:vAlign w:val="bottom"/>
          </w:tcPr>
          <w:p>
            <w:pPr>
              <w:spacing w:after="0"/>
              <w:rPr>
                <w:sz w:val="21"/>
                <w:szCs w:val="21"/>
                <w:color w:val="auto"/>
              </w:rPr>
            </w:pPr>
          </w:p>
        </w:tc>
        <w:tc>
          <w:tcPr>
            <w:tcW w:w="980" w:type="dxa"/>
            <w:vAlign w:val="bottom"/>
            <w:gridSpan w:val="2"/>
          </w:tcPr>
          <w:p>
            <w:pPr>
              <w:ind w:left="20"/>
              <w:spacing w:after="0"/>
              <w:rPr>
                <w:sz w:val="20"/>
                <w:szCs w:val="20"/>
                <w:color w:val="auto"/>
              </w:rPr>
            </w:pPr>
            <w:r>
              <w:rPr>
                <w:rFonts w:ascii="Arial" w:cs="Arial" w:eastAsia="Arial" w:hAnsi="Arial"/>
                <w:sz w:val="11"/>
                <w:szCs w:val="11"/>
                <w:b w:val="1"/>
                <w:bCs w:val="1"/>
                <w:color w:val="auto"/>
              </w:rPr>
              <w:t>Consolidated</w:t>
            </w:r>
          </w:p>
        </w:tc>
        <w:tc>
          <w:tcPr>
            <w:tcW w:w="120" w:type="dxa"/>
            <w:vAlign w:val="bottom"/>
          </w:tcPr>
          <w:p>
            <w:pPr>
              <w:spacing w:after="0"/>
              <w:rPr>
                <w:sz w:val="21"/>
                <w:szCs w:val="21"/>
                <w:color w:val="auto"/>
              </w:rPr>
            </w:pP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Automotive</w:t>
            </w:r>
          </w:p>
        </w:tc>
        <w:tc>
          <w:tcPr>
            <w:tcW w:w="120" w:type="dxa"/>
            <w:vAlign w:val="bottom"/>
          </w:tcPr>
          <w:p>
            <w:pPr>
              <w:spacing w:after="0"/>
              <w:rPr>
                <w:sz w:val="21"/>
                <w:szCs w:val="21"/>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GM Financial</w:t>
            </w:r>
          </w:p>
        </w:tc>
        <w:tc>
          <w:tcPr>
            <w:tcW w:w="140" w:type="dxa"/>
            <w:vAlign w:val="bottom"/>
          </w:tcPr>
          <w:p>
            <w:pPr>
              <w:spacing w:after="0"/>
              <w:rPr>
                <w:sz w:val="21"/>
                <w:szCs w:val="21"/>
                <w:color w:val="auto"/>
              </w:rPr>
            </w:pPr>
          </w:p>
        </w:tc>
        <w:tc>
          <w:tcPr>
            <w:tcW w:w="980" w:type="dxa"/>
            <w:vAlign w:val="bottom"/>
            <w:gridSpan w:val="2"/>
          </w:tcPr>
          <w:p>
            <w:pPr>
              <w:ind w:left="60"/>
              <w:spacing w:after="0"/>
              <w:rPr>
                <w:sz w:val="20"/>
                <w:szCs w:val="20"/>
                <w:color w:val="auto"/>
              </w:rPr>
            </w:pPr>
            <w:r>
              <w:rPr>
                <w:rFonts w:ascii="Arial" w:cs="Arial" w:eastAsia="Arial" w:hAnsi="Arial"/>
                <w:sz w:val="11"/>
                <w:szCs w:val="11"/>
                <w:b w:val="1"/>
                <w:bCs w:val="1"/>
                <w:color w:val="auto"/>
              </w:rPr>
              <w:t>Eliminations</w:t>
            </w:r>
          </w:p>
        </w:tc>
        <w:tc>
          <w:tcPr>
            <w:tcW w:w="140" w:type="dxa"/>
            <w:vAlign w:val="bottom"/>
          </w:tcPr>
          <w:p>
            <w:pPr>
              <w:spacing w:after="0"/>
              <w:rPr>
                <w:sz w:val="21"/>
                <w:szCs w:val="21"/>
                <w:color w:val="auto"/>
              </w:rPr>
            </w:pPr>
          </w:p>
        </w:tc>
        <w:tc>
          <w:tcPr>
            <w:tcW w:w="880" w:type="dxa"/>
            <w:vAlign w:val="bottom"/>
          </w:tcPr>
          <w:p>
            <w:pPr>
              <w:jc w:val="right"/>
              <w:ind w:right="98"/>
              <w:spacing w:after="0"/>
              <w:rPr>
                <w:sz w:val="20"/>
                <w:szCs w:val="20"/>
                <w:color w:val="auto"/>
              </w:rPr>
            </w:pPr>
            <w:r>
              <w:rPr>
                <w:rFonts w:ascii="Arial" w:cs="Arial" w:eastAsia="Arial" w:hAnsi="Arial"/>
                <w:sz w:val="11"/>
                <w:szCs w:val="11"/>
                <w:b w:val="1"/>
                <w:bCs w:val="1"/>
                <w:color w:val="auto"/>
              </w:rPr>
              <w:t>Consolidated</w:t>
            </w:r>
          </w:p>
        </w:tc>
      </w:tr>
      <w:tr>
        <w:trPr>
          <w:trHeight w:val="22"/>
        </w:trPr>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518"/>
        </w:trPr>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58"/>
              <w:spacing w:after="0"/>
              <w:rPr>
                <w:sz w:val="20"/>
                <w:szCs w:val="20"/>
                <w:color w:val="auto"/>
              </w:rPr>
            </w:pPr>
            <w:r>
              <w:rPr>
                <w:rFonts w:ascii="Arial" w:cs="Arial" w:eastAsia="Arial" w:hAnsi="Arial"/>
                <w:sz w:val="13"/>
                <w:szCs w:val="13"/>
                <w:color w:val="auto"/>
              </w:rPr>
              <w:t>40,334</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40,334</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8"/>
              <w:spacing w:after="0"/>
              <w:rPr>
                <w:sz w:val="20"/>
                <w:szCs w:val="20"/>
                <w:color w:val="auto"/>
              </w:rPr>
            </w:pPr>
            <w:r>
              <w:rPr>
                <w:rFonts w:ascii="Arial" w:cs="Arial" w:eastAsia="Arial" w:hAnsi="Arial"/>
                <w:sz w:val="13"/>
                <w:szCs w:val="13"/>
                <w:color w:val="auto"/>
              </w:rPr>
              <w:t>37,140</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37,140</w:t>
            </w:r>
          </w:p>
        </w:tc>
      </w:tr>
      <w:tr>
        <w:trPr>
          <w:trHeight w:val="280"/>
        </w:trPr>
        <w:tc>
          <w:tcPr>
            <w:tcW w:w="16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00" w:type="dxa"/>
            <w:vAlign w:val="bottom"/>
          </w:tcPr>
          <w:p>
            <w:pPr>
              <w:jc w:val="right"/>
              <w:ind w:right="58"/>
              <w:spacing w:after="0"/>
              <w:rPr>
                <w:sz w:val="20"/>
                <w:szCs w:val="20"/>
                <w:color w:val="auto"/>
              </w:rPr>
            </w:pPr>
            <w:r>
              <w:rPr>
                <w:rFonts w:ascii="Arial" w:cs="Arial" w:eastAsia="Arial" w:hAnsi="Arial"/>
                <w:sz w:val="13"/>
                <w:szCs w:val="13"/>
                <w:color w:val="auto"/>
              </w:rPr>
              <w:t>2,499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ind w:right="18"/>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2,491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900" w:type="dxa"/>
            <w:vAlign w:val="bottom"/>
          </w:tcPr>
          <w:p>
            <w:pPr>
              <w:jc w:val="right"/>
              <w:ind w:right="38"/>
              <w:spacing w:after="0"/>
              <w:rPr>
                <w:sz w:val="20"/>
                <w:szCs w:val="20"/>
                <w:color w:val="auto"/>
              </w:rPr>
            </w:pPr>
            <w:r>
              <w:rPr>
                <w:rFonts w:ascii="Arial" w:cs="Arial" w:eastAsia="Arial" w:hAnsi="Arial"/>
                <w:sz w:val="13"/>
                <w:szCs w:val="13"/>
                <w:color w:val="auto"/>
              </w:rPr>
              <w:t>1,707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1,703</w:t>
            </w:r>
          </w:p>
        </w:tc>
      </w:tr>
      <w:tr>
        <w:trPr>
          <w:trHeight w:val="250"/>
        </w:trPr>
        <w:tc>
          <w:tcPr>
            <w:tcW w:w="1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3"/>
                <w:szCs w:val="13"/>
                <w:color w:val="auto"/>
              </w:rPr>
              <w:t>40,334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3"/>
                <w:szCs w:val="13"/>
                <w:color w:val="auto"/>
              </w:rPr>
              <w:t>2,499</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3"/>
                <w:szCs w:val="13"/>
                <w:color w:val="auto"/>
              </w:rPr>
              <w:t>42,825</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3"/>
                <w:szCs w:val="13"/>
                <w:color w:val="auto"/>
              </w:rPr>
              <w:t>37,140</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3"/>
                <w:szCs w:val="13"/>
                <w:color w:val="auto"/>
              </w:rPr>
              <w:t>1,707</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3"/>
                <w:szCs w:val="13"/>
                <w:color w:val="auto"/>
              </w:rPr>
              <w:t>38,843</w:t>
            </w:r>
          </w:p>
        </w:tc>
      </w:tr>
      <w:tr>
        <w:trPr>
          <w:trHeight w:val="524"/>
        </w:trPr>
        <w:tc>
          <w:tcPr>
            <w:tcW w:w="160" w:type="dxa"/>
            <w:vAlign w:val="bottom"/>
          </w:tcPr>
          <w:p>
            <w:pPr>
              <w:spacing w:after="0"/>
              <w:rPr>
                <w:sz w:val="24"/>
                <w:szCs w:val="24"/>
                <w:color w:val="auto"/>
              </w:rPr>
            </w:pPr>
          </w:p>
        </w:tc>
        <w:tc>
          <w:tcPr>
            <w:tcW w:w="900" w:type="dxa"/>
            <w:vAlign w:val="bottom"/>
          </w:tcPr>
          <w:p>
            <w:pPr>
              <w:jc w:val="right"/>
              <w:ind w:right="58"/>
              <w:spacing w:after="0"/>
              <w:rPr>
                <w:sz w:val="20"/>
                <w:szCs w:val="20"/>
                <w:color w:val="auto"/>
              </w:rPr>
            </w:pPr>
            <w:r>
              <w:rPr>
                <w:rFonts w:ascii="Arial" w:cs="Arial" w:eastAsia="Arial" w:hAnsi="Arial"/>
                <w:sz w:val="13"/>
                <w:szCs w:val="13"/>
                <w:color w:val="auto"/>
              </w:rPr>
              <w:t>34,781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900" w:type="dxa"/>
            <w:vAlign w:val="bottom"/>
          </w:tcPr>
          <w:p>
            <w:pPr>
              <w:jc w:val="right"/>
              <w:ind w:right="18"/>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34,778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58"/>
              <w:spacing w:after="0"/>
              <w:rPr>
                <w:sz w:val="20"/>
                <w:szCs w:val="20"/>
                <w:color w:val="auto"/>
              </w:rPr>
            </w:pPr>
            <w:r>
              <w:rPr>
                <w:rFonts w:ascii="Arial" w:cs="Arial" w:eastAsia="Arial" w:hAnsi="Arial"/>
                <w:sz w:val="13"/>
                <w:szCs w:val="13"/>
                <w:color w:val="auto"/>
              </w:rPr>
              <w:t>32,060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32,058</w:t>
            </w:r>
          </w:p>
        </w:tc>
      </w:tr>
      <w:tr>
        <w:trPr>
          <w:trHeight w:val="324"/>
        </w:trPr>
        <w:tc>
          <w:tcPr>
            <w:tcW w:w="16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00" w:type="dxa"/>
            <w:vAlign w:val="bottom"/>
          </w:tcPr>
          <w:p>
            <w:pPr>
              <w:jc w:val="right"/>
              <w:ind w:right="58"/>
              <w:spacing w:after="0"/>
              <w:rPr>
                <w:sz w:val="20"/>
                <w:szCs w:val="20"/>
                <w:color w:val="auto"/>
              </w:rPr>
            </w:pPr>
            <w:r>
              <w:rPr>
                <w:rFonts w:ascii="Arial" w:cs="Arial" w:eastAsia="Arial" w:hAnsi="Arial"/>
                <w:sz w:val="13"/>
                <w:szCs w:val="13"/>
                <w:color w:val="auto"/>
              </w:rPr>
              <w:t>2,306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2,306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900" w:type="dxa"/>
            <w:vAlign w:val="bottom"/>
          </w:tcPr>
          <w:p>
            <w:pPr>
              <w:jc w:val="right"/>
              <w:ind w:right="38"/>
              <w:spacing w:after="0"/>
              <w:rPr>
                <w:sz w:val="20"/>
                <w:szCs w:val="20"/>
                <w:color w:val="auto"/>
              </w:rPr>
            </w:pPr>
            <w:r>
              <w:rPr>
                <w:rFonts w:ascii="Arial" w:cs="Arial" w:eastAsia="Arial" w:hAnsi="Arial"/>
                <w:sz w:val="13"/>
                <w:szCs w:val="13"/>
                <w:color w:val="auto"/>
              </w:rPr>
              <w:t>1,506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1,506</w:t>
            </w:r>
          </w:p>
        </w:tc>
      </w:tr>
      <w:tr>
        <w:trPr>
          <w:trHeight w:val="334"/>
        </w:trPr>
        <w:tc>
          <w:tcPr>
            <w:tcW w:w="160" w:type="dxa"/>
            <w:vAlign w:val="bottom"/>
          </w:tcPr>
          <w:p>
            <w:pPr>
              <w:spacing w:after="0"/>
              <w:rPr>
                <w:sz w:val="24"/>
                <w:szCs w:val="24"/>
                <w:color w:val="auto"/>
              </w:rPr>
            </w:pPr>
          </w:p>
        </w:tc>
        <w:tc>
          <w:tcPr>
            <w:tcW w:w="900" w:type="dxa"/>
            <w:vAlign w:val="bottom"/>
          </w:tcPr>
          <w:p>
            <w:pPr>
              <w:jc w:val="right"/>
              <w:ind w:right="58"/>
              <w:spacing w:after="0"/>
              <w:rPr>
                <w:sz w:val="20"/>
                <w:szCs w:val="20"/>
                <w:color w:val="auto"/>
              </w:rPr>
            </w:pPr>
            <w:r>
              <w:rPr>
                <w:rFonts w:ascii="Arial" w:cs="Arial" w:eastAsia="Arial" w:hAnsi="Arial"/>
                <w:sz w:val="13"/>
                <w:szCs w:val="13"/>
                <w:color w:val="auto"/>
              </w:rPr>
              <w:t>2,724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2,724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58"/>
              <w:spacing w:after="0"/>
              <w:rPr>
                <w:sz w:val="20"/>
                <w:szCs w:val="20"/>
                <w:color w:val="auto"/>
              </w:rPr>
            </w:pPr>
            <w:r>
              <w:rPr>
                <w:rFonts w:ascii="Arial" w:cs="Arial" w:eastAsia="Arial" w:hAnsi="Arial"/>
                <w:sz w:val="13"/>
                <w:szCs w:val="13"/>
                <w:color w:val="auto"/>
              </w:rPr>
              <w:t>4,282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4,282</w:t>
            </w:r>
          </w:p>
        </w:tc>
      </w:tr>
      <w:tr>
        <w:trPr>
          <w:trHeight w:val="250"/>
        </w:trPr>
        <w:tc>
          <w:tcPr>
            <w:tcW w:w="1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3"/>
                <w:szCs w:val="13"/>
                <w:color w:val="auto"/>
              </w:rPr>
              <w:t>37,505</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3"/>
                <w:szCs w:val="13"/>
                <w:color w:val="auto"/>
              </w:rPr>
              <w:t>2,306</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3"/>
                <w:szCs w:val="13"/>
                <w:color w:val="auto"/>
              </w:rPr>
              <w:t>39,808</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3"/>
                <w:szCs w:val="13"/>
                <w:color w:val="auto"/>
              </w:rPr>
              <w:t>36,342</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3"/>
                <w:szCs w:val="13"/>
                <w:color w:val="auto"/>
              </w:rPr>
              <w:t>1,506</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3"/>
                <w:szCs w:val="13"/>
                <w:color w:val="auto"/>
              </w:rPr>
              <w:t>37,846</w:t>
            </w:r>
          </w:p>
        </w:tc>
      </w:tr>
      <w:tr>
        <w:trPr>
          <w:trHeight w:val="241"/>
        </w:trPr>
        <w:tc>
          <w:tcPr>
            <w:tcW w:w="160" w:type="dxa"/>
            <w:vAlign w:val="bottom"/>
          </w:tcPr>
          <w:p>
            <w:pPr>
              <w:spacing w:after="0"/>
              <w:rPr>
                <w:sz w:val="20"/>
                <w:szCs w:val="20"/>
                <w:color w:val="auto"/>
              </w:rPr>
            </w:pPr>
          </w:p>
        </w:tc>
        <w:tc>
          <w:tcPr>
            <w:tcW w:w="900" w:type="dxa"/>
            <w:vAlign w:val="bottom"/>
          </w:tcPr>
          <w:p>
            <w:pPr>
              <w:jc w:val="right"/>
              <w:ind w:right="58"/>
              <w:spacing w:after="0"/>
              <w:rPr>
                <w:sz w:val="20"/>
                <w:szCs w:val="20"/>
                <w:color w:val="auto"/>
              </w:rPr>
            </w:pPr>
            <w:r>
              <w:rPr>
                <w:rFonts w:ascii="Arial" w:cs="Arial" w:eastAsia="Arial" w:hAnsi="Arial"/>
                <w:sz w:val="13"/>
                <w:szCs w:val="13"/>
                <w:color w:val="auto"/>
              </w:rPr>
              <w:t>2,829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58"/>
              <w:spacing w:after="0"/>
              <w:rPr>
                <w:sz w:val="20"/>
                <w:szCs w:val="20"/>
                <w:color w:val="auto"/>
              </w:rPr>
            </w:pPr>
            <w:r>
              <w:rPr>
                <w:rFonts w:ascii="Arial" w:cs="Arial" w:eastAsia="Arial" w:hAnsi="Arial"/>
                <w:sz w:val="13"/>
                <w:szCs w:val="13"/>
                <w:color w:val="auto"/>
              </w:rPr>
              <w:t>193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18"/>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3,017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58"/>
              <w:spacing w:after="0"/>
              <w:rPr>
                <w:sz w:val="20"/>
                <w:szCs w:val="20"/>
                <w:color w:val="auto"/>
              </w:rPr>
            </w:pPr>
            <w:r>
              <w:rPr>
                <w:rFonts w:ascii="Arial" w:cs="Arial" w:eastAsia="Arial" w:hAnsi="Arial"/>
                <w:sz w:val="13"/>
                <w:szCs w:val="13"/>
                <w:color w:val="auto"/>
              </w:rPr>
              <w:t>798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8"/>
              <w:spacing w:after="0"/>
              <w:rPr>
                <w:sz w:val="20"/>
                <w:szCs w:val="20"/>
                <w:color w:val="auto"/>
              </w:rPr>
            </w:pPr>
            <w:r>
              <w:rPr>
                <w:rFonts w:ascii="Arial" w:cs="Arial" w:eastAsia="Arial" w:hAnsi="Arial"/>
                <w:sz w:val="13"/>
                <w:szCs w:val="13"/>
                <w:color w:val="auto"/>
              </w:rPr>
              <w:t>201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997</w:t>
            </w:r>
          </w:p>
        </w:tc>
      </w:tr>
      <w:tr>
        <w:trPr>
          <w:trHeight w:val="270"/>
        </w:trPr>
        <w:tc>
          <w:tcPr>
            <w:tcW w:w="160" w:type="dxa"/>
            <w:vAlign w:val="bottom"/>
          </w:tcPr>
          <w:p>
            <w:pPr>
              <w:spacing w:after="0"/>
              <w:rPr>
                <w:sz w:val="23"/>
                <w:szCs w:val="23"/>
                <w:color w:val="auto"/>
              </w:rPr>
            </w:pPr>
          </w:p>
        </w:tc>
        <w:tc>
          <w:tcPr>
            <w:tcW w:w="900" w:type="dxa"/>
            <w:vAlign w:val="bottom"/>
          </w:tcPr>
          <w:p>
            <w:pPr>
              <w:jc w:val="right"/>
              <w:ind w:right="58"/>
              <w:spacing w:after="0"/>
              <w:rPr>
                <w:sz w:val="20"/>
                <w:szCs w:val="20"/>
                <w:color w:val="auto"/>
              </w:rPr>
            </w:pPr>
            <w:r>
              <w:rPr>
                <w:rFonts w:ascii="Arial" w:cs="Arial" w:eastAsia="Arial" w:hAnsi="Arial"/>
                <w:sz w:val="13"/>
                <w:szCs w:val="13"/>
                <w:color w:val="auto"/>
              </w:rPr>
              <w:t>154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900" w:type="dxa"/>
            <w:vAlign w:val="bottom"/>
          </w:tcPr>
          <w:p>
            <w:pPr>
              <w:jc w:val="right"/>
              <w:ind w:right="18"/>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58"/>
              <w:spacing w:after="0"/>
              <w:rPr>
                <w:sz w:val="20"/>
                <w:szCs w:val="20"/>
                <w:color w:val="auto"/>
              </w:rPr>
            </w:pPr>
            <w:r>
              <w:rPr>
                <w:rFonts w:ascii="Arial" w:cs="Arial" w:eastAsia="Arial" w:hAnsi="Arial"/>
                <w:sz w:val="13"/>
                <w:szCs w:val="13"/>
                <w:color w:val="auto"/>
              </w:rPr>
              <w:t>148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58"/>
              <w:spacing w:after="0"/>
              <w:rPr>
                <w:sz w:val="20"/>
                <w:szCs w:val="20"/>
                <w:color w:val="auto"/>
              </w:rPr>
            </w:pPr>
            <w:r>
              <w:rPr>
                <w:rFonts w:ascii="Arial" w:cs="Arial" w:eastAsia="Arial" w:hAnsi="Arial"/>
                <w:sz w:val="13"/>
                <w:szCs w:val="13"/>
                <w:color w:val="auto"/>
              </w:rPr>
              <w:t>114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112</w:t>
            </w:r>
          </w:p>
        </w:tc>
      </w:tr>
      <w:tr>
        <w:trPr>
          <w:trHeight w:val="324"/>
        </w:trPr>
        <w:tc>
          <w:tcPr>
            <w:tcW w:w="160" w:type="dxa"/>
            <w:vAlign w:val="bottom"/>
          </w:tcPr>
          <w:p>
            <w:pPr>
              <w:spacing w:after="0"/>
              <w:rPr>
                <w:sz w:val="24"/>
                <w:szCs w:val="24"/>
                <w:color w:val="auto"/>
              </w:rPr>
            </w:pPr>
          </w:p>
        </w:tc>
        <w:tc>
          <w:tcPr>
            <w:tcW w:w="900" w:type="dxa"/>
            <w:vAlign w:val="bottom"/>
          </w:tcPr>
          <w:p>
            <w:pPr>
              <w:jc w:val="right"/>
              <w:ind w:right="58"/>
              <w:spacing w:after="0"/>
              <w:rPr>
                <w:sz w:val="20"/>
                <w:szCs w:val="20"/>
                <w:color w:val="auto"/>
              </w:rPr>
            </w:pPr>
            <w:r>
              <w:rPr>
                <w:rFonts w:ascii="Arial" w:cs="Arial" w:eastAsia="Arial" w:hAnsi="Arial"/>
                <w:sz w:val="13"/>
                <w:szCs w:val="13"/>
                <w:color w:val="auto"/>
              </w:rPr>
              <w:t>123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900" w:type="dxa"/>
            <w:vAlign w:val="bottom"/>
          </w:tcPr>
          <w:p>
            <w:pPr>
              <w:jc w:val="right"/>
              <w:ind w:right="18"/>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58"/>
              <w:spacing w:after="0"/>
              <w:rPr>
                <w:sz w:val="20"/>
                <w:szCs w:val="20"/>
                <w:color w:val="auto"/>
              </w:rPr>
            </w:pPr>
            <w:r>
              <w:rPr>
                <w:rFonts w:ascii="Arial" w:cs="Arial" w:eastAsia="Arial" w:hAnsi="Arial"/>
                <w:sz w:val="13"/>
                <w:szCs w:val="13"/>
                <w:color w:val="auto"/>
              </w:rPr>
              <w:t>122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58"/>
              <w:spacing w:after="0"/>
              <w:rPr>
                <w:sz w:val="20"/>
                <w:szCs w:val="20"/>
                <w:color w:val="auto"/>
              </w:rPr>
            </w:pPr>
            <w:r>
              <w:rPr>
                <w:rFonts w:ascii="Arial" w:cs="Arial" w:eastAsia="Arial" w:hAnsi="Arial"/>
                <w:sz w:val="13"/>
                <w:szCs w:val="13"/>
                <w:color w:val="auto"/>
              </w:rPr>
              <w:t>119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119</w:t>
            </w:r>
          </w:p>
        </w:tc>
      </w:tr>
      <w:tr>
        <w:trPr>
          <w:trHeight w:val="280"/>
        </w:trPr>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461</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36</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497</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472</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502</w:t>
            </w:r>
          </w:p>
        </w:tc>
      </w:tr>
      <w:tr>
        <w:trPr>
          <w:trHeight w:val="241"/>
        </w:trPr>
        <w:tc>
          <w:tcPr>
            <w:tcW w:w="160" w:type="dxa"/>
            <w:vAlign w:val="bottom"/>
          </w:tcPr>
          <w:p>
            <w:pPr>
              <w:spacing w:after="0"/>
              <w:rPr>
                <w:sz w:val="20"/>
                <w:szCs w:val="20"/>
                <w:color w:val="auto"/>
              </w:rPr>
            </w:pPr>
          </w:p>
        </w:tc>
        <w:tc>
          <w:tcPr>
            <w:tcW w:w="900" w:type="dxa"/>
            <w:vAlign w:val="bottom"/>
          </w:tcPr>
          <w:p>
            <w:pPr>
              <w:jc w:val="right"/>
              <w:ind w:right="58"/>
              <w:spacing w:after="0"/>
              <w:rPr>
                <w:sz w:val="20"/>
                <w:szCs w:val="20"/>
                <w:color w:val="auto"/>
              </w:rPr>
            </w:pPr>
            <w:r>
              <w:rPr>
                <w:rFonts w:ascii="Arial" w:cs="Arial" w:eastAsia="Arial" w:hAnsi="Arial"/>
                <w:sz w:val="13"/>
                <w:szCs w:val="13"/>
                <w:color w:val="auto"/>
              </w:rPr>
              <w:t>3,259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58"/>
              <w:spacing w:after="0"/>
              <w:rPr>
                <w:sz w:val="20"/>
                <w:szCs w:val="20"/>
                <w:color w:val="auto"/>
              </w:rPr>
            </w:pPr>
            <w:r>
              <w:rPr>
                <w:rFonts w:ascii="Arial" w:cs="Arial" w:eastAsia="Arial" w:hAnsi="Arial"/>
                <w:sz w:val="13"/>
                <w:szCs w:val="13"/>
                <w:color w:val="auto"/>
              </w:rPr>
              <w:t>229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0"/>
                <w:szCs w:val="20"/>
                <w:color w:val="auto"/>
              </w:rPr>
            </w:pP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3,488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58"/>
              <w:spacing w:after="0"/>
              <w:rPr>
                <w:sz w:val="20"/>
                <w:szCs w:val="20"/>
                <w:color w:val="auto"/>
              </w:rPr>
            </w:pPr>
            <w:r>
              <w:rPr>
                <w:rFonts w:ascii="Arial" w:cs="Arial" w:eastAsia="Arial" w:hAnsi="Arial"/>
                <w:sz w:val="13"/>
                <w:szCs w:val="13"/>
                <w:color w:val="auto"/>
              </w:rPr>
              <w:t>1,275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8"/>
              <w:spacing w:after="0"/>
              <w:rPr>
                <w:sz w:val="20"/>
                <w:szCs w:val="20"/>
                <w:color w:val="auto"/>
              </w:rPr>
            </w:pPr>
            <w:r>
              <w:rPr>
                <w:rFonts w:ascii="Arial" w:cs="Arial" w:eastAsia="Arial" w:hAnsi="Arial"/>
                <w:sz w:val="13"/>
                <w:szCs w:val="13"/>
                <w:color w:val="auto"/>
              </w:rPr>
              <w:t>231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0"/>
                <w:szCs w:val="20"/>
                <w:color w:val="auto"/>
              </w:rPr>
            </w:pP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1,506</w:t>
            </w:r>
          </w:p>
        </w:tc>
      </w:tr>
      <w:tr>
        <w:trPr>
          <w:trHeight w:val="280"/>
        </w:trPr>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704</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72</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776</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159</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165</w:t>
            </w:r>
          </w:p>
        </w:tc>
      </w:tr>
      <w:tr>
        <w:trPr>
          <w:trHeight w:val="241"/>
        </w:trPr>
        <w:tc>
          <w:tcPr>
            <w:tcW w:w="160" w:type="dxa"/>
            <w:vAlign w:val="bottom"/>
          </w:tcPr>
          <w:p>
            <w:pPr>
              <w:spacing w:after="0"/>
              <w:rPr>
                <w:sz w:val="20"/>
                <w:szCs w:val="20"/>
                <w:color w:val="auto"/>
              </w:rPr>
            </w:pPr>
          </w:p>
        </w:tc>
        <w:tc>
          <w:tcPr>
            <w:tcW w:w="900" w:type="dxa"/>
            <w:vAlign w:val="bottom"/>
          </w:tcPr>
          <w:p>
            <w:pPr>
              <w:jc w:val="right"/>
              <w:ind w:right="58"/>
              <w:spacing w:after="0"/>
              <w:rPr>
                <w:sz w:val="20"/>
                <w:szCs w:val="20"/>
                <w:color w:val="auto"/>
              </w:rPr>
            </w:pPr>
            <w:r>
              <w:rPr>
                <w:rFonts w:ascii="Arial" w:cs="Arial" w:eastAsia="Arial" w:hAnsi="Arial"/>
                <w:sz w:val="13"/>
                <w:szCs w:val="13"/>
                <w:color w:val="auto"/>
              </w:rPr>
              <w:t>2,555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58"/>
              <w:spacing w:after="0"/>
              <w:rPr>
                <w:sz w:val="20"/>
                <w:szCs w:val="20"/>
                <w:color w:val="auto"/>
              </w:rPr>
            </w:pPr>
            <w:r>
              <w:rPr>
                <w:rFonts w:ascii="Arial" w:cs="Arial" w:eastAsia="Arial" w:hAnsi="Arial"/>
                <w:sz w:val="13"/>
                <w:szCs w:val="13"/>
                <w:color w:val="auto"/>
              </w:rPr>
              <w:t>157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0"/>
                <w:szCs w:val="20"/>
                <w:color w:val="auto"/>
              </w:rPr>
            </w:pP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2,712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58"/>
              <w:spacing w:after="0"/>
              <w:rPr>
                <w:sz w:val="20"/>
                <w:szCs w:val="20"/>
                <w:color w:val="auto"/>
              </w:rPr>
            </w:pPr>
            <w:r>
              <w:rPr>
                <w:rFonts w:ascii="Arial" w:cs="Arial" w:eastAsia="Arial" w:hAnsi="Arial"/>
                <w:sz w:val="13"/>
                <w:szCs w:val="13"/>
                <w:color w:val="auto"/>
              </w:rPr>
              <w:t>1,116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8"/>
              <w:spacing w:after="0"/>
              <w:rPr>
                <w:sz w:val="20"/>
                <w:szCs w:val="20"/>
                <w:color w:val="auto"/>
              </w:rPr>
            </w:pPr>
            <w:r>
              <w:rPr>
                <w:rFonts w:ascii="Arial" w:cs="Arial" w:eastAsia="Arial" w:hAnsi="Arial"/>
                <w:sz w:val="13"/>
                <w:szCs w:val="13"/>
                <w:color w:val="auto"/>
              </w:rPr>
              <w:t>225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0"/>
                <w:szCs w:val="20"/>
                <w:color w:val="auto"/>
              </w:rPr>
            </w:pP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1,341</w:t>
            </w:r>
          </w:p>
        </w:tc>
      </w:tr>
      <w:tr>
        <w:trPr>
          <w:trHeight w:val="334"/>
        </w:trPr>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61</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61</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18</w:t>
            </w:r>
          </w:p>
        </w:tc>
      </w:tr>
      <w:tr>
        <w:trPr>
          <w:trHeight w:val="291"/>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2,616</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157</w:t>
            </w:r>
          </w:p>
        </w:tc>
        <w:tc>
          <w:tcPr>
            <w:tcW w:w="12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2,773</w:t>
            </w:r>
          </w:p>
        </w:tc>
        <w:tc>
          <w:tcPr>
            <w:tcW w:w="1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1,134</w:t>
            </w:r>
          </w:p>
        </w:tc>
        <w:tc>
          <w:tcPr>
            <w:tcW w:w="1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225</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1,359</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370"/>
        </w:trPr>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40" w:type="dxa"/>
            <w:vAlign w:val="bottom"/>
            <w:gridSpan w:val="6"/>
          </w:tcPr>
          <w:p>
            <w:pPr>
              <w:jc w:val="center"/>
              <w:ind w:right="140"/>
              <w:spacing w:after="0"/>
              <w:rPr>
                <w:sz w:val="20"/>
                <w:szCs w:val="20"/>
                <w:color w:val="auto"/>
              </w:rPr>
            </w:pPr>
            <w:r>
              <w:rPr>
                <w:rFonts w:ascii="Arial" w:cs="Arial" w:eastAsia="Arial" w:hAnsi="Arial"/>
                <w:sz w:val="11"/>
                <w:szCs w:val="11"/>
                <w:b w:val="1"/>
                <w:bCs w:val="1"/>
                <w:color w:val="auto"/>
                <w:w w:val="97"/>
              </w:rPr>
              <w:t>Nine Months Ended September 30, 2016</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gridSpan w:val="5"/>
          </w:tcPr>
          <w:p>
            <w:pPr>
              <w:jc w:val="center"/>
              <w:ind w:right="60"/>
              <w:spacing w:after="0"/>
              <w:rPr>
                <w:sz w:val="20"/>
                <w:szCs w:val="20"/>
                <w:color w:val="auto"/>
              </w:rPr>
            </w:pPr>
            <w:r>
              <w:rPr>
                <w:rFonts w:ascii="Arial" w:cs="Arial" w:eastAsia="Arial" w:hAnsi="Arial"/>
                <w:sz w:val="11"/>
                <w:szCs w:val="11"/>
                <w:b w:val="1"/>
                <w:bCs w:val="1"/>
                <w:color w:val="auto"/>
                <w:w w:val="98"/>
              </w:rPr>
              <w:t>Nine Months Ended September 30, 2015</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
        </w:trPr>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42"/>
        </w:trPr>
        <w:tc>
          <w:tcPr>
            <w:tcW w:w="160" w:type="dxa"/>
            <w:vAlign w:val="bottom"/>
          </w:tcPr>
          <w:p>
            <w:pPr>
              <w:spacing w:after="0"/>
              <w:rPr>
                <w:sz w:val="21"/>
                <w:szCs w:val="2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Automotive</w:t>
            </w:r>
          </w:p>
        </w:tc>
        <w:tc>
          <w:tcPr>
            <w:tcW w:w="140" w:type="dxa"/>
            <w:vAlign w:val="bottom"/>
          </w:tcPr>
          <w:p>
            <w:pPr>
              <w:spacing w:after="0"/>
              <w:rPr>
                <w:sz w:val="21"/>
                <w:szCs w:val="21"/>
                <w:color w:val="auto"/>
              </w:rPr>
            </w:pPr>
          </w:p>
        </w:tc>
        <w:tc>
          <w:tcPr>
            <w:tcW w:w="1020" w:type="dxa"/>
            <w:vAlign w:val="bottom"/>
            <w:gridSpan w:val="2"/>
          </w:tcPr>
          <w:p>
            <w:pPr>
              <w:ind w:left="40"/>
              <w:spacing w:after="0"/>
              <w:rPr>
                <w:sz w:val="20"/>
                <w:szCs w:val="20"/>
                <w:color w:val="auto"/>
              </w:rPr>
            </w:pPr>
            <w:r>
              <w:rPr>
                <w:rFonts w:ascii="Arial" w:cs="Arial" w:eastAsia="Arial" w:hAnsi="Arial"/>
                <w:sz w:val="11"/>
                <w:szCs w:val="11"/>
                <w:b w:val="1"/>
                <w:bCs w:val="1"/>
                <w:color w:val="auto"/>
              </w:rPr>
              <w:t>GM Financial</w:t>
            </w:r>
          </w:p>
        </w:tc>
        <w:tc>
          <w:tcPr>
            <w:tcW w:w="160" w:type="dxa"/>
            <w:vAlign w:val="bottom"/>
          </w:tcPr>
          <w:p>
            <w:pPr>
              <w:spacing w:after="0"/>
              <w:rPr>
                <w:sz w:val="21"/>
                <w:szCs w:val="2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Eliminations</w:t>
            </w:r>
          </w:p>
        </w:tc>
        <w:tc>
          <w:tcPr>
            <w:tcW w:w="140" w:type="dxa"/>
            <w:vAlign w:val="bottom"/>
          </w:tcPr>
          <w:p>
            <w:pPr>
              <w:spacing w:after="0"/>
              <w:rPr>
                <w:sz w:val="21"/>
                <w:szCs w:val="21"/>
                <w:color w:val="auto"/>
              </w:rPr>
            </w:pPr>
          </w:p>
        </w:tc>
        <w:tc>
          <w:tcPr>
            <w:tcW w:w="980" w:type="dxa"/>
            <w:vAlign w:val="bottom"/>
            <w:gridSpan w:val="2"/>
          </w:tcPr>
          <w:p>
            <w:pPr>
              <w:ind w:left="20"/>
              <w:spacing w:after="0"/>
              <w:rPr>
                <w:sz w:val="20"/>
                <w:szCs w:val="20"/>
                <w:color w:val="auto"/>
              </w:rPr>
            </w:pPr>
            <w:r>
              <w:rPr>
                <w:rFonts w:ascii="Arial" w:cs="Arial" w:eastAsia="Arial" w:hAnsi="Arial"/>
                <w:sz w:val="11"/>
                <w:szCs w:val="11"/>
                <w:b w:val="1"/>
                <w:bCs w:val="1"/>
                <w:color w:val="auto"/>
              </w:rPr>
              <w:t>Consolidated</w:t>
            </w:r>
          </w:p>
        </w:tc>
        <w:tc>
          <w:tcPr>
            <w:tcW w:w="120" w:type="dxa"/>
            <w:vAlign w:val="bottom"/>
          </w:tcPr>
          <w:p>
            <w:pPr>
              <w:spacing w:after="0"/>
              <w:rPr>
                <w:sz w:val="21"/>
                <w:szCs w:val="21"/>
                <w:color w:val="auto"/>
              </w:rPr>
            </w:pP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Automotive</w:t>
            </w:r>
          </w:p>
        </w:tc>
        <w:tc>
          <w:tcPr>
            <w:tcW w:w="120" w:type="dxa"/>
            <w:vAlign w:val="bottom"/>
          </w:tcPr>
          <w:p>
            <w:pPr>
              <w:spacing w:after="0"/>
              <w:rPr>
                <w:sz w:val="21"/>
                <w:szCs w:val="21"/>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GM Financial</w:t>
            </w:r>
          </w:p>
        </w:tc>
        <w:tc>
          <w:tcPr>
            <w:tcW w:w="140" w:type="dxa"/>
            <w:vAlign w:val="bottom"/>
          </w:tcPr>
          <w:p>
            <w:pPr>
              <w:spacing w:after="0"/>
              <w:rPr>
                <w:sz w:val="21"/>
                <w:szCs w:val="21"/>
                <w:color w:val="auto"/>
              </w:rPr>
            </w:pPr>
          </w:p>
        </w:tc>
        <w:tc>
          <w:tcPr>
            <w:tcW w:w="980" w:type="dxa"/>
            <w:vAlign w:val="bottom"/>
            <w:gridSpan w:val="2"/>
          </w:tcPr>
          <w:p>
            <w:pPr>
              <w:ind w:left="60"/>
              <w:spacing w:after="0"/>
              <w:rPr>
                <w:sz w:val="20"/>
                <w:szCs w:val="20"/>
                <w:color w:val="auto"/>
              </w:rPr>
            </w:pPr>
            <w:r>
              <w:rPr>
                <w:rFonts w:ascii="Arial" w:cs="Arial" w:eastAsia="Arial" w:hAnsi="Arial"/>
                <w:sz w:val="11"/>
                <w:szCs w:val="11"/>
                <w:b w:val="1"/>
                <w:bCs w:val="1"/>
                <w:color w:val="auto"/>
              </w:rPr>
              <w:t>Eliminations</w:t>
            </w:r>
          </w:p>
        </w:tc>
        <w:tc>
          <w:tcPr>
            <w:tcW w:w="140" w:type="dxa"/>
            <w:vAlign w:val="bottom"/>
          </w:tcPr>
          <w:p>
            <w:pPr>
              <w:spacing w:after="0"/>
              <w:rPr>
                <w:sz w:val="21"/>
                <w:szCs w:val="21"/>
                <w:color w:val="auto"/>
              </w:rPr>
            </w:pPr>
          </w:p>
        </w:tc>
        <w:tc>
          <w:tcPr>
            <w:tcW w:w="880" w:type="dxa"/>
            <w:vAlign w:val="bottom"/>
          </w:tcPr>
          <w:p>
            <w:pPr>
              <w:jc w:val="right"/>
              <w:ind w:right="98"/>
              <w:spacing w:after="0"/>
              <w:rPr>
                <w:sz w:val="20"/>
                <w:szCs w:val="20"/>
                <w:color w:val="auto"/>
              </w:rPr>
            </w:pPr>
            <w:r>
              <w:rPr>
                <w:rFonts w:ascii="Arial" w:cs="Arial" w:eastAsia="Arial" w:hAnsi="Arial"/>
                <w:sz w:val="11"/>
                <w:szCs w:val="11"/>
                <w:b w:val="1"/>
                <w:bCs w:val="1"/>
                <w:color w:val="auto"/>
              </w:rPr>
              <w:t>Consolidated</w:t>
            </w:r>
          </w:p>
        </w:tc>
      </w:tr>
      <w:tr>
        <w:trPr>
          <w:trHeight w:val="22"/>
        </w:trPr>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518"/>
        </w:trPr>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58"/>
              <w:spacing w:after="0"/>
              <w:rPr>
                <w:sz w:val="20"/>
                <w:szCs w:val="20"/>
                <w:color w:val="auto"/>
              </w:rPr>
            </w:pPr>
            <w:r>
              <w:rPr>
                <w:rFonts w:ascii="Arial" w:cs="Arial" w:eastAsia="Arial" w:hAnsi="Arial"/>
                <w:sz w:val="13"/>
                <w:szCs w:val="13"/>
                <w:color w:val="auto"/>
              </w:rPr>
              <w:t>115,618</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8"/>
              <w:spacing w:after="0"/>
              <w:rPr>
                <w:sz w:val="20"/>
                <w:szCs w:val="20"/>
                <w:color w:val="auto"/>
              </w:rPr>
            </w:pPr>
            <w:r>
              <w:rPr>
                <w:rFonts w:ascii="Arial" w:cs="Arial" w:eastAsia="Arial" w:hAnsi="Arial"/>
                <w:sz w:val="13"/>
                <w:szCs w:val="13"/>
                <w:color w:val="auto"/>
              </w:rPr>
              <w:t>115,618</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8"/>
              <w:spacing w:after="0"/>
              <w:rPr>
                <w:sz w:val="20"/>
                <w:szCs w:val="20"/>
                <w:color w:val="auto"/>
              </w:rPr>
            </w:pPr>
            <w:r>
              <w:rPr>
                <w:rFonts w:ascii="Arial" w:cs="Arial" w:eastAsia="Arial" w:hAnsi="Arial"/>
                <w:sz w:val="13"/>
                <w:szCs w:val="13"/>
                <w:color w:val="auto"/>
              </w:rPr>
              <w:t>108,174</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108,174</w:t>
            </w:r>
          </w:p>
        </w:tc>
      </w:tr>
      <w:tr>
        <w:trPr>
          <w:trHeight w:val="280"/>
        </w:trPr>
        <w:tc>
          <w:tcPr>
            <w:tcW w:w="16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00" w:type="dxa"/>
            <w:vAlign w:val="bottom"/>
          </w:tcPr>
          <w:p>
            <w:pPr>
              <w:jc w:val="right"/>
              <w:ind w:right="58"/>
              <w:spacing w:after="0"/>
              <w:rPr>
                <w:sz w:val="20"/>
                <w:szCs w:val="20"/>
                <w:color w:val="auto"/>
              </w:rPr>
            </w:pPr>
            <w:r>
              <w:rPr>
                <w:rFonts w:ascii="Arial" w:cs="Arial" w:eastAsia="Arial" w:hAnsi="Arial"/>
                <w:sz w:val="13"/>
                <w:szCs w:val="13"/>
                <w:color w:val="auto"/>
              </w:rPr>
              <w:t>6,866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ind w:right="18"/>
              <w:spacing w:after="0"/>
              <w:rPr>
                <w:sz w:val="20"/>
                <w:szCs w:val="20"/>
                <w:color w:val="auto"/>
              </w:rPr>
            </w:pPr>
            <w:r>
              <w:rPr>
                <w:rFonts w:ascii="Arial" w:cs="Arial" w:eastAsia="Arial" w:hAnsi="Arial"/>
                <w:sz w:val="13"/>
                <w:szCs w:val="13"/>
                <w:color w:val="auto"/>
              </w:rPr>
              <w:t>(22)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6,844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900" w:type="dxa"/>
            <w:vAlign w:val="bottom"/>
          </w:tcPr>
          <w:p>
            <w:pPr>
              <w:jc w:val="right"/>
              <w:ind w:right="38"/>
              <w:spacing w:after="0"/>
              <w:rPr>
                <w:sz w:val="20"/>
                <w:szCs w:val="20"/>
                <w:color w:val="auto"/>
              </w:rPr>
            </w:pPr>
            <w:r>
              <w:rPr>
                <w:rFonts w:ascii="Arial" w:cs="Arial" w:eastAsia="Arial" w:hAnsi="Arial"/>
                <w:sz w:val="13"/>
                <w:szCs w:val="13"/>
                <w:color w:val="auto"/>
              </w:rPr>
              <w:t>4,576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4,561</w:t>
            </w:r>
          </w:p>
        </w:tc>
      </w:tr>
      <w:tr>
        <w:trPr>
          <w:trHeight w:val="250"/>
        </w:trPr>
        <w:tc>
          <w:tcPr>
            <w:tcW w:w="1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3"/>
                <w:szCs w:val="13"/>
                <w:color w:val="auto"/>
              </w:rPr>
              <w:t>115,618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3"/>
                <w:szCs w:val="13"/>
                <w:color w:val="auto"/>
              </w:rPr>
              <w:t>6,866</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3"/>
                <w:szCs w:val="13"/>
                <w:color w:val="auto"/>
              </w:rPr>
              <w:t>(22)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3"/>
                <w:szCs w:val="13"/>
                <w:color w:val="auto"/>
              </w:rPr>
              <w:t>122,462</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3"/>
                <w:szCs w:val="13"/>
                <w:color w:val="auto"/>
              </w:rPr>
              <w:t>108,174</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3"/>
                <w:szCs w:val="13"/>
                <w:color w:val="auto"/>
              </w:rPr>
              <w:t>4,576</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3"/>
                <w:szCs w:val="13"/>
                <w:color w:val="auto"/>
              </w:rPr>
              <w:t>112,735</w:t>
            </w:r>
          </w:p>
        </w:tc>
      </w:tr>
      <w:tr>
        <w:trPr>
          <w:trHeight w:val="524"/>
        </w:trPr>
        <w:tc>
          <w:tcPr>
            <w:tcW w:w="160" w:type="dxa"/>
            <w:vAlign w:val="bottom"/>
          </w:tcPr>
          <w:p>
            <w:pPr>
              <w:spacing w:after="0"/>
              <w:rPr>
                <w:sz w:val="24"/>
                <w:szCs w:val="24"/>
                <w:color w:val="auto"/>
              </w:rPr>
            </w:pPr>
          </w:p>
        </w:tc>
        <w:tc>
          <w:tcPr>
            <w:tcW w:w="900" w:type="dxa"/>
            <w:vAlign w:val="bottom"/>
          </w:tcPr>
          <w:p>
            <w:pPr>
              <w:jc w:val="right"/>
              <w:ind w:right="58"/>
              <w:spacing w:after="0"/>
              <w:rPr>
                <w:sz w:val="20"/>
                <w:szCs w:val="20"/>
                <w:color w:val="auto"/>
              </w:rPr>
            </w:pPr>
            <w:r>
              <w:rPr>
                <w:rFonts w:ascii="Arial" w:cs="Arial" w:eastAsia="Arial" w:hAnsi="Arial"/>
                <w:sz w:val="13"/>
                <w:szCs w:val="13"/>
                <w:color w:val="auto"/>
              </w:rPr>
              <w:t>99,801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900" w:type="dxa"/>
            <w:vAlign w:val="bottom"/>
          </w:tcPr>
          <w:p>
            <w:pPr>
              <w:jc w:val="right"/>
              <w:ind w:right="18"/>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99,793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58"/>
              <w:spacing w:after="0"/>
              <w:rPr>
                <w:sz w:val="20"/>
                <w:szCs w:val="20"/>
                <w:color w:val="auto"/>
              </w:rPr>
            </w:pPr>
            <w:r>
              <w:rPr>
                <w:rFonts w:ascii="Arial" w:cs="Arial" w:eastAsia="Arial" w:hAnsi="Arial"/>
                <w:sz w:val="13"/>
                <w:szCs w:val="13"/>
                <w:color w:val="auto"/>
              </w:rPr>
              <w:t>95,337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95,329</w:t>
            </w:r>
          </w:p>
        </w:tc>
      </w:tr>
      <w:tr>
        <w:trPr>
          <w:trHeight w:val="324"/>
        </w:trPr>
        <w:tc>
          <w:tcPr>
            <w:tcW w:w="16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00" w:type="dxa"/>
            <w:vAlign w:val="bottom"/>
          </w:tcPr>
          <w:p>
            <w:pPr>
              <w:jc w:val="right"/>
              <w:ind w:right="58"/>
              <w:spacing w:after="0"/>
              <w:rPr>
                <w:sz w:val="20"/>
                <w:szCs w:val="20"/>
                <w:color w:val="auto"/>
              </w:rPr>
            </w:pPr>
            <w:r>
              <w:rPr>
                <w:rFonts w:ascii="Arial" w:cs="Arial" w:eastAsia="Arial" w:hAnsi="Arial"/>
                <w:sz w:val="13"/>
                <w:szCs w:val="13"/>
                <w:color w:val="auto"/>
              </w:rPr>
              <w:t>6,255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6,255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900" w:type="dxa"/>
            <w:vAlign w:val="bottom"/>
          </w:tcPr>
          <w:p>
            <w:pPr>
              <w:jc w:val="right"/>
              <w:ind w:right="38"/>
              <w:spacing w:after="0"/>
              <w:rPr>
                <w:sz w:val="20"/>
                <w:szCs w:val="20"/>
                <w:color w:val="auto"/>
              </w:rPr>
            </w:pPr>
            <w:r>
              <w:rPr>
                <w:rFonts w:ascii="Arial" w:cs="Arial" w:eastAsia="Arial" w:hAnsi="Arial"/>
                <w:sz w:val="13"/>
                <w:szCs w:val="13"/>
                <w:color w:val="auto"/>
              </w:rPr>
              <w:t>3,992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3,992</w:t>
            </w:r>
          </w:p>
        </w:tc>
      </w:tr>
      <w:tr>
        <w:trPr>
          <w:trHeight w:val="334"/>
        </w:trPr>
        <w:tc>
          <w:tcPr>
            <w:tcW w:w="160" w:type="dxa"/>
            <w:vAlign w:val="bottom"/>
          </w:tcPr>
          <w:p>
            <w:pPr>
              <w:spacing w:after="0"/>
              <w:rPr>
                <w:sz w:val="24"/>
                <w:szCs w:val="24"/>
                <w:color w:val="auto"/>
              </w:rPr>
            </w:pPr>
          </w:p>
        </w:tc>
        <w:tc>
          <w:tcPr>
            <w:tcW w:w="900" w:type="dxa"/>
            <w:vAlign w:val="bottom"/>
          </w:tcPr>
          <w:p>
            <w:pPr>
              <w:jc w:val="right"/>
              <w:ind w:right="58"/>
              <w:spacing w:after="0"/>
              <w:rPr>
                <w:sz w:val="20"/>
                <w:szCs w:val="20"/>
                <w:color w:val="auto"/>
              </w:rPr>
            </w:pPr>
            <w:r>
              <w:rPr>
                <w:rFonts w:ascii="Arial" w:cs="Arial" w:eastAsia="Arial" w:hAnsi="Arial"/>
                <w:sz w:val="13"/>
                <w:szCs w:val="13"/>
                <w:color w:val="auto"/>
              </w:rPr>
              <w:t>8,389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8,389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58"/>
              <w:spacing w:after="0"/>
              <w:rPr>
                <w:sz w:val="20"/>
                <w:szCs w:val="20"/>
                <w:color w:val="auto"/>
              </w:rPr>
            </w:pPr>
            <w:r>
              <w:rPr>
                <w:rFonts w:ascii="Arial" w:cs="Arial" w:eastAsia="Arial" w:hAnsi="Arial"/>
                <w:sz w:val="13"/>
                <w:szCs w:val="13"/>
                <w:color w:val="auto"/>
              </w:rPr>
              <w:t>10,376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10,376</w:t>
            </w:r>
          </w:p>
        </w:tc>
      </w:tr>
      <w:tr>
        <w:trPr>
          <w:trHeight w:val="250"/>
        </w:trPr>
        <w:tc>
          <w:tcPr>
            <w:tcW w:w="1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3"/>
                <w:szCs w:val="13"/>
                <w:color w:val="auto"/>
              </w:rPr>
              <w:t>108,190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3"/>
                <w:szCs w:val="13"/>
                <w:color w:val="auto"/>
              </w:rPr>
              <w:t>6,255</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3"/>
                <w:szCs w:val="13"/>
                <w:color w:val="auto"/>
              </w:rPr>
              <w:t>114,437</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3"/>
                <w:szCs w:val="13"/>
                <w:color w:val="auto"/>
              </w:rPr>
              <w:t>105,713</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3"/>
                <w:szCs w:val="13"/>
                <w:color w:val="auto"/>
              </w:rPr>
              <w:t>3,992</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3"/>
                <w:szCs w:val="13"/>
                <w:color w:val="auto"/>
              </w:rPr>
              <w:t>109,697</w:t>
            </w:r>
          </w:p>
        </w:tc>
      </w:tr>
      <w:tr>
        <w:trPr>
          <w:trHeight w:val="241"/>
        </w:trPr>
        <w:tc>
          <w:tcPr>
            <w:tcW w:w="160" w:type="dxa"/>
            <w:vAlign w:val="bottom"/>
          </w:tcPr>
          <w:p>
            <w:pPr>
              <w:spacing w:after="0"/>
              <w:rPr>
                <w:sz w:val="20"/>
                <w:szCs w:val="20"/>
                <w:color w:val="auto"/>
              </w:rPr>
            </w:pPr>
          </w:p>
        </w:tc>
        <w:tc>
          <w:tcPr>
            <w:tcW w:w="900" w:type="dxa"/>
            <w:vAlign w:val="bottom"/>
          </w:tcPr>
          <w:p>
            <w:pPr>
              <w:jc w:val="right"/>
              <w:ind w:right="58"/>
              <w:spacing w:after="0"/>
              <w:rPr>
                <w:sz w:val="20"/>
                <w:szCs w:val="20"/>
                <w:color w:val="auto"/>
              </w:rPr>
            </w:pPr>
            <w:r>
              <w:rPr>
                <w:rFonts w:ascii="Arial" w:cs="Arial" w:eastAsia="Arial" w:hAnsi="Arial"/>
                <w:sz w:val="13"/>
                <w:szCs w:val="13"/>
                <w:color w:val="auto"/>
              </w:rPr>
              <w:t>7,428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58"/>
              <w:spacing w:after="0"/>
              <w:rPr>
                <w:sz w:val="20"/>
                <w:szCs w:val="20"/>
                <w:color w:val="auto"/>
              </w:rPr>
            </w:pPr>
            <w:r>
              <w:rPr>
                <w:rFonts w:ascii="Arial" w:cs="Arial" w:eastAsia="Arial" w:hAnsi="Arial"/>
                <w:sz w:val="13"/>
                <w:szCs w:val="13"/>
                <w:color w:val="auto"/>
              </w:rPr>
              <w:t>611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18"/>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8,025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58"/>
              <w:spacing w:after="0"/>
              <w:rPr>
                <w:sz w:val="20"/>
                <w:szCs w:val="20"/>
                <w:color w:val="auto"/>
              </w:rPr>
            </w:pPr>
            <w:r>
              <w:rPr>
                <w:rFonts w:ascii="Arial" w:cs="Arial" w:eastAsia="Arial" w:hAnsi="Arial"/>
                <w:sz w:val="13"/>
                <w:szCs w:val="13"/>
                <w:color w:val="auto"/>
              </w:rPr>
              <w:t>2,461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8"/>
              <w:spacing w:after="0"/>
              <w:rPr>
                <w:sz w:val="20"/>
                <w:szCs w:val="20"/>
                <w:color w:val="auto"/>
              </w:rPr>
            </w:pPr>
            <w:r>
              <w:rPr>
                <w:rFonts w:ascii="Arial" w:cs="Arial" w:eastAsia="Arial" w:hAnsi="Arial"/>
                <w:sz w:val="13"/>
                <w:szCs w:val="13"/>
                <w:color w:val="auto"/>
              </w:rPr>
              <w:t>584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3,038</w:t>
            </w:r>
          </w:p>
        </w:tc>
      </w:tr>
      <w:tr>
        <w:trPr>
          <w:trHeight w:val="270"/>
        </w:trPr>
        <w:tc>
          <w:tcPr>
            <w:tcW w:w="160" w:type="dxa"/>
            <w:vAlign w:val="bottom"/>
          </w:tcPr>
          <w:p>
            <w:pPr>
              <w:spacing w:after="0"/>
              <w:rPr>
                <w:sz w:val="23"/>
                <w:szCs w:val="23"/>
                <w:color w:val="auto"/>
              </w:rPr>
            </w:pPr>
          </w:p>
        </w:tc>
        <w:tc>
          <w:tcPr>
            <w:tcW w:w="900" w:type="dxa"/>
            <w:vAlign w:val="bottom"/>
          </w:tcPr>
          <w:p>
            <w:pPr>
              <w:jc w:val="right"/>
              <w:ind w:right="58"/>
              <w:spacing w:after="0"/>
              <w:rPr>
                <w:sz w:val="20"/>
                <w:szCs w:val="20"/>
                <w:color w:val="auto"/>
              </w:rPr>
            </w:pPr>
            <w:r>
              <w:rPr>
                <w:rFonts w:ascii="Arial" w:cs="Arial" w:eastAsia="Arial" w:hAnsi="Arial"/>
                <w:sz w:val="13"/>
                <w:szCs w:val="13"/>
                <w:color w:val="auto"/>
              </w:rPr>
              <w:t>437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900" w:type="dxa"/>
            <w:vAlign w:val="bottom"/>
          </w:tcPr>
          <w:p>
            <w:pPr>
              <w:jc w:val="right"/>
              <w:ind w:right="18"/>
              <w:spacing w:after="0"/>
              <w:rPr>
                <w:sz w:val="20"/>
                <w:szCs w:val="20"/>
                <w:color w:val="auto"/>
              </w:rPr>
            </w:pPr>
            <w:r>
              <w:rPr>
                <w:rFonts w:ascii="Arial" w:cs="Arial" w:eastAsia="Arial" w:hAnsi="Arial"/>
                <w:sz w:val="13"/>
                <w:szCs w:val="13"/>
                <w:color w:val="auto"/>
              </w:rPr>
              <w:t>(15)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58"/>
              <w:spacing w:after="0"/>
              <w:rPr>
                <w:sz w:val="20"/>
                <w:szCs w:val="20"/>
                <w:color w:val="auto"/>
              </w:rPr>
            </w:pPr>
            <w:r>
              <w:rPr>
                <w:rFonts w:ascii="Arial" w:cs="Arial" w:eastAsia="Arial" w:hAnsi="Arial"/>
                <w:sz w:val="13"/>
                <w:szCs w:val="13"/>
                <w:color w:val="auto"/>
              </w:rPr>
              <w:t>422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58"/>
              <w:spacing w:after="0"/>
              <w:rPr>
                <w:sz w:val="20"/>
                <w:szCs w:val="20"/>
                <w:color w:val="auto"/>
              </w:rPr>
            </w:pPr>
            <w:r>
              <w:rPr>
                <w:rFonts w:ascii="Arial" w:cs="Arial" w:eastAsia="Arial" w:hAnsi="Arial"/>
                <w:sz w:val="13"/>
                <w:szCs w:val="13"/>
                <w:color w:val="auto"/>
              </w:rPr>
              <w:t>337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330</w:t>
            </w:r>
          </w:p>
        </w:tc>
      </w:tr>
      <w:tr>
        <w:trPr>
          <w:trHeight w:val="324"/>
        </w:trPr>
        <w:tc>
          <w:tcPr>
            <w:tcW w:w="160" w:type="dxa"/>
            <w:vAlign w:val="bottom"/>
          </w:tcPr>
          <w:p>
            <w:pPr>
              <w:spacing w:after="0"/>
              <w:rPr>
                <w:sz w:val="24"/>
                <w:szCs w:val="24"/>
                <w:color w:val="auto"/>
              </w:rPr>
            </w:pPr>
          </w:p>
        </w:tc>
        <w:tc>
          <w:tcPr>
            <w:tcW w:w="900" w:type="dxa"/>
            <w:vAlign w:val="bottom"/>
          </w:tcPr>
          <w:p>
            <w:pPr>
              <w:jc w:val="right"/>
              <w:ind w:right="58"/>
              <w:spacing w:after="0"/>
              <w:rPr>
                <w:sz w:val="20"/>
                <w:szCs w:val="20"/>
                <w:color w:val="auto"/>
              </w:rPr>
            </w:pPr>
            <w:r>
              <w:rPr>
                <w:rFonts w:ascii="Arial" w:cs="Arial" w:eastAsia="Arial" w:hAnsi="Arial"/>
                <w:sz w:val="13"/>
                <w:szCs w:val="13"/>
                <w:color w:val="auto"/>
              </w:rPr>
              <w:t>380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900" w:type="dxa"/>
            <w:vAlign w:val="bottom"/>
          </w:tcPr>
          <w:p>
            <w:pPr>
              <w:jc w:val="right"/>
              <w:ind w:right="18"/>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58"/>
              <w:spacing w:after="0"/>
              <w:rPr>
                <w:sz w:val="20"/>
                <w:szCs w:val="20"/>
                <w:color w:val="auto"/>
              </w:rPr>
            </w:pPr>
            <w:r>
              <w:rPr>
                <w:rFonts w:ascii="Arial" w:cs="Arial" w:eastAsia="Arial" w:hAnsi="Arial"/>
                <w:sz w:val="13"/>
                <w:szCs w:val="13"/>
                <w:color w:val="auto"/>
              </w:rPr>
              <w:t>379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58"/>
              <w:spacing w:after="0"/>
              <w:rPr>
                <w:sz w:val="20"/>
                <w:szCs w:val="20"/>
                <w:color w:val="auto"/>
              </w:rPr>
            </w:pPr>
            <w:r>
              <w:rPr>
                <w:rFonts w:ascii="Arial" w:cs="Arial" w:eastAsia="Arial" w:hAnsi="Arial"/>
                <w:sz w:val="13"/>
                <w:szCs w:val="13"/>
                <w:color w:val="auto"/>
              </w:rPr>
              <w:t>373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373</w:t>
            </w:r>
          </w:p>
        </w:tc>
      </w:tr>
      <w:tr>
        <w:trPr>
          <w:trHeight w:val="280"/>
        </w:trPr>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1,608</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109</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1,717</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1,493</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86</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1,579</w:t>
            </w:r>
          </w:p>
        </w:tc>
      </w:tr>
      <w:tr>
        <w:trPr>
          <w:trHeight w:val="241"/>
        </w:trPr>
        <w:tc>
          <w:tcPr>
            <w:tcW w:w="160" w:type="dxa"/>
            <w:vAlign w:val="bottom"/>
          </w:tcPr>
          <w:p>
            <w:pPr>
              <w:spacing w:after="0"/>
              <w:rPr>
                <w:sz w:val="20"/>
                <w:szCs w:val="20"/>
                <w:color w:val="auto"/>
              </w:rPr>
            </w:pPr>
          </w:p>
        </w:tc>
        <w:tc>
          <w:tcPr>
            <w:tcW w:w="900" w:type="dxa"/>
            <w:vAlign w:val="bottom"/>
          </w:tcPr>
          <w:p>
            <w:pPr>
              <w:jc w:val="right"/>
              <w:ind w:right="58"/>
              <w:spacing w:after="0"/>
              <w:rPr>
                <w:sz w:val="20"/>
                <w:szCs w:val="20"/>
                <w:color w:val="auto"/>
              </w:rPr>
            </w:pPr>
            <w:r>
              <w:rPr>
                <w:rFonts w:ascii="Arial" w:cs="Arial" w:eastAsia="Arial" w:hAnsi="Arial"/>
                <w:sz w:val="13"/>
                <w:szCs w:val="13"/>
                <w:color w:val="auto"/>
              </w:rPr>
              <w:t>8,979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58"/>
              <w:spacing w:after="0"/>
              <w:rPr>
                <w:sz w:val="20"/>
                <w:szCs w:val="20"/>
                <w:color w:val="auto"/>
              </w:rPr>
            </w:pPr>
            <w:r>
              <w:rPr>
                <w:rFonts w:ascii="Arial" w:cs="Arial" w:eastAsia="Arial" w:hAnsi="Arial"/>
                <w:sz w:val="13"/>
                <w:szCs w:val="13"/>
                <w:color w:val="auto"/>
              </w:rPr>
              <w:t>720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0"/>
                <w:szCs w:val="20"/>
                <w:color w:val="auto"/>
              </w:rPr>
            </w:pP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9,699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58"/>
              <w:spacing w:after="0"/>
              <w:rPr>
                <w:sz w:val="20"/>
                <w:szCs w:val="20"/>
                <w:color w:val="auto"/>
              </w:rPr>
            </w:pPr>
            <w:r>
              <w:rPr>
                <w:rFonts w:ascii="Arial" w:cs="Arial" w:eastAsia="Arial" w:hAnsi="Arial"/>
                <w:sz w:val="13"/>
                <w:szCs w:val="13"/>
                <w:color w:val="auto"/>
              </w:rPr>
              <w:t>3,990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8"/>
              <w:spacing w:after="0"/>
              <w:rPr>
                <w:sz w:val="20"/>
                <w:szCs w:val="20"/>
                <w:color w:val="auto"/>
              </w:rPr>
            </w:pPr>
            <w:r>
              <w:rPr>
                <w:rFonts w:ascii="Arial" w:cs="Arial" w:eastAsia="Arial" w:hAnsi="Arial"/>
                <w:sz w:val="13"/>
                <w:szCs w:val="13"/>
                <w:color w:val="auto"/>
              </w:rPr>
              <w:t>670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0"/>
                <w:szCs w:val="20"/>
                <w:color w:val="auto"/>
              </w:rPr>
            </w:pP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4,660</w:t>
            </w:r>
          </w:p>
        </w:tc>
      </w:tr>
      <w:tr>
        <w:trPr>
          <w:trHeight w:val="280"/>
        </w:trPr>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2,062</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144</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2,206</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1,151</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120</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1,271</w:t>
            </w:r>
          </w:p>
        </w:tc>
      </w:tr>
      <w:tr>
        <w:trPr>
          <w:trHeight w:val="241"/>
        </w:trPr>
        <w:tc>
          <w:tcPr>
            <w:tcW w:w="160" w:type="dxa"/>
            <w:vAlign w:val="bottom"/>
          </w:tcPr>
          <w:p>
            <w:pPr>
              <w:spacing w:after="0"/>
              <w:rPr>
                <w:sz w:val="20"/>
                <w:szCs w:val="20"/>
                <w:color w:val="auto"/>
              </w:rPr>
            </w:pPr>
          </w:p>
        </w:tc>
        <w:tc>
          <w:tcPr>
            <w:tcW w:w="900" w:type="dxa"/>
            <w:vAlign w:val="bottom"/>
          </w:tcPr>
          <w:p>
            <w:pPr>
              <w:jc w:val="right"/>
              <w:ind w:right="58"/>
              <w:spacing w:after="0"/>
              <w:rPr>
                <w:sz w:val="20"/>
                <w:szCs w:val="20"/>
                <w:color w:val="auto"/>
              </w:rPr>
            </w:pPr>
            <w:r>
              <w:rPr>
                <w:rFonts w:ascii="Arial" w:cs="Arial" w:eastAsia="Arial" w:hAnsi="Arial"/>
                <w:sz w:val="13"/>
                <w:szCs w:val="13"/>
                <w:color w:val="auto"/>
              </w:rPr>
              <w:t>6,917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58"/>
              <w:spacing w:after="0"/>
              <w:rPr>
                <w:sz w:val="20"/>
                <w:szCs w:val="20"/>
                <w:color w:val="auto"/>
              </w:rPr>
            </w:pPr>
            <w:r>
              <w:rPr>
                <w:rFonts w:ascii="Arial" w:cs="Arial" w:eastAsia="Arial" w:hAnsi="Arial"/>
                <w:sz w:val="13"/>
                <w:szCs w:val="13"/>
                <w:color w:val="auto"/>
              </w:rPr>
              <w:t>576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0"/>
                <w:szCs w:val="20"/>
                <w:color w:val="auto"/>
              </w:rPr>
            </w:pP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7,493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58"/>
              <w:spacing w:after="0"/>
              <w:rPr>
                <w:sz w:val="20"/>
                <w:szCs w:val="20"/>
                <w:color w:val="auto"/>
              </w:rPr>
            </w:pPr>
            <w:r>
              <w:rPr>
                <w:rFonts w:ascii="Arial" w:cs="Arial" w:eastAsia="Arial" w:hAnsi="Arial"/>
                <w:sz w:val="13"/>
                <w:szCs w:val="13"/>
                <w:color w:val="auto"/>
              </w:rPr>
              <w:t>2,839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8"/>
              <w:spacing w:after="0"/>
              <w:rPr>
                <w:sz w:val="20"/>
                <w:szCs w:val="20"/>
                <w:color w:val="auto"/>
              </w:rPr>
            </w:pPr>
            <w:r>
              <w:rPr>
                <w:rFonts w:ascii="Arial" w:cs="Arial" w:eastAsia="Arial" w:hAnsi="Arial"/>
                <w:sz w:val="13"/>
                <w:szCs w:val="13"/>
                <w:color w:val="auto"/>
              </w:rPr>
              <w:t>550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0"/>
                <w:szCs w:val="20"/>
                <w:color w:val="auto"/>
              </w:rPr>
            </w:pP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3,389</w:t>
            </w:r>
          </w:p>
        </w:tc>
      </w:tr>
      <w:tr>
        <w:trPr>
          <w:trHeight w:val="334"/>
        </w:trPr>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99</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99</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32</w:t>
            </w:r>
          </w:p>
        </w:tc>
      </w:tr>
      <w:tr>
        <w:trPr>
          <w:trHeight w:val="291"/>
        </w:trPr>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58"/>
              <w:spacing w:after="0"/>
              <w:rPr>
                <w:sz w:val="20"/>
                <w:szCs w:val="20"/>
                <w:color w:val="auto"/>
              </w:rPr>
            </w:pPr>
            <w:r>
              <w:rPr>
                <w:rFonts w:ascii="Arial" w:cs="Arial" w:eastAsia="Arial" w:hAnsi="Arial"/>
                <w:sz w:val="13"/>
                <w:szCs w:val="13"/>
                <w:color w:val="auto"/>
              </w:rPr>
              <w:t>7,016</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58"/>
              <w:spacing w:after="0"/>
              <w:rPr>
                <w:sz w:val="20"/>
                <w:szCs w:val="20"/>
                <w:color w:val="auto"/>
              </w:rPr>
            </w:pPr>
            <w:r>
              <w:rPr>
                <w:rFonts w:ascii="Arial" w:cs="Arial" w:eastAsia="Arial" w:hAnsi="Arial"/>
                <w:sz w:val="13"/>
                <w:szCs w:val="13"/>
                <w:color w:val="auto"/>
              </w:rPr>
              <w:t>576</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7,592</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8"/>
              <w:spacing w:after="0"/>
              <w:rPr>
                <w:sz w:val="20"/>
                <w:szCs w:val="20"/>
                <w:color w:val="auto"/>
              </w:rPr>
            </w:pPr>
            <w:r>
              <w:rPr>
                <w:rFonts w:ascii="Arial" w:cs="Arial" w:eastAsia="Arial" w:hAnsi="Arial"/>
                <w:sz w:val="13"/>
                <w:szCs w:val="13"/>
                <w:color w:val="auto"/>
              </w:rPr>
              <w:t>2,871</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38"/>
              <w:spacing w:after="0"/>
              <w:rPr>
                <w:sz w:val="20"/>
                <w:szCs w:val="20"/>
                <w:color w:val="auto"/>
              </w:rPr>
            </w:pPr>
            <w:r>
              <w:rPr>
                <w:rFonts w:ascii="Arial" w:cs="Arial" w:eastAsia="Arial" w:hAnsi="Arial"/>
                <w:sz w:val="13"/>
                <w:szCs w:val="13"/>
                <w:color w:val="auto"/>
              </w:rPr>
              <w:t>550</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3,421</w:t>
            </w:r>
          </w:p>
        </w:tc>
      </w:tr>
      <w:tr>
        <w:trPr>
          <w:trHeight w:val="20"/>
        </w:trPr>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-1594485</wp:posOffset>
            </wp:positionH>
            <wp:positionV relativeFrom="paragraph">
              <wp:posOffset>-6842760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-6499860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-6148070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-5770880</wp:posOffset>
            </wp:positionV>
            <wp:extent cx="7246620" cy="2057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-5393690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-5050790</wp:posOffset>
            </wp:positionV>
            <wp:extent cx="7246620" cy="2057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-4672965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-4330065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-3952875</wp:posOffset>
            </wp:positionV>
            <wp:extent cx="7246620" cy="205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-3112135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-2769235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-2417445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-2040255</wp:posOffset>
            </wp:positionV>
            <wp:extent cx="7246620" cy="2057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-1663065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-1320165</wp:posOffset>
            </wp:positionV>
            <wp:extent cx="7246620" cy="2057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-942975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-599440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-222250</wp:posOffset>
            </wp:positionV>
            <wp:extent cx="7246620" cy="2057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40" w:space="240"/>
            <w:col w:w="8900"/>
          </w:cols>
          <w:pgMar w:left="280" w:top="57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380"/>
          </w:cols>
          <w:pgMar w:left="280" w:top="576" w:right="239" w:bottom="1440" w:gutter="0" w:footer="0" w:header="0"/>
          <w:type w:val="continuous"/>
        </w:sectPr>
      </w:pPr>
    </w:p>
    <w:bookmarkStart w:id="16" w:name="page17"/>
    <w:bookmarkEnd w:id="16"/>
    <w:p>
      <w:pPr>
        <w:ind w:left="462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ind w:left="4260"/>
        <w:spacing w:after="0"/>
        <w:rPr>
          <w:sz w:val="20"/>
          <w:szCs w:val="20"/>
          <w:color w:val="auto"/>
        </w:rPr>
      </w:pPr>
      <w:r>
        <w:rPr>
          <w:rFonts w:ascii="Arial" w:cs="Arial" w:eastAsia="Arial" w:hAnsi="Arial"/>
          <w:sz w:val="16"/>
          <w:szCs w:val="16"/>
          <w:b w:val="1"/>
          <w:bCs w:val="1"/>
          <w:color w:val="auto"/>
        </w:rPr>
        <w:t>Basic and Diluted Earnings per Share</w:t>
      </w:r>
    </w:p>
    <w:p>
      <w:pPr>
        <w:spacing w:after="0" w:line="5" w:lineRule="exact"/>
        <w:rPr>
          <w:sz w:val="20"/>
          <w:szCs w:val="20"/>
          <w:color w:val="auto"/>
        </w:rPr>
      </w:pPr>
    </w:p>
    <w:p>
      <w:pPr>
        <w:ind w:left="5300"/>
        <w:spacing w:after="0"/>
        <w:rPr>
          <w:sz w:val="20"/>
          <w:szCs w:val="20"/>
          <w:color w:val="auto"/>
        </w:rPr>
      </w:pPr>
      <w:r>
        <w:rPr>
          <w:rFonts w:ascii="Arial" w:cs="Arial" w:eastAsia="Arial" w:hAnsi="Arial"/>
          <w:sz w:val="16"/>
          <w:szCs w:val="16"/>
          <w:i w:val="1"/>
          <w:iCs w:val="1"/>
          <w:color w:val="auto"/>
        </w:rPr>
        <w:t>(Unaudited)</w:t>
      </w:r>
    </w:p>
    <w:p>
      <w:pPr>
        <w:spacing w:after="0" w:line="19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summarizes basic and diluted earnings per share (in millions, except per share amounts):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ind w:left="280"/>
              <w:spacing w:after="0"/>
              <w:rPr>
                <w:sz w:val="20"/>
                <w:szCs w:val="20"/>
                <w:color w:val="auto"/>
              </w:rPr>
            </w:pPr>
            <w:r>
              <w:rPr>
                <w:rFonts w:ascii="Arial" w:cs="Arial" w:eastAsia="Arial" w:hAnsi="Arial"/>
                <w:sz w:val="13"/>
                <w:szCs w:val="13"/>
                <w:b w:val="1"/>
                <w:bCs w:val="1"/>
                <w:color w:val="auto"/>
              </w:rPr>
              <w:t>Three Months Ended</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ind w:left="320"/>
              <w:spacing w:after="0"/>
              <w:rPr>
                <w:sz w:val="20"/>
                <w:szCs w:val="20"/>
                <w:color w:val="auto"/>
              </w:rPr>
            </w:pPr>
            <w:r>
              <w:rPr>
                <w:rFonts w:ascii="Arial" w:cs="Arial" w:eastAsia="Arial" w:hAnsi="Arial"/>
                <w:sz w:val="13"/>
                <w:szCs w:val="13"/>
                <w:b w:val="1"/>
                <w:bCs w:val="1"/>
                <w:color w:val="auto"/>
              </w:rPr>
              <w:t>Nine Months Ended</w:t>
            </w:r>
          </w:p>
        </w:tc>
        <w:tc>
          <w:tcPr>
            <w:tcW w:w="620" w:type="dxa"/>
            <w:vAlign w:val="bottom"/>
            <w:tcBorders>
              <w:bottom w:val="single" w:sz="8" w:color="auto"/>
            </w:tcBorders>
          </w:tcPr>
          <w:p>
            <w:pPr>
              <w:spacing w:after="0"/>
              <w:rPr>
                <w:sz w:val="15"/>
                <w:szCs w:val="15"/>
                <w:color w:val="auto"/>
              </w:rPr>
            </w:pPr>
          </w:p>
        </w:tc>
      </w:tr>
      <w:tr>
        <w:trPr>
          <w:trHeight w:val="264"/>
        </w:trPr>
        <w:tc>
          <w:tcPr>
            <w:tcW w:w="49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380" w:type="dxa"/>
            <w:vAlign w:val="bottom"/>
            <w:gridSpan w:val="3"/>
          </w:tcPr>
          <w:p>
            <w:pPr>
              <w:ind w:left="40"/>
              <w:spacing w:after="0"/>
              <w:rPr>
                <w:sz w:val="20"/>
                <w:szCs w:val="20"/>
                <w:color w:val="auto"/>
              </w:rPr>
            </w:pPr>
            <w:r>
              <w:rPr>
                <w:rFonts w:ascii="Arial" w:cs="Arial" w:eastAsia="Arial" w:hAnsi="Arial"/>
                <w:sz w:val="13"/>
                <w:szCs w:val="13"/>
                <w:b w:val="1"/>
                <w:bCs w:val="1"/>
                <w:color w:val="auto"/>
              </w:rPr>
              <w:t>September 30, 2016</w:t>
            </w:r>
          </w:p>
        </w:tc>
        <w:tc>
          <w:tcPr>
            <w:tcW w:w="1360" w:type="dxa"/>
            <w:vAlign w:val="bottom"/>
            <w:gridSpan w:val="3"/>
          </w:tcPr>
          <w:p>
            <w:pPr>
              <w:ind w:left="40"/>
              <w:spacing w:after="0"/>
              <w:rPr>
                <w:sz w:val="20"/>
                <w:szCs w:val="20"/>
                <w:color w:val="auto"/>
              </w:rPr>
            </w:pPr>
            <w:r>
              <w:rPr>
                <w:rFonts w:ascii="Arial" w:cs="Arial" w:eastAsia="Arial" w:hAnsi="Arial"/>
                <w:sz w:val="13"/>
                <w:szCs w:val="13"/>
                <w:b w:val="1"/>
                <w:bCs w:val="1"/>
                <w:color w:val="auto"/>
              </w:rPr>
              <w:t>September 30, 2015</w:t>
            </w:r>
          </w:p>
        </w:tc>
        <w:tc>
          <w:tcPr>
            <w:tcW w:w="1360" w:type="dxa"/>
            <w:vAlign w:val="bottom"/>
            <w:gridSpan w:val="3"/>
          </w:tcPr>
          <w:p>
            <w:pPr>
              <w:ind w:left="40"/>
              <w:spacing w:after="0"/>
              <w:rPr>
                <w:sz w:val="20"/>
                <w:szCs w:val="20"/>
                <w:color w:val="auto"/>
              </w:rPr>
            </w:pPr>
            <w:r>
              <w:rPr>
                <w:rFonts w:ascii="Arial" w:cs="Arial" w:eastAsia="Arial" w:hAnsi="Arial"/>
                <w:sz w:val="13"/>
                <w:szCs w:val="13"/>
                <w:b w:val="1"/>
                <w:bCs w:val="1"/>
                <w:color w:val="auto"/>
              </w:rPr>
              <w:t>September 30, 2016</w:t>
            </w:r>
          </w:p>
        </w:tc>
        <w:tc>
          <w:tcPr>
            <w:tcW w:w="1260" w:type="dxa"/>
            <w:vAlign w:val="bottom"/>
            <w:gridSpan w:val="2"/>
          </w:tcPr>
          <w:p>
            <w:pPr>
              <w:ind w:left="40"/>
              <w:spacing w:after="0"/>
              <w:rPr>
                <w:sz w:val="20"/>
                <w:szCs w:val="20"/>
                <w:color w:val="auto"/>
              </w:rPr>
            </w:pPr>
            <w:r>
              <w:rPr>
                <w:rFonts w:ascii="Arial" w:cs="Arial" w:eastAsia="Arial" w:hAnsi="Arial"/>
                <w:sz w:val="13"/>
                <w:szCs w:val="13"/>
                <w:b w:val="1"/>
                <w:bCs w:val="1"/>
                <w:color w:val="auto"/>
                <w:w w:val="98"/>
              </w:rPr>
              <w:t>September 30, 2015</w:t>
            </w:r>
          </w:p>
        </w:tc>
      </w:tr>
      <w:tr>
        <w:trPr>
          <w:trHeight w:val="260"/>
        </w:trPr>
        <w:tc>
          <w:tcPr>
            <w:tcW w:w="4900" w:type="dxa"/>
            <w:vAlign w:val="bottom"/>
          </w:tcPr>
          <w:p>
            <w:pPr>
              <w:ind w:left="40"/>
              <w:spacing w:after="0"/>
              <w:rPr>
                <w:sz w:val="20"/>
                <w:szCs w:val="20"/>
                <w:color w:val="auto"/>
              </w:rPr>
            </w:pPr>
            <w:r>
              <w:rPr>
                <w:rFonts w:ascii="Arial" w:cs="Arial" w:eastAsia="Arial" w:hAnsi="Arial"/>
                <w:sz w:val="16"/>
                <w:szCs w:val="16"/>
                <w:b w:val="1"/>
                <w:bCs w:val="1"/>
                <w:color w:val="auto"/>
              </w:rPr>
              <w:t>Basic earnings per share</w:t>
            </w:r>
          </w:p>
        </w:tc>
        <w:tc>
          <w:tcPr>
            <w:tcW w:w="116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r>
      <w:tr>
        <w:trPr>
          <w:trHeight w:val="280"/>
        </w:trPr>
        <w:tc>
          <w:tcPr>
            <w:tcW w:w="4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attributable to common stockholders</w:t>
            </w:r>
          </w:p>
        </w:tc>
        <w:tc>
          <w:tcPr>
            <w:tcW w:w="1580" w:type="dxa"/>
            <w:vAlign w:val="bottom"/>
            <w:gridSpan w:val="2"/>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2,773</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1,359</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7,592</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3,421</w:t>
            </w:r>
          </w:p>
        </w:tc>
      </w:tr>
      <w:tr>
        <w:trPr>
          <w:trHeight w:val="260"/>
        </w:trPr>
        <w:tc>
          <w:tcPr>
            <w:tcW w:w="4900" w:type="dxa"/>
            <w:vAlign w:val="bottom"/>
          </w:tcPr>
          <w:p>
            <w:pPr>
              <w:ind w:left="40"/>
              <w:spacing w:after="0"/>
              <w:rPr>
                <w:sz w:val="20"/>
                <w:szCs w:val="20"/>
                <w:color w:val="auto"/>
              </w:rPr>
            </w:pPr>
            <w:r>
              <w:rPr>
                <w:rFonts w:ascii="Arial" w:cs="Arial" w:eastAsia="Arial" w:hAnsi="Arial"/>
                <w:sz w:val="16"/>
                <w:szCs w:val="16"/>
                <w:color w:val="auto"/>
              </w:rPr>
              <w:t>Weighted-average common shares outstanding</w:t>
            </w:r>
          </w:p>
        </w:tc>
        <w:tc>
          <w:tcPr>
            <w:tcW w:w="1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1,550</w:t>
            </w: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1,577</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1,548</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1,597</w:t>
            </w:r>
          </w:p>
        </w:tc>
      </w:tr>
      <w:tr>
        <w:trPr>
          <w:trHeight w:val="280"/>
        </w:trPr>
        <w:tc>
          <w:tcPr>
            <w:tcW w:w="4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Basic earnings per common share</w:t>
            </w:r>
          </w:p>
        </w:tc>
        <w:tc>
          <w:tcPr>
            <w:tcW w:w="1580" w:type="dxa"/>
            <w:vAlign w:val="bottom"/>
            <w:gridSpan w:val="2"/>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1.79</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0.86</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4.90</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2.14</w:t>
            </w:r>
          </w:p>
        </w:tc>
      </w:tr>
      <w:tr>
        <w:trPr>
          <w:trHeight w:val="260"/>
        </w:trPr>
        <w:tc>
          <w:tcPr>
            <w:tcW w:w="4900" w:type="dxa"/>
            <w:vAlign w:val="bottom"/>
          </w:tcPr>
          <w:p>
            <w:pPr>
              <w:ind w:left="40"/>
              <w:spacing w:after="0"/>
              <w:rPr>
                <w:sz w:val="20"/>
                <w:szCs w:val="20"/>
                <w:color w:val="auto"/>
              </w:rPr>
            </w:pPr>
            <w:r>
              <w:rPr>
                <w:rFonts w:ascii="Arial" w:cs="Arial" w:eastAsia="Arial" w:hAnsi="Arial"/>
                <w:sz w:val="16"/>
                <w:szCs w:val="16"/>
                <w:b w:val="1"/>
                <w:bCs w:val="1"/>
                <w:color w:val="auto"/>
              </w:rPr>
              <w:t>Diluted earnings per share</w:t>
            </w:r>
          </w:p>
        </w:tc>
        <w:tc>
          <w:tcPr>
            <w:tcW w:w="1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80"/>
        </w:trPr>
        <w:tc>
          <w:tcPr>
            <w:tcW w:w="4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attributable to common stockholders – diluted</w:t>
            </w:r>
          </w:p>
        </w:tc>
        <w:tc>
          <w:tcPr>
            <w:tcW w:w="1580" w:type="dxa"/>
            <w:vAlign w:val="bottom"/>
            <w:gridSpan w:val="2"/>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2,773</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1,357</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7,591</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3,418</w:t>
            </w:r>
          </w:p>
        </w:tc>
      </w:tr>
      <w:tr>
        <w:trPr>
          <w:trHeight w:val="260"/>
        </w:trPr>
        <w:tc>
          <w:tcPr>
            <w:tcW w:w="4900" w:type="dxa"/>
            <w:vAlign w:val="bottom"/>
          </w:tcPr>
          <w:p>
            <w:pPr>
              <w:ind w:left="40"/>
              <w:spacing w:after="0"/>
              <w:rPr>
                <w:sz w:val="20"/>
                <w:szCs w:val="20"/>
                <w:color w:val="auto"/>
              </w:rPr>
            </w:pPr>
            <w:r>
              <w:rPr>
                <w:rFonts w:ascii="Arial" w:cs="Arial" w:eastAsia="Arial" w:hAnsi="Arial"/>
                <w:sz w:val="16"/>
                <w:szCs w:val="16"/>
                <w:color w:val="auto"/>
              </w:rPr>
              <w:t>Weighted-average common shares outstanding – diluted</w:t>
            </w:r>
          </w:p>
        </w:tc>
        <w:tc>
          <w:tcPr>
            <w:tcW w:w="1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1,574</w:t>
            </w: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1,618</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1,578</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1,655</w:t>
            </w:r>
          </w:p>
        </w:tc>
      </w:tr>
      <w:tr>
        <w:trPr>
          <w:trHeight w:val="280"/>
        </w:trPr>
        <w:tc>
          <w:tcPr>
            <w:tcW w:w="4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Diluted earnings per common share</w:t>
            </w:r>
          </w:p>
        </w:tc>
        <w:tc>
          <w:tcPr>
            <w:tcW w:w="1580" w:type="dxa"/>
            <w:vAlign w:val="bottom"/>
            <w:gridSpan w:val="2"/>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1.76</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0.84</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4.81</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2.07</w:t>
            </w:r>
          </w:p>
        </w:tc>
      </w:tr>
      <w:tr>
        <w:trPr>
          <w:trHeight w:val="656"/>
        </w:trPr>
        <w:tc>
          <w:tcPr>
            <w:tcW w:w="4900" w:type="dxa"/>
            <w:vAlign w:val="bottom"/>
          </w:tcPr>
          <w:p>
            <w:pPr>
              <w:spacing w:after="0"/>
              <w:rPr>
                <w:sz w:val="24"/>
                <w:szCs w:val="24"/>
                <w:color w:val="auto"/>
              </w:rPr>
            </w:pPr>
          </w:p>
        </w:tc>
        <w:tc>
          <w:tcPr>
            <w:tcW w:w="1160" w:type="dxa"/>
            <w:vAlign w:val="bottom"/>
          </w:tcPr>
          <w:p>
            <w:pPr>
              <w:jc w:val="right"/>
              <w:ind w:right="179"/>
              <w:spacing w:after="0"/>
              <w:rPr>
                <w:sz w:val="20"/>
                <w:szCs w:val="20"/>
                <w:color w:val="auto"/>
              </w:rPr>
            </w:pPr>
            <w:r>
              <w:rPr>
                <w:rFonts w:ascii="Arial" w:cs="Arial" w:eastAsia="Arial" w:hAnsi="Arial"/>
                <w:sz w:val="16"/>
                <w:szCs w:val="16"/>
                <w:color w:val="auto"/>
              </w:rPr>
              <w:t>10</w:t>
            </w: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ectPr>
          <w:pgSz w:w="11900" w:h="16838" w:orient="portrait"/>
          <w:cols w:equalWidth="0" w:num="1">
            <w:col w:w="11420"/>
          </w:cols>
          <w:pgMar w:left="240" w:top="581" w:right="239" w:bottom="1440" w:gutter="0" w:footer="0" w:header="0"/>
        </w:sectPr>
      </w:pPr>
    </w:p>
    <w:bookmarkStart w:id="17" w:name="page18"/>
    <w:bookmarkEnd w:id="17"/>
    <w:p>
      <w:pPr>
        <w:ind w:left="462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ind w:left="4660"/>
        <w:spacing w:after="0"/>
        <w:rPr>
          <w:sz w:val="20"/>
          <w:szCs w:val="20"/>
          <w:color w:val="auto"/>
        </w:rPr>
      </w:pPr>
      <w:r>
        <w:rPr>
          <w:rFonts w:ascii="Arial" w:cs="Arial" w:eastAsia="Arial" w:hAnsi="Arial"/>
          <w:sz w:val="16"/>
          <w:szCs w:val="16"/>
          <w:b w:val="1"/>
          <w:bCs w:val="1"/>
          <w:color w:val="auto"/>
        </w:rPr>
        <w:t>Condensed Consolidating Balance Sheets</w:t>
      </w:r>
    </w:p>
    <w:p>
      <w:pPr>
        <w:spacing w:after="0" w:line="5" w:lineRule="exact"/>
        <w:rPr>
          <w:sz w:val="20"/>
          <w:szCs w:val="20"/>
          <w:color w:val="auto"/>
        </w:rPr>
      </w:pPr>
    </w:p>
    <w:p>
      <w:pPr>
        <w:ind w:left="4440"/>
        <w:spacing w:after="0"/>
        <w:rPr>
          <w:sz w:val="20"/>
          <w:szCs w:val="20"/>
          <w:color w:val="auto"/>
        </w:rPr>
      </w:pPr>
      <w:r>
        <w:rPr>
          <w:rFonts w:ascii="Arial" w:cs="Arial" w:eastAsia="Arial" w:hAnsi="Arial"/>
          <w:sz w:val="16"/>
          <w:szCs w:val="16"/>
          <w:i w:val="1"/>
          <w:iCs w:val="1"/>
          <w:color w:val="auto"/>
        </w:rPr>
        <w:t>(In millions, except per share amounts) (Unaudited)</w:t>
      </w:r>
    </w:p>
    <w:p>
      <w:pPr>
        <w:sectPr>
          <w:pgSz w:w="11900" w:h="16838" w:orient="portrait"/>
          <w:cols w:equalWidth="0" w:num="1">
            <w:col w:w="11420"/>
          </w:cols>
          <w:pgMar w:left="240" w:top="581" w:right="239"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left="720"/>
        <w:spacing w:after="0"/>
        <w:rPr>
          <w:sz w:val="20"/>
          <w:szCs w:val="20"/>
          <w:color w:val="auto"/>
        </w:rPr>
      </w:pPr>
      <w:r>
        <w:rPr>
          <w:rFonts w:ascii="Arial" w:cs="Arial" w:eastAsia="Arial" w:hAnsi="Arial"/>
          <w:sz w:val="11"/>
          <w:szCs w:val="11"/>
          <w:b w:val="1"/>
          <w:bCs w:val="1"/>
          <w:color w:val="auto"/>
        </w:rPr>
        <w:t>ASSETS</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auto"/>
        </w:rPr>
        <w:t>Current Assets</w:t>
      </w:r>
    </w:p>
    <w:p>
      <w:pPr>
        <w:spacing w:after="0" w:line="156" w:lineRule="exact"/>
        <w:rPr>
          <w:sz w:val="20"/>
          <w:szCs w:val="20"/>
          <w:color w:val="auto"/>
        </w:rPr>
      </w:pPr>
    </w:p>
    <w:p>
      <w:pPr>
        <w:ind w:left="180"/>
        <w:spacing w:after="0"/>
        <w:rPr>
          <w:sz w:val="20"/>
          <w:szCs w:val="20"/>
          <w:color w:val="auto"/>
        </w:rPr>
      </w:pPr>
      <w:r>
        <w:rPr>
          <w:rFonts w:ascii="Arial" w:cs="Arial" w:eastAsia="Arial" w:hAnsi="Arial"/>
          <w:sz w:val="11"/>
          <w:szCs w:val="11"/>
          <w:color w:val="auto"/>
        </w:rPr>
        <w:t>Cash and cash equivalents</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1"/>
          <w:szCs w:val="11"/>
          <w:color w:val="auto"/>
        </w:rPr>
        <w:t>Marketable securities</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1"/>
          <w:szCs w:val="11"/>
          <w:color w:val="auto"/>
        </w:rPr>
        <w:t>Restricted cash</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1"/>
          <w:szCs w:val="11"/>
          <w:color w:val="auto"/>
        </w:rPr>
        <w:t>Accounts and notes receivable, net(a)(c)</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1"/>
          <w:szCs w:val="11"/>
          <w:color w:val="auto"/>
        </w:rPr>
        <w:t>GM Financial receivables, net(b)</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1"/>
          <w:szCs w:val="11"/>
          <w:color w:val="auto"/>
        </w:rPr>
        <w:t>Inventories</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1"/>
          <w:szCs w:val="11"/>
          <w:color w:val="auto"/>
        </w:rPr>
        <w:t>Equipment on operating leases, net</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1"/>
          <w:szCs w:val="11"/>
          <w:color w:val="auto"/>
        </w:rPr>
        <w:t>Other current assets</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1"/>
          <w:szCs w:val="11"/>
          <w:color w:val="auto"/>
        </w:rPr>
        <w:t>Total current assets</w:t>
      </w:r>
    </w:p>
    <w:p>
      <w:pPr>
        <w:spacing w:after="0" w:line="132" w:lineRule="exact"/>
        <w:rPr>
          <w:sz w:val="20"/>
          <w:szCs w:val="20"/>
          <w:color w:val="auto"/>
        </w:rPr>
      </w:pPr>
    </w:p>
    <w:p>
      <w:pPr>
        <w:jc w:val="center"/>
        <w:ind w:right="1640"/>
        <w:spacing w:after="0"/>
        <w:rPr>
          <w:sz w:val="20"/>
          <w:szCs w:val="20"/>
          <w:color w:val="auto"/>
        </w:rPr>
      </w:pPr>
      <w:r>
        <w:rPr>
          <w:rFonts w:ascii="Arial" w:cs="Arial" w:eastAsia="Arial" w:hAnsi="Arial"/>
          <w:sz w:val="10"/>
          <w:szCs w:val="10"/>
          <w:b w:val="1"/>
          <w:bCs w:val="1"/>
          <w:color w:val="auto"/>
        </w:rPr>
        <w:t>Non-current Assets</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1"/>
          <w:szCs w:val="11"/>
          <w:color w:val="auto"/>
        </w:rPr>
        <w:t>Restricted cash</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1"/>
          <w:szCs w:val="11"/>
          <w:color w:val="auto"/>
        </w:rPr>
        <w:t>GM Financial receivables, net</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1"/>
          <w:szCs w:val="11"/>
          <w:color w:val="auto"/>
        </w:rPr>
        <w:t>Equity in net assets of nonconsolidated affiliates</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1"/>
          <w:szCs w:val="11"/>
          <w:color w:val="auto"/>
        </w:rPr>
        <w:t>Property, net</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1"/>
          <w:szCs w:val="11"/>
          <w:color w:val="auto"/>
        </w:rPr>
        <w:t>Goodwill and intangible assets, net</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1"/>
          <w:szCs w:val="11"/>
          <w:color w:val="auto"/>
        </w:rPr>
        <w:t>GM Financial equipment on operating leases, net</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1"/>
          <w:szCs w:val="11"/>
          <w:color w:val="auto"/>
        </w:rPr>
        <w:t>Deferred income taxes(c)</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1"/>
          <w:szCs w:val="11"/>
          <w:color w:val="auto"/>
        </w:rPr>
        <w:t>Other assets</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1"/>
          <w:szCs w:val="11"/>
          <w:color w:val="auto"/>
        </w:rPr>
        <w:t>Total non-current assets</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auto"/>
        </w:rPr>
        <w:t>Total Assets</w:t>
      </w:r>
    </w:p>
    <w:p>
      <w:pPr>
        <w:spacing w:after="0" w:line="144" w:lineRule="exact"/>
        <w:rPr>
          <w:sz w:val="20"/>
          <w:szCs w:val="20"/>
          <w:color w:val="auto"/>
        </w:rPr>
      </w:pPr>
    </w:p>
    <w:p>
      <w:pPr>
        <w:jc w:val="center"/>
        <w:ind w:left="720"/>
        <w:spacing w:after="0"/>
        <w:rPr>
          <w:sz w:val="20"/>
          <w:szCs w:val="20"/>
          <w:color w:val="auto"/>
        </w:rPr>
      </w:pPr>
      <w:r>
        <w:rPr>
          <w:rFonts w:ascii="Arial" w:cs="Arial" w:eastAsia="Arial" w:hAnsi="Arial"/>
          <w:sz w:val="11"/>
          <w:szCs w:val="11"/>
          <w:b w:val="1"/>
          <w:bCs w:val="1"/>
          <w:color w:val="auto"/>
        </w:rPr>
        <w:t>LIABILITIES AND EQUITY</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auto"/>
        </w:rPr>
        <w:t>Current Liabilities</w:t>
      </w:r>
    </w:p>
    <w:p>
      <w:pPr>
        <w:spacing w:after="0" w:line="156" w:lineRule="exact"/>
        <w:rPr>
          <w:sz w:val="20"/>
          <w:szCs w:val="20"/>
          <w:color w:val="auto"/>
        </w:rPr>
      </w:pPr>
    </w:p>
    <w:p>
      <w:pPr>
        <w:ind w:left="180"/>
        <w:spacing w:after="0"/>
        <w:rPr>
          <w:sz w:val="20"/>
          <w:szCs w:val="20"/>
          <w:color w:val="auto"/>
        </w:rPr>
      </w:pPr>
      <w:r>
        <w:rPr>
          <w:rFonts w:ascii="Arial" w:cs="Arial" w:eastAsia="Arial" w:hAnsi="Arial"/>
          <w:sz w:val="11"/>
          <w:szCs w:val="11"/>
          <w:color w:val="auto"/>
        </w:rPr>
        <w:t>Accounts payable (principally trade)(a)</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0"/>
          <w:szCs w:val="10"/>
          <w:color w:val="auto"/>
        </w:rPr>
        <w:t>Short-term debt and current portion of long-term debt</w:t>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5"/>
        </w:trPr>
        <w:tc>
          <w:tcPr>
            <w:tcW w:w="1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gridSpan w:val="5"/>
          </w:tcPr>
          <w:p>
            <w:pPr>
              <w:ind w:left="460"/>
              <w:spacing w:after="0"/>
              <w:rPr>
                <w:sz w:val="20"/>
                <w:szCs w:val="20"/>
                <w:color w:val="auto"/>
              </w:rPr>
            </w:pPr>
            <w:r>
              <w:rPr>
                <w:rFonts w:ascii="Arial" w:cs="Arial" w:eastAsia="Arial" w:hAnsi="Arial"/>
                <w:sz w:val="9"/>
                <w:szCs w:val="9"/>
                <w:b w:val="1"/>
                <w:bCs w:val="1"/>
                <w:color w:val="auto"/>
              </w:rPr>
              <w:t>September 30, 2016</w:t>
            </w:r>
          </w:p>
        </w:tc>
        <w:tc>
          <w:tcPr>
            <w:tcW w:w="1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gridSpan w:val="5"/>
          </w:tcPr>
          <w:p>
            <w:pPr>
              <w:ind w:left="480"/>
              <w:spacing w:after="0"/>
              <w:rPr>
                <w:sz w:val="20"/>
                <w:szCs w:val="20"/>
                <w:color w:val="auto"/>
              </w:rPr>
            </w:pPr>
            <w:r>
              <w:rPr>
                <w:rFonts w:ascii="Arial" w:cs="Arial" w:eastAsia="Arial" w:hAnsi="Arial"/>
                <w:sz w:val="9"/>
                <w:szCs w:val="9"/>
                <w:b w:val="1"/>
                <w:bCs w:val="1"/>
                <w:color w:val="auto"/>
              </w:rPr>
              <w:t>December 31, 2015</w:t>
            </w:r>
          </w:p>
        </w:tc>
        <w:tc>
          <w:tcPr>
            <w:tcW w:w="1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r>
      <w:tr>
        <w:trPr>
          <w:trHeight w:val="264"/>
        </w:trPr>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66"/>
              <w:spacing w:after="0"/>
              <w:rPr>
                <w:sz w:val="20"/>
                <w:szCs w:val="20"/>
                <w:color w:val="auto"/>
              </w:rPr>
            </w:pPr>
            <w:r>
              <w:rPr>
                <w:rFonts w:ascii="Arial" w:cs="Arial" w:eastAsia="Arial" w:hAnsi="Arial"/>
                <w:sz w:val="9"/>
                <w:szCs w:val="9"/>
                <w:b w:val="1"/>
                <w:bCs w:val="1"/>
                <w:color w:val="auto"/>
              </w:rPr>
              <w:t>Automotive</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27"/>
              <w:spacing w:after="0"/>
              <w:rPr>
                <w:sz w:val="20"/>
                <w:szCs w:val="20"/>
                <w:color w:val="auto"/>
              </w:rPr>
            </w:pPr>
            <w:r>
              <w:rPr>
                <w:rFonts w:ascii="Arial" w:cs="Arial" w:eastAsia="Arial" w:hAnsi="Arial"/>
                <w:sz w:val="9"/>
                <w:szCs w:val="9"/>
                <w:b w:val="1"/>
                <w:bCs w:val="1"/>
                <w:color w:val="auto"/>
              </w:rPr>
              <w:t>GM Financial</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46"/>
              <w:spacing w:after="0"/>
              <w:rPr>
                <w:sz w:val="20"/>
                <w:szCs w:val="20"/>
                <w:color w:val="auto"/>
              </w:rPr>
            </w:pPr>
            <w:r>
              <w:rPr>
                <w:rFonts w:ascii="Arial" w:cs="Arial" w:eastAsia="Arial" w:hAnsi="Arial"/>
                <w:sz w:val="9"/>
                <w:szCs w:val="9"/>
                <w:b w:val="1"/>
                <w:bCs w:val="1"/>
                <w:color w:val="auto"/>
              </w:rPr>
              <w:t>Eliminations</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46"/>
              <w:spacing w:after="0"/>
              <w:rPr>
                <w:sz w:val="20"/>
                <w:szCs w:val="20"/>
                <w:color w:val="auto"/>
              </w:rPr>
            </w:pPr>
            <w:r>
              <w:rPr>
                <w:rFonts w:ascii="Arial" w:cs="Arial" w:eastAsia="Arial" w:hAnsi="Arial"/>
                <w:sz w:val="9"/>
                <w:szCs w:val="9"/>
                <w:b w:val="1"/>
                <w:bCs w:val="1"/>
                <w:color w:val="auto"/>
              </w:rPr>
              <w:t>Consolidated</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86"/>
              <w:spacing w:after="0"/>
              <w:rPr>
                <w:sz w:val="20"/>
                <w:szCs w:val="20"/>
                <w:color w:val="auto"/>
              </w:rPr>
            </w:pPr>
            <w:r>
              <w:rPr>
                <w:rFonts w:ascii="Arial" w:cs="Arial" w:eastAsia="Arial" w:hAnsi="Arial"/>
                <w:sz w:val="9"/>
                <w:szCs w:val="9"/>
                <w:b w:val="1"/>
                <w:bCs w:val="1"/>
                <w:color w:val="auto"/>
              </w:rPr>
              <w:t>Automotive</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07"/>
              <w:spacing w:after="0"/>
              <w:rPr>
                <w:sz w:val="20"/>
                <w:szCs w:val="20"/>
                <w:color w:val="auto"/>
              </w:rPr>
            </w:pPr>
            <w:r>
              <w:rPr>
                <w:rFonts w:ascii="Arial" w:cs="Arial" w:eastAsia="Arial" w:hAnsi="Arial"/>
                <w:sz w:val="9"/>
                <w:szCs w:val="9"/>
                <w:b w:val="1"/>
                <w:bCs w:val="1"/>
                <w:color w:val="auto"/>
              </w:rPr>
              <w:t>GM Financial</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26"/>
              <w:spacing w:after="0"/>
              <w:rPr>
                <w:sz w:val="20"/>
                <w:szCs w:val="20"/>
                <w:color w:val="auto"/>
              </w:rPr>
            </w:pPr>
            <w:r>
              <w:rPr>
                <w:rFonts w:ascii="Arial" w:cs="Arial" w:eastAsia="Arial" w:hAnsi="Arial"/>
                <w:sz w:val="9"/>
                <w:szCs w:val="9"/>
                <w:b w:val="1"/>
                <w:bCs w:val="1"/>
                <w:color w:val="auto"/>
              </w:rPr>
              <w:t>Eliminations</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06"/>
              <w:spacing w:after="0"/>
              <w:rPr>
                <w:sz w:val="20"/>
                <w:szCs w:val="20"/>
                <w:color w:val="auto"/>
              </w:rPr>
            </w:pPr>
            <w:r>
              <w:rPr>
                <w:rFonts w:ascii="Arial" w:cs="Arial" w:eastAsia="Arial" w:hAnsi="Arial"/>
                <w:sz w:val="9"/>
                <w:szCs w:val="9"/>
                <w:b w:val="1"/>
                <w:bCs w:val="1"/>
                <w:color w:val="auto"/>
              </w:rPr>
              <w:t>Consolidated</w:t>
            </w:r>
          </w:p>
        </w:tc>
      </w:tr>
      <w:tr>
        <w:trPr>
          <w:trHeight w:val="788"/>
        </w:trPr>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86"/>
              <w:spacing w:after="0"/>
              <w:rPr>
                <w:sz w:val="20"/>
                <w:szCs w:val="20"/>
                <w:color w:val="auto"/>
              </w:rPr>
            </w:pPr>
            <w:r>
              <w:rPr>
                <w:rFonts w:ascii="Arial" w:cs="Arial" w:eastAsia="Arial" w:hAnsi="Arial"/>
                <w:sz w:val="11"/>
                <w:szCs w:val="11"/>
                <w:color w:val="auto"/>
              </w:rPr>
              <w:t>13,344</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ind w:right="67"/>
              <w:spacing w:after="0"/>
              <w:rPr>
                <w:sz w:val="20"/>
                <w:szCs w:val="20"/>
                <w:color w:val="auto"/>
              </w:rPr>
            </w:pPr>
            <w:r>
              <w:rPr>
                <w:rFonts w:ascii="Arial" w:cs="Arial" w:eastAsia="Arial" w:hAnsi="Arial"/>
                <w:sz w:val="11"/>
                <w:szCs w:val="11"/>
                <w:color w:val="auto"/>
              </w:rPr>
              <w:t>2,588</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ind w:right="86"/>
              <w:spacing w:after="0"/>
              <w:rPr>
                <w:sz w:val="20"/>
                <w:szCs w:val="20"/>
                <w:color w:val="auto"/>
              </w:rPr>
            </w:pPr>
            <w:r>
              <w:rPr>
                <w:rFonts w:ascii="Arial" w:cs="Arial" w:eastAsia="Arial" w:hAnsi="Arial"/>
                <w:sz w:val="11"/>
                <w:szCs w:val="11"/>
                <w:color w:val="auto"/>
              </w:rPr>
              <w:t>15,932</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12,177</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47"/>
              <w:spacing w:after="0"/>
              <w:rPr>
                <w:sz w:val="20"/>
                <w:szCs w:val="20"/>
                <w:color w:val="auto"/>
              </w:rPr>
            </w:pPr>
            <w:r>
              <w:rPr>
                <w:rFonts w:ascii="Arial" w:cs="Arial" w:eastAsia="Arial" w:hAnsi="Arial"/>
                <w:sz w:val="11"/>
                <w:szCs w:val="11"/>
                <w:color w:val="auto"/>
              </w:rPr>
              <w:t>3,061</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15,238</w:t>
            </w:r>
          </w:p>
        </w:tc>
      </w:tr>
      <w:tr>
        <w:trPr>
          <w:trHeight w:val="270"/>
        </w:trPr>
        <w:tc>
          <w:tcPr>
            <w:tcW w:w="160" w:type="dxa"/>
            <w:vAlign w:val="bottom"/>
          </w:tcPr>
          <w:p>
            <w:pPr>
              <w:spacing w:after="0"/>
              <w:rPr>
                <w:sz w:val="23"/>
                <w:szCs w:val="23"/>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color w:val="auto"/>
              </w:rPr>
              <w:t>8,172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00" w:type="dxa"/>
            <w:vAlign w:val="bottom"/>
          </w:tcPr>
          <w:p>
            <w:pPr>
              <w:jc w:val="right"/>
              <w:ind w:right="86"/>
              <w:spacing w:after="0"/>
              <w:rPr>
                <w:sz w:val="20"/>
                <w:szCs w:val="20"/>
                <w:color w:val="auto"/>
              </w:rPr>
            </w:pPr>
            <w:r>
              <w:rPr>
                <w:rFonts w:ascii="Arial" w:cs="Arial" w:eastAsia="Arial" w:hAnsi="Arial"/>
                <w:sz w:val="11"/>
                <w:szCs w:val="11"/>
                <w:color w:val="auto"/>
              </w:rPr>
              <w:t>8,172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8,163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8,163</w:t>
            </w:r>
          </w:p>
        </w:tc>
      </w:tr>
      <w:tr>
        <w:trPr>
          <w:trHeight w:val="270"/>
        </w:trPr>
        <w:tc>
          <w:tcPr>
            <w:tcW w:w="160" w:type="dxa"/>
            <w:vAlign w:val="bottom"/>
          </w:tcPr>
          <w:p>
            <w:pPr>
              <w:spacing w:after="0"/>
              <w:rPr>
                <w:sz w:val="23"/>
                <w:szCs w:val="23"/>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color w:val="auto"/>
              </w:rPr>
              <w:t>126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ind w:right="67"/>
              <w:spacing w:after="0"/>
              <w:rPr>
                <w:sz w:val="20"/>
                <w:szCs w:val="20"/>
                <w:color w:val="auto"/>
              </w:rPr>
            </w:pPr>
            <w:r>
              <w:rPr>
                <w:rFonts w:ascii="Arial" w:cs="Arial" w:eastAsia="Arial" w:hAnsi="Arial"/>
                <w:sz w:val="11"/>
                <w:szCs w:val="11"/>
                <w:color w:val="auto"/>
              </w:rPr>
              <w:t>1,518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00" w:type="dxa"/>
            <w:vAlign w:val="bottom"/>
          </w:tcPr>
          <w:p>
            <w:pPr>
              <w:jc w:val="right"/>
              <w:ind w:right="86"/>
              <w:spacing w:after="0"/>
              <w:rPr>
                <w:sz w:val="20"/>
                <w:szCs w:val="20"/>
                <w:color w:val="auto"/>
              </w:rPr>
            </w:pPr>
            <w:r>
              <w:rPr>
                <w:rFonts w:ascii="Arial" w:cs="Arial" w:eastAsia="Arial" w:hAnsi="Arial"/>
                <w:sz w:val="11"/>
                <w:szCs w:val="11"/>
                <w:color w:val="auto"/>
              </w:rPr>
              <w:t>1,644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180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47"/>
              <w:spacing w:after="0"/>
              <w:rPr>
                <w:sz w:val="20"/>
                <w:szCs w:val="20"/>
                <w:color w:val="auto"/>
              </w:rPr>
            </w:pPr>
            <w:r>
              <w:rPr>
                <w:rFonts w:ascii="Arial" w:cs="Arial" w:eastAsia="Arial" w:hAnsi="Arial"/>
                <w:sz w:val="11"/>
                <w:szCs w:val="11"/>
                <w:color w:val="auto"/>
              </w:rPr>
              <w:t>1,410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1,590</w:t>
            </w:r>
          </w:p>
        </w:tc>
      </w:tr>
      <w:tr>
        <w:trPr>
          <w:trHeight w:val="270"/>
        </w:trPr>
        <w:tc>
          <w:tcPr>
            <w:tcW w:w="160" w:type="dxa"/>
            <w:vAlign w:val="bottom"/>
          </w:tcPr>
          <w:p>
            <w:pPr>
              <w:spacing w:after="0"/>
              <w:rPr>
                <w:sz w:val="23"/>
                <w:szCs w:val="23"/>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color w:val="auto"/>
              </w:rPr>
              <w:t>11,437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ind w:right="67"/>
              <w:spacing w:after="0"/>
              <w:rPr>
                <w:sz w:val="20"/>
                <w:szCs w:val="20"/>
                <w:color w:val="auto"/>
              </w:rPr>
            </w:pPr>
            <w:r>
              <w:rPr>
                <w:rFonts w:ascii="Arial" w:cs="Arial" w:eastAsia="Arial" w:hAnsi="Arial"/>
                <w:sz w:val="11"/>
                <w:szCs w:val="11"/>
                <w:color w:val="auto"/>
              </w:rPr>
              <w:t>972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ind w:right="26"/>
              <w:spacing w:after="0"/>
              <w:rPr>
                <w:sz w:val="20"/>
                <w:szCs w:val="20"/>
                <w:color w:val="auto"/>
              </w:rPr>
            </w:pPr>
            <w:r>
              <w:rPr>
                <w:rFonts w:ascii="Arial" w:cs="Arial" w:eastAsia="Arial" w:hAnsi="Arial"/>
                <w:sz w:val="11"/>
                <w:szCs w:val="11"/>
                <w:color w:val="auto"/>
              </w:rPr>
              <w:t>(1,672)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ind w:right="86"/>
              <w:spacing w:after="0"/>
              <w:rPr>
                <w:sz w:val="20"/>
                <w:szCs w:val="20"/>
                <w:color w:val="auto"/>
              </w:rPr>
            </w:pPr>
            <w:r>
              <w:rPr>
                <w:rFonts w:ascii="Arial" w:cs="Arial" w:eastAsia="Arial" w:hAnsi="Arial"/>
                <w:sz w:val="11"/>
                <w:szCs w:val="11"/>
                <w:color w:val="auto"/>
              </w:rPr>
              <w:t>10,737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8,590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47"/>
              <w:spacing w:after="0"/>
              <w:rPr>
                <w:sz w:val="20"/>
                <w:szCs w:val="20"/>
                <w:color w:val="auto"/>
              </w:rPr>
            </w:pPr>
            <w:r>
              <w:rPr>
                <w:rFonts w:ascii="Arial" w:cs="Arial" w:eastAsia="Arial" w:hAnsi="Arial"/>
                <w:sz w:val="11"/>
                <w:szCs w:val="11"/>
                <w:color w:val="auto"/>
              </w:rPr>
              <w:t>681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26"/>
              <w:spacing w:after="0"/>
              <w:rPr>
                <w:sz w:val="20"/>
                <w:szCs w:val="20"/>
                <w:color w:val="auto"/>
              </w:rPr>
            </w:pPr>
            <w:r>
              <w:rPr>
                <w:rFonts w:ascii="Arial" w:cs="Arial" w:eastAsia="Arial" w:hAnsi="Arial"/>
                <w:sz w:val="11"/>
                <w:szCs w:val="11"/>
                <w:color w:val="auto"/>
              </w:rPr>
              <w:t>(934)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8,337</w:t>
            </w:r>
          </w:p>
        </w:tc>
      </w:tr>
      <w:tr>
        <w:trPr>
          <w:trHeight w:val="270"/>
        </w:trPr>
        <w:tc>
          <w:tcPr>
            <w:tcW w:w="160" w:type="dxa"/>
            <w:vAlign w:val="bottom"/>
          </w:tcPr>
          <w:p>
            <w:pPr>
              <w:spacing w:after="0"/>
              <w:rPr>
                <w:sz w:val="23"/>
                <w:szCs w:val="2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800" w:type="dxa"/>
            <w:vAlign w:val="bottom"/>
          </w:tcPr>
          <w:p>
            <w:pPr>
              <w:jc w:val="right"/>
              <w:ind w:right="67"/>
              <w:spacing w:after="0"/>
              <w:rPr>
                <w:sz w:val="20"/>
                <w:szCs w:val="20"/>
                <w:color w:val="auto"/>
              </w:rPr>
            </w:pPr>
            <w:r>
              <w:rPr>
                <w:rFonts w:ascii="Arial" w:cs="Arial" w:eastAsia="Arial" w:hAnsi="Arial"/>
                <w:sz w:val="11"/>
                <w:szCs w:val="11"/>
                <w:color w:val="auto"/>
              </w:rPr>
              <w:t>20,833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ind w:right="26"/>
              <w:spacing w:after="0"/>
              <w:rPr>
                <w:sz w:val="20"/>
                <w:szCs w:val="20"/>
                <w:color w:val="auto"/>
              </w:rPr>
            </w:pPr>
            <w:r>
              <w:rPr>
                <w:rFonts w:ascii="Arial" w:cs="Arial" w:eastAsia="Arial" w:hAnsi="Arial"/>
                <w:sz w:val="11"/>
                <w:szCs w:val="11"/>
                <w:color w:val="auto"/>
              </w:rPr>
              <w:t>(338)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ind w:right="86"/>
              <w:spacing w:after="0"/>
              <w:rPr>
                <w:sz w:val="20"/>
                <w:szCs w:val="20"/>
                <w:color w:val="auto"/>
              </w:rPr>
            </w:pPr>
            <w:r>
              <w:rPr>
                <w:rFonts w:ascii="Arial" w:cs="Arial" w:eastAsia="Arial" w:hAnsi="Arial"/>
                <w:sz w:val="11"/>
                <w:szCs w:val="11"/>
                <w:color w:val="auto"/>
              </w:rPr>
              <w:t>20,495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60" w:type="dxa"/>
            <w:vAlign w:val="bottom"/>
          </w:tcPr>
          <w:p>
            <w:pPr>
              <w:jc w:val="right"/>
              <w:ind w:right="47"/>
              <w:spacing w:after="0"/>
              <w:rPr>
                <w:sz w:val="20"/>
                <w:szCs w:val="20"/>
                <w:color w:val="auto"/>
              </w:rPr>
            </w:pPr>
            <w:r>
              <w:rPr>
                <w:rFonts w:ascii="Arial" w:cs="Arial" w:eastAsia="Arial" w:hAnsi="Arial"/>
                <w:sz w:val="11"/>
                <w:szCs w:val="11"/>
                <w:color w:val="auto"/>
              </w:rPr>
              <w:t>18,281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26"/>
              <w:spacing w:after="0"/>
              <w:rPr>
                <w:sz w:val="20"/>
                <w:szCs w:val="20"/>
                <w:color w:val="auto"/>
              </w:rPr>
            </w:pPr>
            <w:r>
              <w:rPr>
                <w:rFonts w:ascii="Arial" w:cs="Arial" w:eastAsia="Arial" w:hAnsi="Arial"/>
                <w:sz w:val="11"/>
                <w:szCs w:val="11"/>
                <w:color w:val="auto"/>
              </w:rPr>
              <w:t>(230)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18,051</w:t>
            </w:r>
          </w:p>
        </w:tc>
      </w:tr>
      <w:tr>
        <w:trPr>
          <w:trHeight w:val="270"/>
        </w:trPr>
        <w:tc>
          <w:tcPr>
            <w:tcW w:w="160" w:type="dxa"/>
            <w:vAlign w:val="bottom"/>
          </w:tcPr>
          <w:p>
            <w:pPr>
              <w:spacing w:after="0"/>
              <w:rPr>
                <w:sz w:val="23"/>
                <w:szCs w:val="23"/>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color w:val="auto"/>
              </w:rPr>
              <w:t>15,427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00" w:type="dxa"/>
            <w:vAlign w:val="bottom"/>
          </w:tcPr>
          <w:p>
            <w:pPr>
              <w:jc w:val="right"/>
              <w:ind w:right="86"/>
              <w:spacing w:after="0"/>
              <w:rPr>
                <w:sz w:val="20"/>
                <w:szCs w:val="20"/>
                <w:color w:val="auto"/>
              </w:rPr>
            </w:pPr>
            <w:r>
              <w:rPr>
                <w:rFonts w:ascii="Arial" w:cs="Arial" w:eastAsia="Arial" w:hAnsi="Arial"/>
                <w:sz w:val="11"/>
                <w:szCs w:val="11"/>
                <w:color w:val="auto"/>
              </w:rPr>
              <w:t>15,427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13,764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13,764</w:t>
            </w:r>
          </w:p>
        </w:tc>
      </w:tr>
      <w:tr>
        <w:trPr>
          <w:trHeight w:val="270"/>
        </w:trPr>
        <w:tc>
          <w:tcPr>
            <w:tcW w:w="160" w:type="dxa"/>
            <w:vAlign w:val="bottom"/>
          </w:tcPr>
          <w:p>
            <w:pPr>
              <w:spacing w:after="0"/>
              <w:rPr>
                <w:sz w:val="23"/>
                <w:szCs w:val="23"/>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color w:val="auto"/>
              </w:rPr>
              <w:t>2,055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00" w:type="dxa"/>
            <w:vAlign w:val="bottom"/>
          </w:tcPr>
          <w:p>
            <w:pPr>
              <w:jc w:val="right"/>
              <w:ind w:right="86"/>
              <w:spacing w:after="0"/>
              <w:rPr>
                <w:sz w:val="20"/>
                <w:szCs w:val="20"/>
                <w:color w:val="auto"/>
              </w:rPr>
            </w:pPr>
            <w:r>
              <w:rPr>
                <w:rFonts w:ascii="Arial" w:cs="Arial" w:eastAsia="Arial" w:hAnsi="Arial"/>
                <w:sz w:val="11"/>
                <w:szCs w:val="11"/>
                <w:color w:val="auto"/>
              </w:rPr>
              <w:t>2,055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2,783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2,783</w:t>
            </w:r>
          </w:p>
        </w:tc>
      </w:tr>
      <w:tr>
        <w:trPr>
          <w:trHeight w:val="270"/>
        </w:trPr>
        <w:tc>
          <w:tcPr>
            <w:tcW w:w="160" w:type="dxa"/>
            <w:vAlign w:val="bottom"/>
          </w:tcPr>
          <w:p>
            <w:pPr>
              <w:spacing w:after="0"/>
              <w:rPr>
                <w:sz w:val="23"/>
                <w:szCs w:val="23"/>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color w:val="auto"/>
              </w:rPr>
              <w:t>1,491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ind w:right="67"/>
              <w:spacing w:after="0"/>
              <w:rPr>
                <w:sz w:val="20"/>
                <w:szCs w:val="20"/>
                <w:color w:val="auto"/>
              </w:rPr>
            </w:pPr>
            <w:r>
              <w:rPr>
                <w:rFonts w:ascii="Arial" w:cs="Arial" w:eastAsia="Arial" w:hAnsi="Arial"/>
                <w:sz w:val="11"/>
                <w:szCs w:val="11"/>
                <w:color w:val="auto"/>
              </w:rPr>
              <w:t>540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ind w:right="86"/>
              <w:spacing w:after="0"/>
              <w:rPr>
                <w:sz w:val="20"/>
                <w:szCs w:val="20"/>
                <w:color w:val="auto"/>
              </w:rPr>
            </w:pPr>
            <w:r>
              <w:rPr>
                <w:rFonts w:ascii="Arial" w:cs="Arial" w:eastAsia="Arial" w:hAnsi="Arial"/>
                <w:sz w:val="11"/>
                <w:szCs w:val="11"/>
                <w:color w:val="auto"/>
              </w:rPr>
              <w:t>2,034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1,152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47"/>
              <w:spacing w:after="0"/>
              <w:rPr>
                <w:sz w:val="20"/>
                <w:szCs w:val="20"/>
                <w:color w:val="auto"/>
              </w:rPr>
            </w:pPr>
            <w:r>
              <w:rPr>
                <w:rFonts w:ascii="Arial" w:cs="Arial" w:eastAsia="Arial" w:hAnsi="Arial"/>
                <w:sz w:val="11"/>
                <w:szCs w:val="11"/>
                <w:color w:val="auto"/>
              </w:rPr>
              <w:t>330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1,482</w:t>
            </w:r>
          </w:p>
        </w:tc>
      </w:tr>
      <w:tr>
        <w:trPr>
          <w:trHeight w:val="22"/>
        </w:trPr>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28"/>
        </w:trPr>
        <w:tc>
          <w:tcPr>
            <w:tcW w:w="160" w:type="dxa"/>
            <w:vAlign w:val="bottom"/>
          </w:tcPr>
          <w:p>
            <w:pPr>
              <w:spacing w:after="0"/>
              <w:rPr>
                <w:sz w:val="19"/>
                <w:szCs w:val="19"/>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color w:val="auto"/>
              </w:rPr>
              <w:t>52,052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ind w:right="67"/>
              <w:spacing w:after="0"/>
              <w:rPr>
                <w:sz w:val="20"/>
                <w:szCs w:val="20"/>
                <w:color w:val="auto"/>
              </w:rPr>
            </w:pPr>
            <w:r>
              <w:rPr>
                <w:rFonts w:ascii="Arial" w:cs="Arial" w:eastAsia="Arial" w:hAnsi="Arial"/>
                <w:sz w:val="11"/>
                <w:szCs w:val="11"/>
                <w:color w:val="auto"/>
              </w:rPr>
              <w:t>26,451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ind w:right="26"/>
              <w:spacing w:after="0"/>
              <w:rPr>
                <w:sz w:val="20"/>
                <w:szCs w:val="20"/>
                <w:color w:val="auto"/>
              </w:rPr>
            </w:pPr>
            <w:r>
              <w:rPr>
                <w:rFonts w:ascii="Arial" w:cs="Arial" w:eastAsia="Arial" w:hAnsi="Arial"/>
                <w:sz w:val="11"/>
                <w:szCs w:val="11"/>
                <w:color w:val="auto"/>
              </w:rPr>
              <w:t>(2,007)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ind w:right="86"/>
              <w:spacing w:after="0"/>
              <w:rPr>
                <w:sz w:val="20"/>
                <w:szCs w:val="20"/>
                <w:color w:val="auto"/>
              </w:rPr>
            </w:pPr>
            <w:r>
              <w:rPr>
                <w:rFonts w:ascii="Arial" w:cs="Arial" w:eastAsia="Arial" w:hAnsi="Arial"/>
                <w:sz w:val="11"/>
                <w:szCs w:val="11"/>
                <w:color w:val="auto"/>
              </w:rPr>
              <w:t>76,496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46,809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ind w:right="47"/>
              <w:spacing w:after="0"/>
              <w:rPr>
                <w:sz w:val="20"/>
                <w:szCs w:val="20"/>
                <w:color w:val="auto"/>
              </w:rPr>
            </w:pPr>
            <w:r>
              <w:rPr>
                <w:rFonts w:ascii="Arial" w:cs="Arial" w:eastAsia="Arial" w:hAnsi="Arial"/>
                <w:sz w:val="11"/>
                <w:szCs w:val="11"/>
                <w:color w:val="auto"/>
              </w:rPr>
              <w:t>23,763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ind w:right="26"/>
              <w:spacing w:after="0"/>
              <w:rPr>
                <w:sz w:val="20"/>
                <w:szCs w:val="20"/>
                <w:color w:val="auto"/>
              </w:rPr>
            </w:pPr>
            <w:r>
              <w:rPr>
                <w:rFonts w:ascii="Arial" w:cs="Arial" w:eastAsia="Arial" w:hAnsi="Arial"/>
                <w:sz w:val="11"/>
                <w:szCs w:val="11"/>
                <w:color w:val="auto"/>
              </w:rPr>
              <w:t>(1,164)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69,408</w:t>
            </w:r>
          </w:p>
        </w:tc>
      </w:tr>
      <w:tr>
        <w:trPr>
          <w:trHeight w:val="540"/>
        </w:trPr>
        <w:tc>
          <w:tcPr>
            <w:tcW w:w="160" w:type="dxa"/>
            <w:vAlign w:val="bottom"/>
          </w:tcPr>
          <w:p>
            <w:pPr>
              <w:spacing w:after="0"/>
              <w:rPr>
                <w:sz w:val="24"/>
                <w:szCs w:val="24"/>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color w:val="auto"/>
              </w:rPr>
              <w:t>44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ind w:right="67"/>
              <w:spacing w:after="0"/>
              <w:rPr>
                <w:sz w:val="20"/>
                <w:szCs w:val="20"/>
                <w:color w:val="auto"/>
              </w:rPr>
            </w:pPr>
            <w:r>
              <w:rPr>
                <w:rFonts w:ascii="Arial" w:cs="Arial" w:eastAsia="Arial" w:hAnsi="Arial"/>
                <w:sz w:val="11"/>
                <w:szCs w:val="11"/>
                <w:color w:val="auto"/>
              </w:rPr>
              <w:t>537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800" w:type="dxa"/>
            <w:vAlign w:val="bottom"/>
          </w:tcPr>
          <w:p>
            <w:pPr>
              <w:jc w:val="right"/>
              <w:ind w:right="86"/>
              <w:spacing w:after="0"/>
              <w:rPr>
                <w:sz w:val="20"/>
                <w:szCs w:val="20"/>
                <w:color w:val="auto"/>
              </w:rPr>
            </w:pPr>
            <w:r>
              <w:rPr>
                <w:rFonts w:ascii="Arial" w:cs="Arial" w:eastAsia="Arial" w:hAnsi="Arial"/>
                <w:sz w:val="11"/>
                <w:szCs w:val="11"/>
                <w:color w:val="auto"/>
              </w:rPr>
              <w:t>581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52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ind w:right="47"/>
              <w:spacing w:after="0"/>
              <w:rPr>
                <w:sz w:val="20"/>
                <w:szCs w:val="20"/>
                <w:color w:val="auto"/>
              </w:rPr>
            </w:pPr>
            <w:r>
              <w:rPr>
                <w:rFonts w:ascii="Arial" w:cs="Arial" w:eastAsia="Arial" w:hAnsi="Arial"/>
                <w:sz w:val="11"/>
                <w:szCs w:val="11"/>
                <w:color w:val="auto"/>
              </w:rPr>
              <w:t>531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583</w:t>
            </w:r>
          </w:p>
        </w:tc>
      </w:tr>
      <w:tr>
        <w:trPr>
          <w:trHeight w:val="270"/>
        </w:trPr>
        <w:tc>
          <w:tcPr>
            <w:tcW w:w="160" w:type="dxa"/>
            <w:vAlign w:val="bottom"/>
          </w:tcPr>
          <w:p>
            <w:pPr>
              <w:spacing w:after="0"/>
              <w:rPr>
                <w:sz w:val="23"/>
                <w:szCs w:val="2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800" w:type="dxa"/>
            <w:vAlign w:val="bottom"/>
          </w:tcPr>
          <w:p>
            <w:pPr>
              <w:jc w:val="right"/>
              <w:ind w:right="67"/>
              <w:spacing w:after="0"/>
              <w:rPr>
                <w:sz w:val="20"/>
                <w:szCs w:val="20"/>
                <w:color w:val="auto"/>
              </w:rPr>
            </w:pPr>
            <w:r>
              <w:rPr>
                <w:rFonts w:ascii="Arial" w:cs="Arial" w:eastAsia="Arial" w:hAnsi="Arial"/>
                <w:sz w:val="11"/>
                <w:szCs w:val="11"/>
                <w:color w:val="auto"/>
              </w:rPr>
              <w:t>20,299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00" w:type="dxa"/>
            <w:vAlign w:val="bottom"/>
          </w:tcPr>
          <w:p>
            <w:pPr>
              <w:jc w:val="right"/>
              <w:ind w:right="86"/>
              <w:spacing w:after="0"/>
              <w:rPr>
                <w:sz w:val="20"/>
                <w:szCs w:val="20"/>
                <w:color w:val="auto"/>
              </w:rPr>
            </w:pPr>
            <w:r>
              <w:rPr>
                <w:rFonts w:ascii="Arial" w:cs="Arial" w:eastAsia="Arial" w:hAnsi="Arial"/>
                <w:sz w:val="11"/>
                <w:szCs w:val="11"/>
                <w:color w:val="auto"/>
              </w:rPr>
              <w:t>20,299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60" w:type="dxa"/>
            <w:vAlign w:val="bottom"/>
          </w:tcPr>
          <w:p>
            <w:pPr>
              <w:jc w:val="right"/>
              <w:ind w:right="47"/>
              <w:spacing w:after="0"/>
              <w:rPr>
                <w:sz w:val="20"/>
                <w:szCs w:val="20"/>
                <w:color w:val="auto"/>
              </w:rPr>
            </w:pPr>
            <w:r>
              <w:rPr>
                <w:rFonts w:ascii="Arial" w:cs="Arial" w:eastAsia="Arial" w:hAnsi="Arial"/>
                <w:sz w:val="11"/>
                <w:szCs w:val="11"/>
                <w:color w:val="auto"/>
              </w:rPr>
              <w:t>18,500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18,500</w:t>
            </w:r>
          </w:p>
        </w:tc>
      </w:tr>
      <w:tr>
        <w:trPr>
          <w:trHeight w:val="270"/>
        </w:trPr>
        <w:tc>
          <w:tcPr>
            <w:tcW w:w="160" w:type="dxa"/>
            <w:vAlign w:val="bottom"/>
          </w:tcPr>
          <w:p>
            <w:pPr>
              <w:spacing w:after="0"/>
              <w:rPr>
                <w:sz w:val="23"/>
                <w:szCs w:val="23"/>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color w:val="auto"/>
              </w:rPr>
              <w:t>7,705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ind w:right="67"/>
              <w:spacing w:after="0"/>
              <w:rPr>
                <w:sz w:val="20"/>
                <w:szCs w:val="20"/>
                <w:color w:val="auto"/>
              </w:rPr>
            </w:pPr>
            <w:r>
              <w:rPr>
                <w:rFonts w:ascii="Arial" w:cs="Arial" w:eastAsia="Arial" w:hAnsi="Arial"/>
                <w:sz w:val="11"/>
                <w:szCs w:val="11"/>
                <w:color w:val="auto"/>
              </w:rPr>
              <w:t>940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00" w:type="dxa"/>
            <w:vAlign w:val="bottom"/>
          </w:tcPr>
          <w:p>
            <w:pPr>
              <w:jc w:val="right"/>
              <w:ind w:right="86"/>
              <w:spacing w:after="0"/>
              <w:rPr>
                <w:sz w:val="20"/>
                <w:szCs w:val="20"/>
                <w:color w:val="auto"/>
              </w:rPr>
            </w:pPr>
            <w:r>
              <w:rPr>
                <w:rFonts w:ascii="Arial" w:cs="Arial" w:eastAsia="Arial" w:hAnsi="Arial"/>
                <w:sz w:val="11"/>
                <w:szCs w:val="11"/>
                <w:color w:val="auto"/>
              </w:rPr>
              <w:t>8,645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8,215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47"/>
              <w:spacing w:after="0"/>
              <w:rPr>
                <w:sz w:val="20"/>
                <w:szCs w:val="20"/>
                <w:color w:val="auto"/>
              </w:rPr>
            </w:pPr>
            <w:r>
              <w:rPr>
                <w:rFonts w:ascii="Arial" w:cs="Arial" w:eastAsia="Arial" w:hAnsi="Arial"/>
                <w:sz w:val="11"/>
                <w:szCs w:val="11"/>
                <w:color w:val="auto"/>
              </w:rPr>
              <w:t>986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9,201</w:t>
            </w:r>
          </w:p>
        </w:tc>
      </w:tr>
      <w:tr>
        <w:trPr>
          <w:trHeight w:val="270"/>
        </w:trPr>
        <w:tc>
          <w:tcPr>
            <w:tcW w:w="160" w:type="dxa"/>
            <w:vAlign w:val="bottom"/>
          </w:tcPr>
          <w:p>
            <w:pPr>
              <w:spacing w:after="0"/>
              <w:rPr>
                <w:sz w:val="23"/>
                <w:szCs w:val="23"/>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color w:val="auto"/>
              </w:rPr>
              <w:t>34,460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ind w:right="67"/>
              <w:spacing w:after="0"/>
              <w:rPr>
                <w:sz w:val="20"/>
                <w:szCs w:val="20"/>
                <w:color w:val="auto"/>
              </w:rPr>
            </w:pPr>
            <w:r>
              <w:rPr>
                <w:rFonts w:ascii="Arial" w:cs="Arial" w:eastAsia="Arial" w:hAnsi="Arial"/>
                <w:sz w:val="11"/>
                <w:szCs w:val="11"/>
                <w:color w:val="auto"/>
              </w:rPr>
              <w:t>253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00" w:type="dxa"/>
            <w:vAlign w:val="bottom"/>
          </w:tcPr>
          <w:p>
            <w:pPr>
              <w:jc w:val="right"/>
              <w:ind w:right="86"/>
              <w:spacing w:after="0"/>
              <w:rPr>
                <w:sz w:val="20"/>
                <w:szCs w:val="20"/>
                <w:color w:val="auto"/>
              </w:rPr>
            </w:pPr>
            <w:r>
              <w:rPr>
                <w:rFonts w:ascii="Arial" w:cs="Arial" w:eastAsia="Arial" w:hAnsi="Arial"/>
                <w:sz w:val="11"/>
                <w:szCs w:val="11"/>
                <w:color w:val="auto"/>
              </w:rPr>
              <w:t>34,713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31,010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47"/>
              <w:spacing w:after="0"/>
              <w:rPr>
                <w:sz w:val="20"/>
                <w:szCs w:val="20"/>
                <w:color w:val="auto"/>
              </w:rPr>
            </w:pPr>
            <w:r>
              <w:rPr>
                <w:rFonts w:ascii="Arial" w:cs="Arial" w:eastAsia="Arial" w:hAnsi="Arial"/>
                <w:sz w:val="11"/>
                <w:szCs w:val="11"/>
                <w:color w:val="auto"/>
              </w:rPr>
              <w:t>219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31,229</w:t>
            </w:r>
          </w:p>
        </w:tc>
      </w:tr>
      <w:tr>
        <w:trPr>
          <w:trHeight w:val="270"/>
        </w:trPr>
        <w:tc>
          <w:tcPr>
            <w:tcW w:w="160" w:type="dxa"/>
            <w:vAlign w:val="bottom"/>
          </w:tcPr>
          <w:p>
            <w:pPr>
              <w:spacing w:after="0"/>
              <w:rPr>
                <w:sz w:val="23"/>
                <w:szCs w:val="23"/>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color w:val="auto"/>
              </w:rPr>
              <w:t>4,969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ind w:right="67"/>
              <w:spacing w:after="0"/>
              <w:rPr>
                <w:sz w:val="20"/>
                <w:szCs w:val="20"/>
                <w:color w:val="auto"/>
              </w:rPr>
            </w:pPr>
            <w:r>
              <w:rPr>
                <w:rFonts w:ascii="Arial" w:cs="Arial" w:eastAsia="Arial" w:hAnsi="Arial"/>
                <w:sz w:val="11"/>
                <w:szCs w:val="11"/>
                <w:color w:val="auto"/>
              </w:rPr>
              <w:t>1,385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00" w:type="dxa"/>
            <w:vAlign w:val="bottom"/>
          </w:tcPr>
          <w:p>
            <w:pPr>
              <w:jc w:val="right"/>
              <w:ind w:right="86"/>
              <w:spacing w:after="0"/>
              <w:rPr>
                <w:sz w:val="20"/>
                <w:szCs w:val="20"/>
                <w:color w:val="auto"/>
              </w:rPr>
            </w:pPr>
            <w:r>
              <w:rPr>
                <w:rFonts w:ascii="Arial" w:cs="Arial" w:eastAsia="Arial" w:hAnsi="Arial"/>
                <w:sz w:val="11"/>
                <w:szCs w:val="11"/>
                <w:color w:val="auto"/>
              </w:rPr>
              <w:t>6,354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4,558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47"/>
              <w:spacing w:after="0"/>
              <w:rPr>
                <w:sz w:val="20"/>
                <w:szCs w:val="20"/>
                <w:color w:val="auto"/>
              </w:rPr>
            </w:pPr>
            <w:r>
              <w:rPr>
                <w:rFonts w:ascii="Arial" w:cs="Arial" w:eastAsia="Arial" w:hAnsi="Arial"/>
                <w:sz w:val="11"/>
                <w:szCs w:val="11"/>
                <w:color w:val="auto"/>
              </w:rPr>
              <w:t>1,389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5,947</w:t>
            </w:r>
          </w:p>
        </w:tc>
      </w:tr>
      <w:tr>
        <w:trPr>
          <w:trHeight w:val="270"/>
        </w:trPr>
        <w:tc>
          <w:tcPr>
            <w:tcW w:w="160" w:type="dxa"/>
            <w:vAlign w:val="bottom"/>
          </w:tcPr>
          <w:p>
            <w:pPr>
              <w:spacing w:after="0"/>
              <w:rPr>
                <w:sz w:val="23"/>
                <w:szCs w:val="2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800" w:type="dxa"/>
            <w:vAlign w:val="bottom"/>
          </w:tcPr>
          <w:p>
            <w:pPr>
              <w:jc w:val="right"/>
              <w:ind w:right="67"/>
              <w:spacing w:after="0"/>
              <w:rPr>
                <w:sz w:val="20"/>
                <w:szCs w:val="20"/>
                <w:color w:val="auto"/>
              </w:rPr>
            </w:pPr>
            <w:r>
              <w:rPr>
                <w:rFonts w:ascii="Arial" w:cs="Arial" w:eastAsia="Arial" w:hAnsi="Arial"/>
                <w:sz w:val="11"/>
                <w:szCs w:val="11"/>
                <w:color w:val="auto"/>
              </w:rPr>
              <w:t>31,775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00" w:type="dxa"/>
            <w:vAlign w:val="bottom"/>
          </w:tcPr>
          <w:p>
            <w:pPr>
              <w:jc w:val="right"/>
              <w:ind w:right="86"/>
              <w:spacing w:after="0"/>
              <w:rPr>
                <w:sz w:val="20"/>
                <w:szCs w:val="20"/>
                <w:color w:val="auto"/>
              </w:rPr>
            </w:pPr>
            <w:r>
              <w:rPr>
                <w:rFonts w:ascii="Arial" w:cs="Arial" w:eastAsia="Arial" w:hAnsi="Arial"/>
                <w:sz w:val="11"/>
                <w:szCs w:val="11"/>
                <w:color w:val="auto"/>
              </w:rPr>
              <w:t>31,775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60" w:type="dxa"/>
            <w:vAlign w:val="bottom"/>
          </w:tcPr>
          <w:p>
            <w:pPr>
              <w:jc w:val="right"/>
              <w:ind w:right="47"/>
              <w:spacing w:after="0"/>
              <w:rPr>
                <w:sz w:val="20"/>
                <w:szCs w:val="20"/>
                <w:color w:val="auto"/>
              </w:rPr>
            </w:pPr>
            <w:r>
              <w:rPr>
                <w:rFonts w:ascii="Arial" w:cs="Arial" w:eastAsia="Arial" w:hAnsi="Arial"/>
                <w:sz w:val="11"/>
                <w:szCs w:val="11"/>
                <w:color w:val="auto"/>
              </w:rPr>
              <w:t>20,172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20,172</w:t>
            </w:r>
          </w:p>
        </w:tc>
      </w:tr>
      <w:tr>
        <w:trPr>
          <w:trHeight w:val="270"/>
        </w:trPr>
        <w:tc>
          <w:tcPr>
            <w:tcW w:w="160" w:type="dxa"/>
            <w:vAlign w:val="bottom"/>
          </w:tcPr>
          <w:p>
            <w:pPr>
              <w:spacing w:after="0"/>
              <w:rPr>
                <w:sz w:val="23"/>
                <w:szCs w:val="23"/>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color w:val="auto"/>
              </w:rPr>
              <w:t>34,809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ind w:right="67"/>
              <w:spacing w:after="0"/>
              <w:rPr>
                <w:sz w:val="20"/>
                <w:szCs w:val="20"/>
                <w:color w:val="auto"/>
              </w:rPr>
            </w:pPr>
            <w:r>
              <w:rPr>
                <w:rFonts w:ascii="Arial" w:cs="Arial" w:eastAsia="Arial" w:hAnsi="Arial"/>
                <w:sz w:val="11"/>
                <w:szCs w:val="11"/>
                <w:color w:val="auto"/>
              </w:rPr>
              <w:t>216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00" w:type="dxa"/>
            <w:vAlign w:val="bottom"/>
          </w:tcPr>
          <w:p>
            <w:pPr>
              <w:jc w:val="right"/>
              <w:ind w:right="86"/>
              <w:spacing w:after="0"/>
              <w:rPr>
                <w:sz w:val="20"/>
                <w:szCs w:val="20"/>
                <w:color w:val="auto"/>
              </w:rPr>
            </w:pPr>
            <w:r>
              <w:rPr>
                <w:rFonts w:ascii="Arial" w:cs="Arial" w:eastAsia="Arial" w:hAnsi="Arial"/>
                <w:sz w:val="11"/>
                <w:szCs w:val="11"/>
                <w:color w:val="auto"/>
              </w:rPr>
              <w:t>35,025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36,635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47"/>
              <w:spacing w:after="0"/>
              <w:rPr>
                <w:sz w:val="20"/>
                <w:szCs w:val="20"/>
                <w:color w:val="auto"/>
              </w:rPr>
            </w:pPr>
            <w:r>
              <w:rPr>
                <w:rFonts w:ascii="Arial" w:cs="Arial" w:eastAsia="Arial" w:hAnsi="Arial"/>
                <w:sz w:val="11"/>
                <w:szCs w:val="11"/>
                <w:color w:val="auto"/>
              </w:rPr>
              <w:t>225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36,860</w:t>
            </w:r>
          </w:p>
        </w:tc>
      </w:tr>
      <w:tr>
        <w:trPr>
          <w:trHeight w:val="270"/>
        </w:trPr>
        <w:tc>
          <w:tcPr>
            <w:tcW w:w="160" w:type="dxa"/>
            <w:vAlign w:val="bottom"/>
          </w:tcPr>
          <w:p>
            <w:pPr>
              <w:spacing w:after="0"/>
              <w:rPr>
                <w:sz w:val="23"/>
                <w:szCs w:val="23"/>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color w:val="auto"/>
              </w:rPr>
              <w:t>3,344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ind w:right="67"/>
              <w:spacing w:after="0"/>
              <w:rPr>
                <w:sz w:val="20"/>
                <w:szCs w:val="20"/>
                <w:color w:val="auto"/>
              </w:rPr>
            </w:pPr>
            <w:r>
              <w:rPr>
                <w:rFonts w:ascii="Arial" w:cs="Arial" w:eastAsia="Arial" w:hAnsi="Arial"/>
                <w:sz w:val="11"/>
                <w:szCs w:val="11"/>
                <w:color w:val="auto"/>
              </w:rPr>
              <w:t>344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00" w:type="dxa"/>
            <w:vAlign w:val="bottom"/>
          </w:tcPr>
          <w:p>
            <w:pPr>
              <w:jc w:val="right"/>
              <w:ind w:right="86"/>
              <w:spacing w:after="0"/>
              <w:rPr>
                <w:sz w:val="20"/>
                <w:szCs w:val="20"/>
                <w:color w:val="auto"/>
              </w:rPr>
            </w:pPr>
            <w:r>
              <w:rPr>
                <w:rFonts w:ascii="Arial" w:cs="Arial" w:eastAsia="Arial" w:hAnsi="Arial"/>
                <w:sz w:val="11"/>
                <w:szCs w:val="11"/>
                <w:color w:val="auto"/>
              </w:rPr>
              <w:t>3,688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2,142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47"/>
              <w:spacing w:after="0"/>
              <w:rPr>
                <w:sz w:val="20"/>
                <w:szCs w:val="20"/>
                <w:color w:val="auto"/>
              </w:rPr>
            </w:pPr>
            <w:r>
              <w:rPr>
                <w:rFonts w:ascii="Arial" w:cs="Arial" w:eastAsia="Arial" w:hAnsi="Arial"/>
                <w:sz w:val="11"/>
                <w:szCs w:val="11"/>
                <w:color w:val="auto"/>
              </w:rPr>
              <w:t>296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2,438</w:t>
            </w:r>
          </w:p>
        </w:tc>
      </w:tr>
      <w:tr>
        <w:trPr>
          <w:trHeight w:val="22"/>
        </w:trPr>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28"/>
        </w:trPr>
        <w:tc>
          <w:tcPr>
            <w:tcW w:w="160" w:type="dxa"/>
            <w:vAlign w:val="bottom"/>
          </w:tcPr>
          <w:p>
            <w:pPr>
              <w:spacing w:after="0"/>
              <w:rPr>
                <w:sz w:val="19"/>
                <w:szCs w:val="19"/>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color w:val="auto"/>
              </w:rPr>
              <w:t>85,331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ind w:right="67"/>
              <w:spacing w:after="0"/>
              <w:rPr>
                <w:sz w:val="20"/>
                <w:szCs w:val="20"/>
                <w:color w:val="auto"/>
              </w:rPr>
            </w:pPr>
            <w:r>
              <w:rPr>
                <w:rFonts w:ascii="Arial" w:cs="Arial" w:eastAsia="Arial" w:hAnsi="Arial"/>
                <w:sz w:val="11"/>
                <w:szCs w:val="11"/>
                <w:color w:val="auto"/>
              </w:rPr>
              <w:t>55,749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9"/>
                <w:szCs w:val="19"/>
                <w:color w:val="auto"/>
              </w:rPr>
            </w:pPr>
          </w:p>
        </w:tc>
        <w:tc>
          <w:tcPr>
            <w:tcW w:w="800" w:type="dxa"/>
            <w:vAlign w:val="bottom"/>
          </w:tcPr>
          <w:p>
            <w:pPr>
              <w:jc w:val="right"/>
              <w:ind w:right="86"/>
              <w:spacing w:after="0"/>
              <w:rPr>
                <w:sz w:val="20"/>
                <w:szCs w:val="20"/>
                <w:color w:val="auto"/>
              </w:rPr>
            </w:pPr>
            <w:r>
              <w:rPr>
                <w:rFonts w:ascii="Arial" w:cs="Arial" w:eastAsia="Arial" w:hAnsi="Arial"/>
                <w:sz w:val="11"/>
                <w:szCs w:val="11"/>
                <w:color w:val="auto"/>
              </w:rPr>
              <w:t>141,080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82,612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ind w:right="47"/>
              <w:spacing w:after="0"/>
              <w:rPr>
                <w:sz w:val="20"/>
                <w:szCs w:val="20"/>
                <w:color w:val="auto"/>
              </w:rPr>
            </w:pPr>
            <w:r>
              <w:rPr>
                <w:rFonts w:ascii="Arial" w:cs="Arial" w:eastAsia="Arial" w:hAnsi="Arial"/>
                <w:sz w:val="11"/>
                <w:szCs w:val="11"/>
                <w:color w:val="auto"/>
              </w:rPr>
              <w:t>42,318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9"/>
                <w:szCs w:val="19"/>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124,930</w:t>
            </w:r>
          </w:p>
        </w:tc>
      </w:tr>
      <w:tr>
        <w:trPr>
          <w:trHeight w:val="22"/>
        </w:trPr>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15"/>
        </w:trPr>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86"/>
              <w:spacing w:after="0"/>
              <w:rPr>
                <w:sz w:val="20"/>
                <w:szCs w:val="20"/>
                <w:color w:val="auto"/>
              </w:rPr>
            </w:pPr>
            <w:r>
              <w:rPr>
                <w:rFonts w:ascii="Arial" w:cs="Arial" w:eastAsia="Arial" w:hAnsi="Arial"/>
                <w:sz w:val="11"/>
                <w:szCs w:val="11"/>
                <w:color w:val="auto"/>
              </w:rPr>
              <w:t>137,383</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ind w:right="67"/>
              <w:spacing w:after="0"/>
              <w:rPr>
                <w:sz w:val="20"/>
                <w:szCs w:val="20"/>
                <w:color w:val="auto"/>
              </w:rPr>
            </w:pPr>
            <w:r>
              <w:rPr>
                <w:rFonts w:ascii="Arial" w:cs="Arial" w:eastAsia="Arial" w:hAnsi="Arial"/>
                <w:sz w:val="11"/>
                <w:szCs w:val="11"/>
                <w:color w:val="auto"/>
              </w:rPr>
              <w:t>82,200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26"/>
              <w:spacing w:after="0"/>
              <w:rPr>
                <w:sz w:val="20"/>
                <w:szCs w:val="20"/>
                <w:color w:val="auto"/>
              </w:rPr>
            </w:pPr>
            <w:r>
              <w:rPr>
                <w:rFonts w:ascii="Arial" w:cs="Arial" w:eastAsia="Arial" w:hAnsi="Arial"/>
                <w:sz w:val="11"/>
                <w:szCs w:val="11"/>
                <w:color w:val="auto"/>
              </w:rPr>
              <w:t>(2,007)</w:t>
            </w:r>
          </w:p>
        </w:tc>
        <w:tc>
          <w:tcPr>
            <w:tcW w:w="120" w:type="dxa"/>
            <w:vAlign w:val="bottom"/>
          </w:tcPr>
          <w:p>
            <w:pPr>
              <w:spacing w:after="0"/>
              <w:rPr>
                <w:sz w:val="18"/>
                <w:szCs w:val="18"/>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ind w:right="86"/>
              <w:spacing w:after="0"/>
              <w:rPr>
                <w:sz w:val="20"/>
                <w:szCs w:val="20"/>
                <w:color w:val="auto"/>
              </w:rPr>
            </w:pPr>
            <w:r>
              <w:rPr>
                <w:rFonts w:ascii="Arial" w:cs="Arial" w:eastAsia="Arial" w:hAnsi="Arial"/>
                <w:sz w:val="11"/>
                <w:szCs w:val="11"/>
                <w:color w:val="auto"/>
              </w:rPr>
              <w:t>217,576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129,421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47"/>
              <w:spacing w:after="0"/>
              <w:rPr>
                <w:sz w:val="20"/>
                <w:szCs w:val="20"/>
                <w:color w:val="auto"/>
              </w:rPr>
            </w:pPr>
            <w:r>
              <w:rPr>
                <w:rFonts w:ascii="Arial" w:cs="Arial" w:eastAsia="Arial" w:hAnsi="Arial"/>
                <w:sz w:val="11"/>
                <w:szCs w:val="11"/>
                <w:color w:val="auto"/>
              </w:rPr>
              <w:t>66,081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26"/>
              <w:spacing w:after="0"/>
              <w:rPr>
                <w:sz w:val="20"/>
                <w:szCs w:val="20"/>
                <w:color w:val="auto"/>
              </w:rPr>
            </w:pPr>
            <w:r>
              <w:rPr>
                <w:rFonts w:ascii="Arial" w:cs="Arial" w:eastAsia="Arial" w:hAnsi="Arial"/>
                <w:sz w:val="11"/>
                <w:szCs w:val="11"/>
                <w:color w:val="auto"/>
              </w:rPr>
              <w:t>(1,164)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194,338</w:t>
            </w:r>
          </w:p>
        </w:tc>
      </w:tr>
      <w:tr>
        <w:trPr>
          <w:trHeight w:val="22"/>
        </w:trPr>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769"/>
        </w:trPr>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86"/>
              <w:spacing w:after="0"/>
              <w:rPr>
                <w:sz w:val="20"/>
                <w:szCs w:val="20"/>
                <w:color w:val="auto"/>
              </w:rPr>
            </w:pPr>
            <w:r>
              <w:rPr>
                <w:rFonts w:ascii="Arial" w:cs="Arial" w:eastAsia="Arial" w:hAnsi="Arial"/>
                <w:sz w:val="11"/>
                <w:szCs w:val="11"/>
                <w:color w:val="auto"/>
              </w:rPr>
              <w:t>28,652</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ind w:right="67"/>
              <w:spacing w:after="0"/>
              <w:rPr>
                <w:sz w:val="20"/>
                <w:szCs w:val="20"/>
                <w:color w:val="auto"/>
              </w:rPr>
            </w:pPr>
            <w:r>
              <w:rPr>
                <w:rFonts w:ascii="Arial" w:cs="Arial" w:eastAsia="Arial" w:hAnsi="Arial"/>
                <w:sz w:val="11"/>
                <w:szCs w:val="11"/>
                <w:color w:val="auto"/>
              </w:rPr>
              <w:t>788</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26"/>
              <w:spacing w:after="0"/>
              <w:rPr>
                <w:sz w:val="20"/>
                <w:szCs w:val="20"/>
                <w:color w:val="auto"/>
              </w:rPr>
            </w:pPr>
            <w:r>
              <w:rPr>
                <w:rFonts w:ascii="Arial" w:cs="Arial" w:eastAsia="Arial" w:hAnsi="Arial"/>
                <w:sz w:val="11"/>
                <w:szCs w:val="11"/>
                <w:color w:val="auto"/>
              </w:rPr>
              <w:t>(812)</w:t>
            </w:r>
          </w:p>
        </w:tc>
        <w:tc>
          <w:tcPr>
            <w:tcW w:w="120" w:type="dxa"/>
            <w:vAlign w:val="bottom"/>
          </w:tcPr>
          <w:p>
            <w:pPr>
              <w:spacing w:after="0"/>
              <w:rPr>
                <w:sz w:val="24"/>
                <w:szCs w:val="24"/>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ind w:right="86"/>
              <w:spacing w:after="0"/>
              <w:rPr>
                <w:sz w:val="20"/>
                <w:szCs w:val="20"/>
                <w:color w:val="auto"/>
              </w:rPr>
            </w:pPr>
            <w:r>
              <w:rPr>
                <w:rFonts w:ascii="Arial" w:cs="Arial" w:eastAsia="Arial" w:hAnsi="Arial"/>
                <w:sz w:val="11"/>
                <w:szCs w:val="11"/>
                <w:color w:val="auto"/>
              </w:rPr>
              <w:t>28,628</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24,093</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47"/>
              <w:spacing w:after="0"/>
              <w:rPr>
                <w:sz w:val="20"/>
                <w:szCs w:val="20"/>
                <w:color w:val="auto"/>
              </w:rPr>
            </w:pPr>
            <w:r>
              <w:rPr>
                <w:rFonts w:ascii="Arial" w:cs="Arial" w:eastAsia="Arial" w:hAnsi="Arial"/>
                <w:sz w:val="11"/>
                <w:szCs w:val="11"/>
                <w:color w:val="auto"/>
              </w:rPr>
              <w:t>740</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26"/>
              <w:spacing w:after="0"/>
              <w:rPr>
                <w:sz w:val="20"/>
                <w:szCs w:val="20"/>
                <w:color w:val="auto"/>
              </w:rPr>
            </w:pPr>
            <w:r>
              <w:rPr>
                <w:rFonts w:ascii="Arial" w:cs="Arial" w:eastAsia="Arial" w:hAnsi="Arial"/>
                <w:sz w:val="11"/>
                <w:szCs w:val="11"/>
                <w:color w:val="auto"/>
              </w:rPr>
              <w:t>(771)</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24,062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-2178685</wp:posOffset>
            </wp:positionH>
            <wp:positionV relativeFrom="paragraph">
              <wp:posOffset>-3947160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-3604260</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-3261360</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-2918460</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-2575560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-2232025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-1889125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-1546225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-1203325</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-860425</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-516890</wp:posOffset>
            </wp:positionV>
            <wp:extent cx="7246620" cy="1885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-156845</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91" w:lineRule="exact"/>
        <w:rPr>
          <w:sz w:val="20"/>
          <w:szCs w:val="20"/>
          <w:color w:val="auto"/>
        </w:rPr>
      </w:pPr>
    </w:p>
    <w:p>
      <w:pPr>
        <w:sectPr>
          <w:pgSz w:w="11900" w:h="16838" w:orient="portrait"/>
          <w:cols w:equalWidth="0" w:num="2">
            <w:col w:w="2720" w:space="720"/>
            <w:col w:w="7980"/>
          </w:cols>
          <w:pgMar w:left="240" w:top="581" w:right="239" w:bottom="169" w:gutter="0" w:footer="0" w:header="0"/>
          <w:type w:val="continuous"/>
        </w:sectPr>
      </w:pPr>
    </w:p>
    <w:tbl>
      <w:tblPr>
        <w:tblLayout w:type="fixed"/>
        <w:tblInd w:w="0" w:type="dxa"/>
        <w:tblCellMar>
          <w:top w:w="0" w:type="dxa"/>
          <w:left w:w="0" w:type="dxa"/>
          <w:bottom w:w="0" w:type="dxa"/>
          <w:right w:w="0" w:type="dxa"/>
        </w:tblCellMar>
      </w:tblPr>
      <w:tr>
        <w:trPr>
          <w:trHeight w:val="154"/>
        </w:trPr>
        <w:tc>
          <w:tcPr>
            <w:tcW w:w="3440" w:type="dxa"/>
            <w:vAlign w:val="bottom"/>
            <w:shd w:val="clear" w:color="auto" w:fill="CCEEFF"/>
          </w:tcPr>
          <w:p>
            <w:pPr>
              <w:ind w:left="340"/>
              <w:spacing w:after="0"/>
              <w:rPr>
                <w:sz w:val="20"/>
                <w:szCs w:val="20"/>
                <w:color w:val="auto"/>
              </w:rPr>
            </w:pPr>
            <w:r>
              <w:rPr>
                <w:rFonts w:ascii="Arial" w:cs="Arial" w:eastAsia="Arial" w:hAnsi="Arial"/>
                <w:sz w:val="11"/>
                <w:szCs w:val="11"/>
                <w:color w:val="auto"/>
              </w:rPr>
              <w:t>Automotive(a)(b)</w:t>
            </w:r>
          </w:p>
        </w:tc>
        <w:tc>
          <w:tcPr>
            <w:tcW w:w="26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1,791</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(779)</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1,012</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1,209</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(392)</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817</w:t>
            </w:r>
          </w:p>
        </w:tc>
        <w:tc>
          <w:tcPr>
            <w:tcW w:w="0" w:type="dxa"/>
            <w:vAlign w:val="bottom"/>
          </w:tcPr>
          <w:p>
            <w:pPr>
              <w:spacing w:after="0"/>
              <w:rPr>
                <w:sz w:val="1"/>
                <w:szCs w:val="1"/>
                <w:color w:val="auto"/>
              </w:rPr>
            </w:pPr>
          </w:p>
        </w:tc>
      </w:tr>
      <w:tr>
        <w:trPr>
          <w:trHeight w:val="97"/>
        </w:trPr>
        <w:tc>
          <w:tcPr>
            <w:tcW w:w="3440" w:type="dxa"/>
            <w:vAlign w:val="bottom"/>
            <w:tcBorders>
              <w:bottom w:val="single" w:sz="8" w:color="CCEEFF"/>
            </w:tcBorders>
            <w:shd w:val="clear" w:color="auto" w:fill="CCEEFF"/>
          </w:tcPr>
          <w:p>
            <w:pPr>
              <w:spacing w:after="0"/>
              <w:rPr>
                <w:sz w:val="8"/>
                <w:szCs w:val="8"/>
                <w:color w:val="auto"/>
              </w:rPr>
            </w:pPr>
          </w:p>
        </w:tc>
        <w:tc>
          <w:tcPr>
            <w:tcW w:w="260" w:type="dxa"/>
            <w:vAlign w:val="bottom"/>
            <w:tcBorders>
              <w:bottom w:val="single" w:sz="8" w:color="CCEEFF"/>
            </w:tcBorders>
            <w:shd w:val="clear" w:color="auto" w:fill="CCEEFF"/>
          </w:tcPr>
          <w:p>
            <w:pPr>
              <w:spacing w:after="0"/>
              <w:rPr>
                <w:sz w:val="8"/>
                <w:szCs w:val="8"/>
                <w:color w:val="auto"/>
              </w:rPr>
            </w:pPr>
          </w:p>
        </w:tc>
        <w:tc>
          <w:tcPr>
            <w:tcW w:w="68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80" w:type="dxa"/>
            <w:vAlign w:val="bottom"/>
            <w:tcBorders>
              <w:bottom w:val="single" w:sz="8" w:color="CCEEFF"/>
            </w:tcBorders>
            <w:shd w:val="clear" w:color="auto" w:fill="CCEEFF"/>
          </w:tcPr>
          <w:p>
            <w:pPr>
              <w:spacing w:after="0"/>
              <w:rPr>
                <w:sz w:val="8"/>
                <w:szCs w:val="8"/>
                <w:color w:val="auto"/>
              </w:rPr>
            </w:pPr>
          </w:p>
        </w:tc>
        <w:tc>
          <w:tcPr>
            <w:tcW w:w="760" w:type="dxa"/>
            <w:vAlign w:val="bottom"/>
            <w:tcBorders>
              <w:bottom w:val="single" w:sz="8" w:color="CCEEFF"/>
            </w:tcBorders>
            <w:gridSpan w:val="2"/>
            <w:vMerge w:val="continue"/>
            <w:shd w:val="clear" w:color="auto" w:fill="CCEEFF"/>
          </w:tcPr>
          <w:p>
            <w:pPr>
              <w:spacing w:after="0"/>
              <w:rPr>
                <w:sz w:val="8"/>
                <w:szCs w:val="8"/>
                <w:color w:val="auto"/>
              </w:rPr>
            </w:pPr>
          </w:p>
        </w:tc>
        <w:tc>
          <w:tcPr>
            <w:tcW w:w="300" w:type="dxa"/>
            <w:vAlign w:val="bottom"/>
            <w:tcBorders>
              <w:bottom w:val="single" w:sz="8" w:color="CCEEFF"/>
            </w:tcBorders>
            <w:shd w:val="clear" w:color="auto" w:fill="CCEEFF"/>
          </w:tcPr>
          <w:p>
            <w:pPr>
              <w:spacing w:after="0"/>
              <w:rPr>
                <w:sz w:val="8"/>
                <w:szCs w:val="8"/>
                <w:color w:val="auto"/>
              </w:rPr>
            </w:pPr>
          </w:p>
        </w:tc>
        <w:tc>
          <w:tcPr>
            <w:tcW w:w="64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60" w:type="dxa"/>
            <w:vAlign w:val="bottom"/>
            <w:tcBorders>
              <w:bottom w:val="single" w:sz="8" w:color="CCEEFF"/>
            </w:tcBorders>
            <w:shd w:val="clear" w:color="auto" w:fill="CCEEFF"/>
          </w:tcPr>
          <w:p>
            <w:pPr>
              <w:spacing w:after="0"/>
              <w:rPr>
                <w:sz w:val="8"/>
                <w:szCs w:val="8"/>
                <w:color w:val="auto"/>
              </w:rPr>
            </w:pPr>
          </w:p>
        </w:tc>
        <w:tc>
          <w:tcPr>
            <w:tcW w:w="68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60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80" w:type="dxa"/>
            <w:vAlign w:val="bottom"/>
            <w:tcBorders>
              <w:bottom w:val="single" w:sz="8" w:color="CCEEFF"/>
            </w:tcBorders>
            <w:shd w:val="clear" w:color="auto" w:fill="CCEEFF"/>
          </w:tcPr>
          <w:p>
            <w:pPr>
              <w:spacing w:after="0"/>
              <w:rPr>
                <w:sz w:val="8"/>
                <w:szCs w:val="8"/>
                <w:color w:val="auto"/>
              </w:rPr>
            </w:pPr>
          </w:p>
        </w:tc>
        <w:tc>
          <w:tcPr>
            <w:tcW w:w="720" w:type="dxa"/>
            <w:vAlign w:val="bottom"/>
            <w:tcBorders>
              <w:bottom w:val="single" w:sz="8" w:color="CCEEFF"/>
            </w:tcBorders>
            <w:gridSpan w:val="2"/>
            <w:vMerge w:val="continue"/>
            <w:shd w:val="clear" w:color="auto" w:fill="CCEEFF"/>
          </w:tcPr>
          <w:p>
            <w:pPr>
              <w:spacing w:after="0"/>
              <w:rPr>
                <w:sz w:val="8"/>
                <w:szCs w:val="8"/>
                <w:color w:val="auto"/>
              </w:rPr>
            </w:pPr>
          </w:p>
        </w:tc>
        <w:tc>
          <w:tcPr>
            <w:tcW w:w="300" w:type="dxa"/>
            <w:vAlign w:val="bottom"/>
            <w:tcBorders>
              <w:bottom w:val="single" w:sz="8" w:color="CCEEFF"/>
            </w:tcBorders>
            <w:shd w:val="clear" w:color="auto" w:fill="CCEEFF"/>
          </w:tcPr>
          <w:p>
            <w:pPr>
              <w:spacing w:after="0"/>
              <w:rPr>
                <w:sz w:val="8"/>
                <w:szCs w:val="8"/>
                <w:color w:val="auto"/>
              </w:rPr>
            </w:pPr>
          </w:p>
        </w:tc>
        <w:tc>
          <w:tcPr>
            <w:tcW w:w="60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40" w:type="dxa"/>
            <w:vAlign w:val="bottom"/>
            <w:tcBorders>
              <w:bottom w:val="single" w:sz="8" w:color="CCEEFF"/>
            </w:tcBorders>
            <w:shd w:val="clear" w:color="auto" w:fill="CCEEFF"/>
          </w:tcPr>
          <w:p>
            <w:pPr>
              <w:spacing w:after="0"/>
              <w:rPr>
                <w:sz w:val="8"/>
                <w:szCs w:val="8"/>
                <w:color w:val="auto"/>
              </w:rPr>
            </w:pPr>
          </w:p>
        </w:tc>
        <w:tc>
          <w:tcPr>
            <w:tcW w:w="66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3440" w:type="dxa"/>
            <w:vAlign w:val="bottom"/>
          </w:tcPr>
          <w:p>
            <w:pPr>
              <w:ind w:left="340"/>
              <w:spacing w:after="0"/>
              <w:rPr>
                <w:sz w:val="20"/>
                <w:szCs w:val="20"/>
                <w:color w:val="auto"/>
              </w:rPr>
            </w:pPr>
            <w:r>
              <w:rPr>
                <w:rFonts w:ascii="Arial" w:cs="Arial" w:eastAsia="Arial" w:hAnsi="Arial"/>
                <w:sz w:val="11"/>
                <w:szCs w:val="11"/>
                <w:color w:val="auto"/>
              </w:rPr>
              <w:t>GM Financial(d)</w:t>
            </w:r>
          </w:p>
        </w:tc>
        <w:tc>
          <w:tcPr>
            <w:tcW w:w="260" w:type="dxa"/>
            <w:vAlign w:val="bottom"/>
          </w:tcPr>
          <w:p>
            <w:pPr>
              <w:spacing w:after="0"/>
              <w:rPr>
                <w:sz w:val="13"/>
                <w:szCs w:val="13"/>
                <w:color w:val="auto"/>
              </w:rPr>
            </w:pPr>
          </w:p>
        </w:tc>
        <w:tc>
          <w:tcPr>
            <w:tcW w:w="800" w:type="dxa"/>
            <w:vAlign w:val="bottom"/>
            <w:gridSpan w:val="2"/>
            <w:vMerge w:val="restart"/>
          </w:tcPr>
          <w:p>
            <w:pPr>
              <w:jc w:val="right"/>
              <w:ind w:right="26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640" w:type="dxa"/>
            <w:vAlign w:val="bottom"/>
            <w:vMerge w:val="restart"/>
          </w:tcPr>
          <w:p>
            <w:pPr>
              <w:jc w:val="right"/>
              <w:ind w:right="66"/>
              <w:spacing w:after="0"/>
              <w:rPr>
                <w:sz w:val="20"/>
                <w:szCs w:val="20"/>
                <w:color w:val="auto"/>
              </w:rPr>
            </w:pPr>
            <w:r>
              <w:rPr>
                <w:rFonts w:ascii="Arial" w:cs="Arial" w:eastAsia="Arial" w:hAnsi="Arial"/>
                <w:sz w:val="11"/>
                <w:szCs w:val="11"/>
                <w:color w:val="auto"/>
              </w:rPr>
              <w:t>24,777</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vMerge w:val="restart"/>
          </w:tcPr>
          <w:p>
            <w:pPr>
              <w:jc w:val="right"/>
              <w:ind w:right="26"/>
              <w:spacing w:after="0"/>
              <w:rPr>
                <w:sz w:val="20"/>
                <w:szCs w:val="20"/>
                <w:color w:val="auto"/>
              </w:rPr>
            </w:pPr>
            <w:r>
              <w:rPr>
                <w:rFonts w:ascii="Arial" w:cs="Arial" w:eastAsia="Arial" w:hAnsi="Arial"/>
                <w:sz w:val="11"/>
                <w:szCs w:val="11"/>
                <w:color w:val="auto"/>
              </w:rPr>
              <w:t>(415)</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vMerge w:val="restart"/>
          </w:tcPr>
          <w:p>
            <w:pPr>
              <w:jc w:val="right"/>
              <w:ind w:right="86"/>
              <w:spacing w:after="0"/>
              <w:rPr>
                <w:sz w:val="20"/>
                <w:szCs w:val="20"/>
                <w:color w:val="auto"/>
              </w:rPr>
            </w:pPr>
            <w:r>
              <w:rPr>
                <w:rFonts w:ascii="Arial" w:cs="Arial" w:eastAsia="Arial" w:hAnsi="Arial"/>
                <w:sz w:val="11"/>
                <w:szCs w:val="11"/>
                <w:color w:val="auto"/>
              </w:rPr>
              <w:t>24,362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vMerge w:val="restart"/>
          </w:tcPr>
          <w:p>
            <w:pPr>
              <w:jc w:val="right"/>
              <w:ind w:right="20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620" w:type="dxa"/>
            <w:vAlign w:val="bottom"/>
            <w:vMerge w:val="restart"/>
          </w:tcPr>
          <w:p>
            <w:pPr>
              <w:jc w:val="right"/>
              <w:ind w:right="46"/>
              <w:spacing w:after="0"/>
              <w:rPr>
                <w:sz w:val="20"/>
                <w:szCs w:val="20"/>
                <w:color w:val="auto"/>
              </w:rPr>
            </w:pPr>
            <w:r>
              <w:rPr>
                <w:rFonts w:ascii="Arial" w:cs="Arial" w:eastAsia="Arial" w:hAnsi="Arial"/>
                <w:sz w:val="11"/>
                <w:szCs w:val="11"/>
                <w:color w:val="auto"/>
              </w:rPr>
              <w:t>18,745</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gridSpan w:val="2"/>
            <w:vMerge w:val="restart"/>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660" w:type="dxa"/>
            <w:vAlign w:val="bottom"/>
            <w:vMerge w:val="restart"/>
          </w:tcPr>
          <w:p>
            <w:pPr>
              <w:jc w:val="right"/>
              <w:ind w:right="46"/>
              <w:spacing w:after="0"/>
              <w:rPr>
                <w:sz w:val="20"/>
                <w:szCs w:val="20"/>
                <w:color w:val="auto"/>
              </w:rPr>
            </w:pPr>
            <w:r>
              <w:rPr>
                <w:rFonts w:ascii="Arial" w:cs="Arial" w:eastAsia="Arial" w:hAnsi="Arial"/>
                <w:sz w:val="11"/>
                <w:szCs w:val="11"/>
                <w:color w:val="auto"/>
              </w:rPr>
              <w:t>18,745</w:t>
            </w:r>
          </w:p>
        </w:tc>
        <w:tc>
          <w:tcPr>
            <w:tcW w:w="0" w:type="dxa"/>
            <w:vAlign w:val="bottom"/>
          </w:tcPr>
          <w:p>
            <w:pPr>
              <w:spacing w:after="0"/>
              <w:rPr>
                <w:sz w:val="1"/>
                <w:szCs w:val="1"/>
                <w:color w:val="auto"/>
              </w:rPr>
            </w:pPr>
          </w:p>
        </w:tc>
      </w:tr>
      <w:tr>
        <w:trPr>
          <w:trHeight w:val="95"/>
        </w:trPr>
        <w:tc>
          <w:tcPr>
            <w:tcW w:w="3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3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4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Accrued liabilities(c)</w:t>
            </w:r>
          </w:p>
        </w:tc>
        <w:tc>
          <w:tcPr>
            <w:tcW w:w="26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26,257</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2,277</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28,533</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26,043</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1,550</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27,593</w:t>
            </w:r>
          </w:p>
        </w:tc>
        <w:tc>
          <w:tcPr>
            <w:tcW w:w="0" w:type="dxa"/>
            <w:vAlign w:val="bottom"/>
          </w:tcPr>
          <w:p>
            <w:pPr>
              <w:spacing w:after="0"/>
              <w:rPr>
                <w:sz w:val="1"/>
                <w:szCs w:val="1"/>
                <w:color w:val="auto"/>
              </w:rPr>
            </w:pPr>
          </w:p>
        </w:tc>
      </w:tr>
      <w:tr>
        <w:trPr>
          <w:trHeight w:val="117"/>
        </w:trPr>
        <w:tc>
          <w:tcPr>
            <w:tcW w:w="3440" w:type="dxa"/>
            <w:vAlign w:val="bottom"/>
            <w:tcBorders>
              <w:bottom w:val="single" w:sz="8" w:color="CCEEFF"/>
            </w:tcBorders>
            <w:shd w:val="clear" w:color="auto" w:fill="CCEEFF"/>
          </w:tcPr>
          <w:p>
            <w:pPr>
              <w:spacing w:after="0"/>
              <w:rPr>
                <w:sz w:val="10"/>
                <w:szCs w:val="10"/>
                <w:color w:val="auto"/>
              </w:rPr>
            </w:pPr>
          </w:p>
        </w:tc>
        <w:tc>
          <w:tcPr>
            <w:tcW w:w="260" w:type="dxa"/>
            <w:vAlign w:val="bottom"/>
            <w:tcBorders>
              <w:bottom w:val="single" w:sz="8" w:color="CCEEFF"/>
            </w:tcBorders>
            <w:shd w:val="clear" w:color="auto" w:fill="CCEEFF"/>
          </w:tcPr>
          <w:p>
            <w:pPr>
              <w:spacing w:after="0"/>
              <w:rPr>
                <w:sz w:val="10"/>
                <w:szCs w:val="10"/>
                <w:color w:val="auto"/>
              </w:rPr>
            </w:pPr>
          </w:p>
        </w:tc>
        <w:tc>
          <w:tcPr>
            <w:tcW w:w="68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28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30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260" w:type="dxa"/>
            <w:vAlign w:val="bottom"/>
            <w:tcBorders>
              <w:bottom w:val="single" w:sz="8" w:color="CCEEFF"/>
            </w:tcBorders>
            <w:shd w:val="clear" w:color="auto" w:fill="CCEEFF"/>
          </w:tcPr>
          <w:p>
            <w:pPr>
              <w:spacing w:after="0"/>
              <w:rPr>
                <w:sz w:val="10"/>
                <w:szCs w:val="10"/>
                <w:color w:val="auto"/>
              </w:rPr>
            </w:pPr>
          </w:p>
        </w:tc>
        <w:tc>
          <w:tcPr>
            <w:tcW w:w="68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60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8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30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gridSpan w:val="2"/>
            <w:vMerge w:val="continue"/>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3440" w:type="dxa"/>
            <w:vAlign w:val="bottom"/>
          </w:tcPr>
          <w:p>
            <w:pPr>
              <w:ind w:left="180"/>
              <w:spacing w:after="0"/>
              <w:rPr>
                <w:sz w:val="20"/>
                <w:szCs w:val="20"/>
                <w:color w:val="auto"/>
              </w:rPr>
            </w:pPr>
            <w:r>
              <w:rPr>
                <w:rFonts w:ascii="Arial" w:cs="Arial" w:eastAsia="Arial" w:hAnsi="Arial"/>
                <w:sz w:val="11"/>
                <w:szCs w:val="11"/>
                <w:color w:val="auto"/>
              </w:rPr>
              <w:t>Total current liabilities</w:t>
            </w:r>
          </w:p>
        </w:tc>
        <w:tc>
          <w:tcPr>
            <w:tcW w:w="2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vMerge w:val="restart"/>
          </w:tcPr>
          <w:p>
            <w:pPr>
              <w:jc w:val="right"/>
              <w:ind w:right="86"/>
              <w:spacing w:after="0"/>
              <w:rPr>
                <w:sz w:val="20"/>
                <w:szCs w:val="20"/>
                <w:color w:val="auto"/>
              </w:rPr>
            </w:pPr>
            <w:r>
              <w:rPr>
                <w:rFonts w:ascii="Arial" w:cs="Arial" w:eastAsia="Arial" w:hAnsi="Arial"/>
                <w:sz w:val="11"/>
                <w:szCs w:val="11"/>
                <w:color w:val="auto"/>
              </w:rPr>
              <w:t>56,700</w:t>
            </w:r>
          </w:p>
        </w:tc>
        <w:tc>
          <w:tcPr>
            <w:tcW w:w="1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vMerge w:val="restart"/>
          </w:tcPr>
          <w:p>
            <w:pPr>
              <w:jc w:val="right"/>
              <w:ind w:right="66"/>
              <w:spacing w:after="0"/>
              <w:rPr>
                <w:sz w:val="20"/>
                <w:szCs w:val="20"/>
                <w:color w:val="auto"/>
              </w:rPr>
            </w:pPr>
            <w:r>
              <w:rPr>
                <w:rFonts w:ascii="Arial" w:cs="Arial" w:eastAsia="Arial" w:hAnsi="Arial"/>
                <w:sz w:val="11"/>
                <w:szCs w:val="11"/>
                <w:color w:val="auto"/>
              </w:rPr>
              <w:t>27,842</w:t>
            </w:r>
          </w:p>
        </w:tc>
        <w:tc>
          <w:tcPr>
            <w:tcW w:w="12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vMerge w:val="restart"/>
          </w:tcPr>
          <w:p>
            <w:pPr>
              <w:jc w:val="right"/>
              <w:ind w:right="26"/>
              <w:spacing w:after="0"/>
              <w:rPr>
                <w:sz w:val="20"/>
                <w:szCs w:val="20"/>
                <w:color w:val="auto"/>
              </w:rPr>
            </w:pPr>
            <w:r>
              <w:rPr>
                <w:rFonts w:ascii="Arial" w:cs="Arial" w:eastAsia="Arial" w:hAnsi="Arial"/>
                <w:sz w:val="11"/>
                <w:szCs w:val="11"/>
                <w:color w:val="auto"/>
              </w:rPr>
              <w:t>(2,007)</w:t>
            </w:r>
          </w:p>
        </w:tc>
        <w:tc>
          <w:tcPr>
            <w:tcW w:w="1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vMerge w:val="restart"/>
          </w:tcPr>
          <w:p>
            <w:pPr>
              <w:jc w:val="right"/>
              <w:ind w:right="86"/>
              <w:spacing w:after="0"/>
              <w:rPr>
                <w:sz w:val="20"/>
                <w:szCs w:val="20"/>
                <w:color w:val="auto"/>
              </w:rPr>
            </w:pPr>
            <w:r>
              <w:rPr>
                <w:rFonts w:ascii="Arial" w:cs="Arial" w:eastAsia="Arial" w:hAnsi="Arial"/>
                <w:sz w:val="11"/>
                <w:szCs w:val="11"/>
                <w:color w:val="auto"/>
              </w:rPr>
              <w:t>82,535</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51,345</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21,035</w:t>
            </w: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vMerge w:val="restart"/>
          </w:tcPr>
          <w:p>
            <w:pPr>
              <w:jc w:val="right"/>
              <w:ind w:right="26"/>
              <w:spacing w:after="0"/>
              <w:rPr>
                <w:sz w:val="20"/>
                <w:szCs w:val="20"/>
                <w:color w:val="auto"/>
              </w:rPr>
            </w:pPr>
            <w:r>
              <w:rPr>
                <w:rFonts w:ascii="Arial" w:cs="Arial" w:eastAsia="Arial" w:hAnsi="Arial"/>
                <w:sz w:val="11"/>
                <w:szCs w:val="11"/>
                <w:color w:val="auto"/>
              </w:rPr>
              <w:t>(1,163)</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71,217</w:t>
            </w:r>
          </w:p>
        </w:tc>
        <w:tc>
          <w:tcPr>
            <w:tcW w:w="0" w:type="dxa"/>
            <w:vAlign w:val="bottom"/>
          </w:tcPr>
          <w:p>
            <w:pPr>
              <w:spacing w:after="0"/>
              <w:rPr>
                <w:sz w:val="1"/>
                <w:szCs w:val="1"/>
                <w:color w:val="auto"/>
              </w:rPr>
            </w:pPr>
          </w:p>
        </w:tc>
      </w:tr>
      <w:tr>
        <w:trPr>
          <w:trHeight w:val="95"/>
        </w:trPr>
        <w:tc>
          <w:tcPr>
            <w:tcW w:w="3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3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44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auto"/>
              </w:rPr>
              <w:t>Non-current Liabilities</w:t>
            </w: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4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3440" w:type="dxa"/>
            <w:vAlign w:val="bottom"/>
          </w:tcPr>
          <w:p>
            <w:pPr>
              <w:ind w:left="180"/>
              <w:spacing w:after="0"/>
              <w:rPr>
                <w:sz w:val="20"/>
                <w:szCs w:val="20"/>
                <w:color w:val="auto"/>
              </w:rPr>
            </w:pPr>
            <w:r>
              <w:rPr>
                <w:rFonts w:ascii="Arial" w:cs="Arial" w:eastAsia="Arial" w:hAnsi="Arial"/>
                <w:sz w:val="11"/>
                <w:szCs w:val="11"/>
                <w:color w:val="auto"/>
              </w:rPr>
              <w:t>Long-term debt</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3440" w:type="dxa"/>
            <w:vAlign w:val="bottom"/>
            <w:shd w:val="clear" w:color="auto" w:fill="CCEEFF"/>
          </w:tcPr>
          <w:p>
            <w:pPr>
              <w:ind w:left="340"/>
              <w:spacing w:after="0"/>
              <w:rPr>
                <w:sz w:val="20"/>
                <w:szCs w:val="20"/>
                <w:color w:val="auto"/>
              </w:rPr>
            </w:pPr>
            <w:r>
              <w:rPr>
                <w:rFonts w:ascii="Arial" w:cs="Arial" w:eastAsia="Arial" w:hAnsi="Arial"/>
                <w:sz w:val="11"/>
                <w:szCs w:val="11"/>
                <w:color w:val="auto"/>
              </w:rPr>
              <w:t>Automotive</w:t>
            </w:r>
          </w:p>
        </w:tc>
        <w:tc>
          <w:tcPr>
            <w:tcW w:w="26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9,740</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9,740</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7,948</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7,948</w:t>
            </w:r>
          </w:p>
        </w:tc>
        <w:tc>
          <w:tcPr>
            <w:tcW w:w="0" w:type="dxa"/>
            <w:vAlign w:val="bottom"/>
          </w:tcPr>
          <w:p>
            <w:pPr>
              <w:spacing w:after="0"/>
              <w:rPr>
                <w:sz w:val="1"/>
                <w:szCs w:val="1"/>
                <w:color w:val="auto"/>
              </w:rPr>
            </w:pPr>
          </w:p>
        </w:tc>
      </w:tr>
      <w:tr>
        <w:trPr>
          <w:trHeight w:val="97"/>
        </w:trPr>
        <w:tc>
          <w:tcPr>
            <w:tcW w:w="3440" w:type="dxa"/>
            <w:vAlign w:val="bottom"/>
            <w:tcBorders>
              <w:bottom w:val="single" w:sz="8" w:color="CCEEFF"/>
            </w:tcBorders>
            <w:shd w:val="clear" w:color="auto" w:fill="CCEEFF"/>
          </w:tcPr>
          <w:p>
            <w:pPr>
              <w:spacing w:after="0"/>
              <w:rPr>
                <w:sz w:val="8"/>
                <w:szCs w:val="8"/>
                <w:color w:val="auto"/>
              </w:rPr>
            </w:pPr>
          </w:p>
        </w:tc>
        <w:tc>
          <w:tcPr>
            <w:tcW w:w="260" w:type="dxa"/>
            <w:vAlign w:val="bottom"/>
            <w:tcBorders>
              <w:bottom w:val="single" w:sz="8" w:color="CCEEFF"/>
            </w:tcBorders>
            <w:shd w:val="clear" w:color="auto" w:fill="CCEEFF"/>
          </w:tcPr>
          <w:p>
            <w:pPr>
              <w:spacing w:after="0"/>
              <w:rPr>
                <w:sz w:val="8"/>
                <w:szCs w:val="8"/>
                <w:color w:val="auto"/>
              </w:rPr>
            </w:pPr>
          </w:p>
        </w:tc>
        <w:tc>
          <w:tcPr>
            <w:tcW w:w="68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80" w:type="dxa"/>
            <w:vAlign w:val="bottom"/>
            <w:tcBorders>
              <w:bottom w:val="single" w:sz="8" w:color="CCEEFF"/>
            </w:tcBorders>
            <w:shd w:val="clear" w:color="auto" w:fill="CCEEFF"/>
          </w:tcPr>
          <w:p>
            <w:pPr>
              <w:spacing w:after="0"/>
              <w:rPr>
                <w:sz w:val="8"/>
                <w:szCs w:val="8"/>
                <w:color w:val="auto"/>
              </w:rPr>
            </w:pPr>
          </w:p>
        </w:tc>
        <w:tc>
          <w:tcPr>
            <w:tcW w:w="760" w:type="dxa"/>
            <w:vAlign w:val="bottom"/>
            <w:tcBorders>
              <w:bottom w:val="single" w:sz="8" w:color="CCEEFF"/>
            </w:tcBorders>
            <w:gridSpan w:val="2"/>
            <w:vMerge w:val="continue"/>
            <w:shd w:val="clear" w:color="auto" w:fill="CCEEFF"/>
          </w:tcPr>
          <w:p>
            <w:pPr>
              <w:spacing w:after="0"/>
              <w:rPr>
                <w:sz w:val="8"/>
                <w:szCs w:val="8"/>
                <w:color w:val="auto"/>
              </w:rPr>
            </w:pPr>
          </w:p>
        </w:tc>
        <w:tc>
          <w:tcPr>
            <w:tcW w:w="300" w:type="dxa"/>
            <w:vAlign w:val="bottom"/>
            <w:tcBorders>
              <w:bottom w:val="single" w:sz="8" w:color="CCEEFF"/>
            </w:tcBorders>
            <w:shd w:val="clear" w:color="auto" w:fill="CCEEFF"/>
          </w:tcPr>
          <w:p>
            <w:pPr>
              <w:spacing w:after="0"/>
              <w:rPr>
                <w:sz w:val="8"/>
                <w:szCs w:val="8"/>
                <w:color w:val="auto"/>
              </w:rPr>
            </w:pPr>
          </w:p>
        </w:tc>
        <w:tc>
          <w:tcPr>
            <w:tcW w:w="760" w:type="dxa"/>
            <w:vAlign w:val="bottom"/>
            <w:tcBorders>
              <w:bottom w:val="single" w:sz="8" w:color="CCEEFF"/>
            </w:tcBorders>
            <w:gridSpan w:val="2"/>
            <w:vMerge w:val="continue"/>
            <w:shd w:val="clear" w:color="auto" w:fill="CCEEFF"/>
          </w:tcPr>
          <w:p>
            <w:pPr>
              <w:spacing w:after="0"/>
              <w:rPr>
                <w:sz w:val="8"/>
                <w:szCs w:val="8"/>
                <w:color w:val="auto"/>
              </w:rPr>
            </w:pPr>
          </w:p>
        </w:tc>
        <w:tc>
          <w:tcPr>
            <w:tcW w:w="260" w:type="dxa"/>
            <w:vAlign w:val="bottom"/>
            <w:tcBorders>
              <w:bottom w:val="single" w:sz="8" w:color="CCEEFF"/>
            </w:tcBorders>
            <w:shd w:val="clear" w:color="auto" w:fill="CCEEFF"/>
          </w:tcPr>
          <w:p>
            <w:pPr>
              <w:spacing w:after="0"/>
              <w:rPr>
                <w:sz w:val="8"/>
                <w:szCs w:val="8"/>
                <w:color w:val="auto"/>
              </w:rPr>
            </w:pPr>
          </w:p>
        </w:tc>
        <w:tc>
          <w:tcPr>
            <w:tcW w:w="68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60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80" w:type="dxa"/>
            <w:vAlign w:val="bottom"/>
            <w:tcBorders>
              <w:bottom w:val="single" w:sz="8" w:color="CCEEFF"/>
            </w:tcBorders>
            <w:shd w:val="clear" w:color="auto" w:fill="CCEEFF"/>
          </w:tcPr>
          <w:p>
            <w:pPr>
              <w:spacing w:after="0"/>
              <w:rPr>
                <w:sz w:val="8"/>
                <w:szCs w:val="8"/>
                <w:color w:val="auto"/>
              </w:rPr>
            </w:pPr>
          </w:p>
        </w:tc>
        <w:tc>
          <w:tcPr>
            <w:tcW w:w="720" w:type="dxa"/>
            <w:vAlign w:val="bottom"/>
            <w:tcBorders>
              <w:bottom w:val="single" w:sz="8" w:color="CCEEFF"/>
            </w:tcBorders>
            <w:gridSpan w:val="2"/>
            <w:vMerge w:val="continue"/>
            <w:shd w:val="clear" w:color="auto" w:fill="CCEEFF"/>
          </w:tcPr>
          <w:p>
            <w:pPr>
              <w:spacing w:after="0"/>
              <w:rPr>
                <w:sz w:val="8"/>
                <w:szCs w:val="8"/>
                <w:color w:val="auto"/>
              </w:rPr>
            </w:pPr>
          </w:p>
        </w:tc>
        <w:tc>
          <w:tcPr>
            <w:tcW w:w="300" w:type="dxa"/>
            <w:vAlign w:val="bottom"/>
            <w:tcBorders>
              <w:bottom w:val="single" w:sz="8" w:color="CCEEFF"/>
            </w:tcBorders>
            <w:shd w:val="clear" w:color="auto" w:fill="CCEEFF"/>
          </w:tcPr>
          <w:p>
            <w:pPr>
              <w:spacing w:after="0"/>
              <w:rPr>
                <w:sz w:val="8"/>
                <w:szCs w:val="8"/>
                <w:color w:val="auto"/>
              </w:rPr>
            </w:pPr>
          </w:p>
        </w:tc>
        <w:tc>
          <w:tcPr>
            <w:tcW w:w="700" w:type="dxa"/>
            <w:vAlign w:val="bottom"/>
            <w:tcBorders>
              <w:bottom w:val="single" w:sz="8" w:color="CCEEFF"/>
            </w:tcBorders>
            <w:gridSpan w:val="2"/>
            <w:vMerge w:val="continue"/>
            <w:shd w:val="clear" w:color="auto" w:fill="CCEEFF"/>
          </w:tcPr>
          <w:p>
            <w:pPr>
              <w:spacing w:after="0"/>
              <w:rPr>
                <w:sz w:val="8"/>
                <w:szCs w:val="8"/>
                <w:color w:val="auto"/>
              </w:rPr>
            </w:pPr>
          </w:p>
        </w:tc>
        <w:tc>
          <w:tcPr>
            <w:tcW w:w="240" w:type="dxa"/>
            <w:vAlign w:val="bottom"/>
            <w:tcBorders>
              <w:bottom w:val="single" w:sz="8" w:color="CCEEFF"/>
            </w:tcBorders>
            <w:shd w:val="clear" w:color="auto" w:fill="CCEEFF"/>
          </w:tcPr>
          <w:p>
            <w:pPr>
              <w:spacing w:after="0"/>
              <w:rPr>
                <w:sz w:val="8"/>
                <w:szCs w:val="8"/>
                <w:color w:val="auto"/>
              </w:rPr>
            </w:pPr>
          </w:p>
        </w:tc>
        <w:tc>
          <w:tcPr>
            <w:tcW w:w="66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3440" w:type="dxa"/>
            <w:vAlign w:val="bottom"/>
          </w:tcPr>
          <w:p>
            <w:pPr>
              <w:ind w:left="340"/>
              <w:spacing w:after="0"/>
              <w:rPr>
                <w:sz w:val="20"/>
                <w:szCs w:val="20"/>
                <w:color w:val="auto"/>
              </w:rPr>
            </w:pPr>
            <w:r>
              <w:rPr>
                <w:rFonts w:ascii="Arial" w:cs="Arial" w:eastAsia="Arial" w:hAnsi="Arial"/>
                <w:sz w:val="11"/>
                <w:szCs w:val="11"/>
                <w:color w:val="auto"/>
              </w:rPr>
              <w:t>GM Financial</w:t>
            </w:r>
          </w:p>
        </w:tc>
        <w:tc>
          <w:tcPr>
            <w:tcW w:w="260" w:type="dxa"/>
            <w:vAlign w:val="bottom"/>
          </w:tcPr>
          <w:p>
            <w:pPr>
              <w:spacing w:after="0"/>
              <w:rPr>
                <w:sz w:val="13"/>
                <w:szCs w:val="13"/>
                <w:color w:val="auto"/>
              </w:rPr>
            </w:pPr>
          </w:p>
        </w:tc>
        <w:tc>
          <w:tcPr>
            <w:tcW w:w="800" w:type="dxa"/>
            <w:vAlign w:val="bottom"/>
            <w:gridSpan w:val="2"/>
            <w:vMerge w:val="restart"/>
          </w:tcPr>
          <w:p>
            <w:pPr>
              <w:jc w:val="right"/>
              <w:ind w:right="26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640" w:type="dxa"/>
            <w:vAlign w:val="bottom"/>
            <w:vMerge w:val="restart"/>
          </w:tcPr>
          <w:p>
            <w:pPr>
              <w:jc w:val="right"/>
              <w:ind w:right="66"/>
              <w:spacing w:after="0"/>
              <w:rPr>
                <w:sz w:val="20"/>
                <w:szCs w:val="20"/>
                <w:color w:val="auto"/>
              </w:rPr>
            </w:pPr>
            <w:r>
              <w:rPr>
                <w:rFonts w:ascii="Arial" w:cs="Arial" w:eastAsia="Arial" w:hAnsi="Arial"/>
                <w:sz w:val="11"/>
                <w:szCs w:val="11"/>
                <w:color w:val="auto"/>
              </w:rPr>
              <w:t>43,986</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gridSpan w:val="2"/>
            <w:vMerge w:val="restart"/>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680" w:type="dxa"/>
            <w:vAlign w:val="bottom"/>
            <w:vMerge w:val="restart"/>
          </w:tcPr>
          <w:p>
            <w:pPr>
              <w:jc w:val="right"/>
              <w:ind w:right="86"/>
              <w:spacing w:after="0"/>
              <w:rPr>
                <w:sz w:val="20"/>
                <w:szCs w:val="20"/>
                <w:color w:val="auto"/>
              </w:rPr>
            </w:pPr>
            <w:r>
              <w:rPr>
                <w:rFonts w:ascii="Arial" w:cs="Arial" w:eastAsia="Arial" w:hAnsi="Arial"/>
                <w:sz w:val="11"/>
                <w:szCs w:val="11"/>
                <w:color w:val="auto"/>
              </w:rPr>
              <w:t>43,986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vMerge w:val="restart"/>
          </w:tcPr>
          <w:p>
            <w:pPr>
              <w:jc w:val="right"/>
              <w:ind w:right="20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620" w:type="dxa"/>
            <w:vAlign w:val="bottom"/>
            <w:vMerge w:val="restart"/>
          </w:tcPr>
          <w:p>
            <w:pPr>
              <w:jc w:val="right"/>
              <w:ind w:right="46"/>
              <w:spacing w:after="0"/>
              <w:rPr>
                <w:sz w:val="20"/>
                <w:szCs w:val="20"/>
                <w:color w:val="auto"/>
              </w:rPr>
            </w:pPr>
            <w:r>
              <w:rPr>
                <w:rFonts w:ascii="Arial" w:cs="Arial" w:eastAsia="Arial" w:hAnsi="Arial"/>
                <w:sz w:val="11"/>
                <w:szCs w:val="11"/>
                <w:color w:val="auto"/>
              </w:rPr>
              <w:t>35,601</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gridSpan w:val="2"/>
            <w:vMerge w:val="restart"/>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660" w:type="dxa"/>
            <w:vAlign w:val="bottom"/>
            <w:vMerge w:val="restart"/>
          </w:tcPr>
          <w:p>
            <w:pPr>
              <w:jc w:val="right"/>
              <w:ind w:right="46"/>
              <w:spacing w:after="0"/>
              <w:rPr>
                <w:sz w:val="20"/>
                <w:szCs w:val="20"/>
                <w:color w:val="auto"/>
              </w:rPr>
            </w:pPr>
            <w:r>
              <w:rPr>
                <w:rFonts w:ascii="Arial" w:cs="Arial" w:eastAsia="Arial" w:hAnsi="Arial"/>
                <w:sz w:val="11"/>
                <w:szCs w:val="11"/>
                <w:color w:val="auto"/>
              </w:rPr>
              <w:t>35,601</w:t>
            </w:r>
          </w:p>
        </w:tc>
        <w:tc>
          <w:tcPr>
            <w:tcW w:w="0" w:type="dxa"/>
            <w:vAlign w:val="bottom"/>
          </w:tcPr>
          <w:p>
            <w:pPr>
              <w:spacing w:after="0"/>
              <w:rPr>
                <w:sz w:val="1"/>
                <w:szCs w:val="1"/>
                <w:color w:val="auto"/>
              </w:rPr>
            </w:pPr>
          </w:p>
        </w:tc>
      </w:tr>
      <w:tr>
        <w:trPr>
          <w:trHeight w:val="95"/>
        </w:trPr>
        <w:tc>
          <w:tcPr>
            <w:tcW w:w="3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3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4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Postretirement benefits other than pensions</w:t>
            </w:r>
          </w:p>
        </w:tc>
        <w:tc>
          <w:tcPr>
            <w:tcW w:w="26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5,621</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5,621</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5,685</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5,685</w:t>
            </w:r>
          </w:p>
        </w:tc>
        <w:tc>
          <w:tcPr>
            <w:tcW w:w="0" w:type="dxa"/>
            <w:vAlign w:val="bottom"/>
          </w:tcPr>
          <w:p>
            <w:pPr>
              <w:spacing w:after="0"/>
              <w:rPr>
                <w:sz w:val="1"/>
                <w:szCs w:val="1"/>
                <w:color w:val="auto"/>
              </w:rPr>
            </w:pPr>
          </w:p>
        </w:tc>
      </w:tr>
      <w:tr>
        <w:trPr>
          <w:trHeight w:val="97"/>
        </w:trPr>
        <w:tc>
          <w:tcPr>
            <w:tcW w:w="3440" w:type="dxa"/>
            <w:vAlign w:val="bottom"/>
            <w:tcBorders>
              <w:bottom w:val="single" w:sz="8" w:color="CCEEFF"/>
            </w:tcBorders>
            <w:shd w:val="clear" w:color="auto" w:fill="CCEEFF"/>
          </w:tcPr>
          <w:p>
            <w:pPr>
              <w:spacing w:after="0"/>
              <w:rPr>
                <w:sz w:val="8"/>
                <w:szCs w:val="8"/>
                <w:color w:val="auto"/>
              </w:rPr>
            </w:pPr>
          </w:p>
        </w:tc>
        <w:tc>
          <w:tcPr>
            <w:tcW w:w="260" w:type="dxa"/>
            <w:vAlign w:val="bottom"/>
            <w:tcBorders>
              <w:bottom w:val="single" w:sz="8" w:color="CCEEFF"/>
            </w:tcBorders>
            <w:shd w:val="clear" w:color="auto" w:fill="CCEEFF"/>
          </w:tcPr>
          <w:p>
            <w:pPr>
              <w:spacing w:after="0"/>
              <w:rPr>
                <w:sz w:val="8"/>
                <w:szCs w:val="8"/>
                <w:color w:val="auto"/>
              </w:rPr>
            </w:pPr>
          </w:p>
        </w:tc>
        <w:tc>
          <w:tcPr>
            <w:tcW w:w="68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80" w:type="dxa"/>
            <w:vAlign w:val="bottom"/>
            <w:tcBorders>
              <w:bottom w:val="single" w:sz="8" w:color="CCEEFF"/>
            </w:tcBorders>
            <w:shd w:val="clear" w:color="auto" w:fill="CCEEFF"/>
          </w:tcPr>
          <w:p>
            <w:pPr>
              <w:spacing w:after="0"/>
              <w:rPr>
                <w:sz w:val="8"/>
                <w:szCs w:val="8"/>
                <w:color w:val="auto"/>
              </w:rPr>
            </w:pPr>
          </w:p>
        </w:tc>
        <w:tc>
          <w:tcPr>
            <w:tcW w:w="760" w:type="dxa"/>
            <w:vAlign w:val="bottom"/>
            <w:tcBorders>
              <w:bottom w:val="single" w:sz="8" w:color="CCEEFF"/>
            </w:tcBorders>
            <w:gridSpan w:val="2"/>
            <w:vMerge w:val="continue"/>
            <w:shd w:val="clear" w:color="auto" w:fill="CCEEFF"/>
          </w:tcPr>
          <w:p>
            <w:pPr>
              <w:spacing w:after="0"/>
              <w:rPr>
                <w:sz w:val="8"/>
                <w:szCs w:val="8"/>
                <w:color w:val="auto"/>
              </w:rPr>
            </w:pPr>
          </w:p>
        </w:tc>
        <w:tc>
          <w:tcPr>
            <w:tcW w:w="300" w:type="dxa"/>
            <w:vAlign w:val="bottom"/>
            <w:tcBorders>
              <w:bottom w:val="single" w:sz="8" w:color="CCEEFF"/>
            </w:tcBorders>
            <w:shd w:val="clear" w:color="auto" w:fill="CCEEFF"/>
          </w:tcPr>
          <w:p>
            <w:pPr>
              <w:spacing w:after="0"/>
              <w:rPr>
                <w:sz w:val="8"/>
                <w:szCs w:val="8"/>
                <w:color w:val="auto"/>
              </w:rPr>
            </w:pPr>
          </w:p>
        </w:tc>
        <w:tc>
          <w:tcPr>
            <w:tcW w:w="760" w:type="dxa"/>
            <w:vAlign w:val="bottom"/>
            <w:tcBorders>
              <w:bottom w:val="single" w:sz="8" w:color="CCEEFF"/>
            </w:tcBorders>
            <w:gridSpan w:val="2"/>
            <w:vMerge w:val="continue"/>
            <w:shd w:val="clear" w:color="auto" w:fill="CCEEFF"/>
          </w:tcPr>
          <w:p>
            <w:pPr>
              <w:spacing w:after="0"/>
              <w:rPr>
                <w:sz w:val="8"/>
                <w:szCs w:val="8"/>
                <w:color w:val="auto"/>
              </w:rPr>
            </w:pPr>
          </w:p>
        </w:tc>
        <w:tc>
          <w:tcPr>
            <w:tcW w:w="260" w:type="dxa"/>
            <w:vAlign w:val="bottom"/>
            <w:tcBorders>
              <w:bottom w:val="single" w:sz="8" w:color="CCEEFF"/>
            </w:tcBorders>
            <w:shd w:val="clear" w:color="auto" w:fill="CCEEFF"/>
          </w:tcPr>
          <w:p>
            <w:pPr>
              <w:spacing w:after="0"/>
              <w:rPr>
                <w:sz w:val="8"/>
                <w:szCs w:val="8"/>
                <w:color w:val="auto"/>
              </w:rPr>
            </w:pPr>
          </w:p>
        </w:tc>
        <w:tc>
          <w:tcPr>
            <w:tcW w:w="68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60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80" w:type="dxa"/>
            <w:vAlign w:val="bottom"/>
            <w:tcBorders>
              <w:bottom w:val="single" w:sz="8" w:color="CCEEFF"/>
            </w:tcBorders>
            <w:shd w:val="clear" w:color="auto" w:fill="CCEEFF"/>
          </w:tcPr>
          <w:p>
            <w:pPr>
              <w:spacing w:after="0"/>
              <w:rPr>
                <w:sz w:val="8"/>
                <w:szCs w:val="8"/>
                <w:color w:val="auto"/>
              </w:rPr>
            </w:pPr>
          </w:p>
        </w:tc>
        <w:tc>
          <w:tcPr>
            <w:tcW w:w="720" w:type="dxa"/>
            <w:vAlign w:val="bottom"/>
            <w:tcBorders>
              <w:bottom w:val="single" w:sz="8" w:color="CCEEFF"/>
            </w:tcBorders>
            <w:gridSpan w:val="2"/>
            <w:vMerge w:val="continue"/>
            <w:shd w:val="clear" w:color="auto" w:fill="CCEEFF"/>
          </w:tcPr>
          <w:p>
            <w:pPr>
              <w:spacing w:after="0"/>
              <w:rPr>
                <w:sz w:val="8"/>
                <w:szCs w:val="8"/>
                <w:color w:val="auto"/>
              </w:rPr>
            </w:pPr>
          </w:p>
        </w:tc>
        <w:tc>
          <w:tcPr>
            <w:tcW w:w="300" w:type="dxa"/>
            <w:vAlign w:val="bottom"/>
            <w:tcBorders>
              <w:bottom w:val="single" w:sz="8" w:color="CCEEFF"/>
            </w:tcBorders>
            <w:shd w:val="clear" w:color="auto" w:fill="CCEEFF"/>
          </w:tcPr>
          <w:p>
            <w:pPr>
              <w:spacing w:after="0"/>
              <w:rPr>
                <w:sz w:val="8"/>
                <w:szCs w:val="8"/>
                <w:color w:val="auto"/>
              </w:rPr>
            </w:pPr>
          </w:p>
        </w:tc>
        <w:tc>
          <w:tcPr>
            <w:tcW w:w="700" w:type="dxa"/>
            <w:vAlign w:val="bottom"/>
            <w:tcBorders>
              <w:bottom w:val="single" w:sz="8" w:color="CCEEFF"/>
            </w:tcBorders>
            <w:gridSpan w:val="2"/>
            <w:vMerge w:val="continue"/>
            <w:shd w:val="clear" w:color="auto" w:fill="CCEEFF"/>
          </w:tcPr>
          <w:p>
            <w:pPr>
              <w:spacing w:after="0"/>
              <w:rPr>
                <w:sz w:val="8"/>
                <w:szCs w:val="8"/>
                <w:color w:val="auto"/>
              </w:rPr>
            </w:pPr>
          </w:p>
        </w:tc>
        <w:tc>
          <w:tcPr>
            <w:tcW w:w="240" w:type="dxa"/>
            <w:vAlign w:val="bottom"/>
            <w:tcBorders>
              <w:bottom w:val="single" w:sz="8" w:color="CCEEFF"/>
            </w:tcBorders>
            <w:shd w:val="clear" w:color="auto" w:fill="CCEEFF"/>
          </w:tcPr>
          <w:p>
            <w:pPr>
              <w:spacing w:after="0"/>
              <w:rPr>
                <w:sz w:val="8"/>
                <w:szCs w:val="8"/>
                <w:color w:val="auto"/>
              </w:rPr>
            </w:pPr>
          </w:p>
        </w:tc>
        <w:tc>
          <w:tcPr>
            <w:tcW w:w="66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3440" w:type="dxa"/>
            <w:vAlign w:val="bottom"/>
          </w:tcPr>
          <w:p>
            <w:pPr>
              <w:ind w:left="180"/>
              <w:spacing w:after="0"/>
              <w:rPr>
                <w:sz w:val="20"/>
                <w:szCs w:val="20"/>
                <w:color w:val="auto"/>
              </w:rPr>
            </w:pPr>
            <w:r>
              <w:rPr>
                <w:rFonts w:ascii="Arial" w:cs="Arial" w:eastAsia="Arial" w:hAnsi="Arial"/>
                <w:sz w:val="11"/>
                <w:szCs w:val="11"/>
                <w:color w:val="auto"/>
              </w:rPr>
              <w:t>Pensions</w:t>
            </w:r>
          </w:p>
        </w:tc>
        <w:tc>
          <w:tcPr>
            <w:tcW w:w="260" w:type="dxa"/>
            <w:vAlign w:val="bottom"/>
          </w:tcPr>
          <w:p>
            <w:pPr>
              <w:spacing w:after="0"/>
              <w:rPr>
                <w:sz w:val="13"/>
                <w:szCs w:val="13"/>
                <w:color w:val="auto"/>
              </w:rPr>
            </w:pPr>
          </w:p>
        </w:tc>
        <w:tc>
          <w:tcPr>
            <w:tcW w:w="680" w:type="dxa"/>
            <w:vAlign w:val="bottom"/>
            <w:vMerge w:val="restart"/>
          </w:tcPr>
          <w:p>
            <w:pPr>
              <w:jc w:val="right"/>
              <w:ind w:right="86"/>
              <w:spacing w:after="0"/>
              <w:rPr>
                <w:sz w:val="20"/>
                <w:szCs w:val="20"/>
                <w:color w:val="auto"/>
              </w:rPr>
            </w:pPr>
            <w:r>
              <w:rPr>
                <w:rFonts w:ascii="Arial" w:cs="Arial" w:eastAsia="Arial" w:hAnsi="Arial"/>
                <w:sz w:val="11"/>
                <w:szCs w:val="11"/>
                <w:color w:val="auto"/>
              </w:rPr>
              <w:t>17,485</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vMerge w:val="restart"/>
          </w:tcPr>
          <w:p>
            <w:pPr>
              <w:jc w:val="right"/>
              <w:ind w:right="66"/>
              <w:spacing w:after="0"/>
              <w:rPr>
                <w:sz w:val="20"/>
                <w:szCs w:val="20"/>
                <w:color w:val="auto"/>
              </w:rPr>
            </w:pPr>
            <w:r>
              <w:rPr>
                <w:rFonts w:ascii="Arial" w:cs="Arial" w:eastAsia="Arial" w:hAnsi="Arial"/>
                <w:sz w:val="11"/>
                <w:szCs w:val="11"/>
                <w:color w:val="auto"/>
              </w:rPr>
              <w:t>110</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gridSpan w:val="2"/>
            <w:vMerge w:val="restart"/>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680" w:type="dxa"/>
            <w:vAlign w:val="bottom"/>
            <w:vMerge w:val="restart"/>
          </w:tcPr>
          <w:p>
            <w:pPr>
              <w:jc w:val="right"/>
              <w:ind w:right="86"/>
              <w:spacing w:after="0"/>
              <w:rPr>
                <w:sz w:val="20"/>
                <w:szCs w:val="20"/>
                <w:color w:val="auto"/>
              </w:rPr>
            </w:pPr>
            <w:r>
              <w:rPr>
                <w:rFonts w:ascii="Arial" w:cs="Arial" w:eastAsia="Arial" w:hAnsi="Arial"/>
                <w:sz w:val="11"/>
                <w:szCs w:val="11"/>
                <w:color w:val="auto"/>
              </w:rPr>
              <w:t>17,595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vMerge w:val="restart"/>
          </w:tcPr>
          <w:p>
            <w:pPr>
              <w:jc w:val="right"/>
              <w:ind w:right="46"/>
              <w:spacing w:after="0"/>
              <w:rPr>
                <w:sz w:val="20"/>
                <w:szCs w:val="20"/>
                <w:color w:val="auto"/>
              </w:rPr>
            </w:pPr>
            <w:r>
              <w:rPr>
                <w:rFonts w:ascii="Arial" w:cs="Arial" w:eastAsia="Arial" w:hAnsi="Arial"/>
                <w:sz w:val="11"/>
                <w:szCs w:val="11"/>
                <w:color w:val="auto"/>
              </w:rPr>
              <w:t>20,804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vMerge w:val="restart"/>
          </w:tcPr>
          <w:p>
            <w:pPr>
              <w:jc w:val="right"/>
              <w:ind w:right="46"/>
              <w:spacing w:after="0"/>
              <w:rPr>
                <w:sz w:val="20"/>
                <w:szCs w:val="20"/>
                <w:color w:val="auto"/>
              </w:rPr>
            </w:pPr>
            <w:r>
              <w:rPr>
                <w:rFonts w:ascii="Arial" w:cs="Arial" w:eastAsia="Arial" w:hAnsi="Arial"/>
                <w:sz w:val="11"/>
                <w:szCs w:val="11"/>
                <w:color w:val="auto"/>
              </w:rPr>
              <w:t>107</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gridSpan w:val="2"/>
            <w:vMerge w:val="restart"/>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660" w:type="dxa"/>
            <w:vAlign w:val="bottom"/>
            <w:vMerge w:val="restart"/>
          </w:tcPr>
          <w:p>
            <w:pPr>
              <w:jc w:val="right"/>
              <w:ind w:right="46"/>
              <w:spacing w:after="0"/>
              <w:rPr>
                <w:sz w:val="20"/>
                <w:szCs w:val="20"/>
                <w:color w:val="auto"/>
              </w:rPr>
            </w:pPr>
            <w:r>
              <w:rPr>
                <w:rFonts w:ascii="Arial" w:cs="Arial" w:eastAsia="Arial" w:hAnsi="Arial"/>
                <w:sz w:val="11"/>
                <w:szCs w:val="11"/>
                <w:color w:val="auto"/>
              </w:rPr>
              <w:t>20,911</w:t>
            </w:r>
          </w:p>
        </w:tc>
        <w:tc>
          <w:tcPr>
            <w:tcW w:w="0" w:type="dxa"/>
            <w:vAlign w:val="bottom"/>
          </w:tcPr>
          <w:p>
            <w:pPr>
              <w:spacing w:after="0"/>
              <w:rPr>
                <w:sz w:val="1"/>
                <w:szCs w:val="1"/>
                <w:color w:val="auto"/>
              </w:rPr>
            </w:pPr>
          </w:p>
        </w:tc>
      </w:tr>
      <w:tr>
        <w:trPr>
          <w:trHeight w:val="95"/>
        </w:trPr>
        <w:tc>
          <w:tcPr>
            <w:tcW w:w="3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3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4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Other liabilities(c)</w:t>
            </w:r>
          </w:p>
        </w:tc>
        <w:tc>
          <w:tcPr>
            <w:tcW w:w="26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11,774</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1,310</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13,084</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11,627</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1,027</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12,653</w:t>
            </w:r>
          </w:p>
        </w:tc>
        <w:tc>
          <w:tcPr>
            <w:tcW w:w="0" w:type="dxa"/>
            <w:vAlign w:val="bottom"/>
          </w:tcPr>
          <w:p>
            <w:pPr>
              <w:spacing w:after="0"/>
              <w:rPr>
                <w:sz w:val="1"/>
                <w:szCs w:val="1"/>
                <w:color w:val="auto"/>
              </w:rPr>
            </w:pPr>
          </w:p>
        </w:tc>
      </w:tr>
      <w:tr>
        <w:trPr>
          <w:trHeight w:val="117"/>
        </w:trPr>
        <w:tc>
          <w:tcPr>
            <w:tcW w:w="3440" w:type="dxa"/>
            <w:vAlign w:val="bottom"/>
            <w:tcBorders>
              <w:bottom w:val="single" w:sz="8" w:color="CCEEFF"/>
            </w:tcBorders>
            <w:shd w:val="clear" w:color="auto" w:fill="CCEEFF"/>
          </w:tcPr>
          <w:p>
            <w:pPr>
              <w:spacing w:after="0"/>
              <w:rPr>
                <w:sz w:val="10"/>
                <w:szCs w:val="10"/>
                <w:color w:val="auto"/>
              </w:rPr>
            </w:pPr>
          </w:p>
        </w:tc>
        <w:tc>
          <w:tcPr>
            <w:tcW w:w="260" w:type="dxa"/>
            <w:vAlign w:val="bottom"/>
            <w:tcBorders>
              <w:bottom w:val="single" w:sz="8" w:color="CCEEFF"/>
            </w:tcBorders>
            <w:shd w:val="clear" w:color="auto" w:fill="CCEEFF"/>
          </w:tcPr>
          <w:p>
            <w:pPr>
              <w:spacing w:after="0"/>
              <w:rPr>
                <w:sz w:val="10"/>
                <w:szCs w:val="10"/>
                <w:color w:val="auto"/>
              </w:rPr>
            </w:pPr>
          </w:p>
        </w:tc>
        <w:tc>
          <w:tcPr>
            <w:tcW w:w="68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28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300" w:type="dxa"/>
            <w:vAlign w:val="bottom"/>
            <w:tcBorders>
              <w:bottom w:val="single" w:sz="8" w:color="CCEEFF"/>
            </w:tcBorders>
            <w:shd w:val="clear" w:color="auto" w:fill="CCEEFF"/>
          </w:tcPr>
          <w:p>
            <w:pPr>
              <w:spacing w:after="0"/>
              <w:rPr>
                <w:sz w:val="10"/>
                <w:szCs w:val="10"/>
                <w:color w:val="auto"/>
              </w:rPr>
            </w:pPr>
          </w:p>
        </w:tc>
        <w:tc>
          <w:tcPr>
            <w:tcW w:w="760" w:type="dxa"/>
            <w:vAlign w:val="bottom"/>
            <w:tcBorders>
              <w:bottom w:val="single" w:sz="8" w:color="CCEEFF"/>
            </w:tcBorders>
            <w:gridSpan w:val="2"/>
            <w:vMerge w:val="continue"/>
            <w:shd w:val="clear" w:color="auto" w:fill="CCEEFF"/>
          </w:tcPr>
          <w:p>
            <w:pPr>
              <w:spacing w:after="0"/>
              <w:rPr>
                <w:sz w:val="10"/>
                <w:szCs w:val="10"/>
                <w:color w:val="auto"/>
              </w:rPr>
            </w:pPr>
          </w:p>
        </w:tc>
        <w:tc>
          <w:tcPr>
            <w:tcW w:w="260" w:type="dxa"/>
            <w:vAlign w:val="bottom"/>
            <w:tcBorders>
              <w:bottom w:val="single" w:sz="8" w:color="CCEEFF"/>
            </w:tcBorders>
            <w:shd w:val="clear" w:color="auto" w:fill="CCEEFF"/>
          </w:tcPr>
          <w:p>
            <w:pPr>
              <w:spacing w:after="0"/>
              <w:rPr>
                <w:sz w:val="10"/>
                <w:szCs w:val="10"/>
                <w:color w:val="auto"/>
              </w:rPr>
            </w:pPr>
          </w:p>
        </w:tc>
        <w:tc>
          <w:tcPr>
            <w:tcW w:w="68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60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8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300" w:type="dxa"/>
            <w:vAlign w:val="bottom"/>
            <w:tcBorders>
              <w:bottom w:val="single" w:sz="8" w:color="CCEEFF"/>
            </w:tcBorders>
            <w:shd w:val="clear" w:color="auto" w:fill="CCEEFF"/>
          </w:tcPr>
          <w:p>
            <w:pPr>
              <w:spacing w:after="0"/>
              <w:rPr>
                <w:sz w:val="10"/>
                <w:szCs w:val="10"/>
                <w:color w:val="auto"/>
              </w:rPr>
            </w:pPr>
          </w:p>
        </w:tc>
        <w:tc>
          <w:tcPr>
            <w:tcW w:w="60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3440" w:type="dxa"/>
            <w:vAlign w:val="bottom"/>
          </w:tcPr>
          <w:p>
            <w:pPr>
              <w:ind w:left="180"/>
              <w:spacing w:after="0"/>
              <w:rPr>
                <w:sz w:val="20"/>
                <w:szCs w:val="20"/>
                <w:color w:val="auto"/>
              </w:rPr>
            </w:pPr>
            <w:r>
              <w:rPr>
                <w:rFonts w:ascii="Arial" w:cs="Arial" w:eastAsia="Arial" w:hAnsi="Arial"/>
                <w:sz w:val="11"/>
                <w:szCs w:val="11"/>
                <w:color w:val="auto"/>
              </w:rPr>
              <w:t>Total non-current liabilities</w:t>
            </w:r>
          </w:p>
        </w:tc>
        <w:tc>
          <w:tcPr>
            <w:tcW w:w="2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vMerge w:val="restart"/>
          </w:tcPr>
          <w:p>
            <w:pPr>
              <w:jc w:val="right"/>
              <w:ind w:right="86"/>
              <w:spacing w:after="0"/>
              <w:rPr>
                <w:sz w:val="20"/>
                <w:szCs w:val="20"/>
                <w:color w:val="auto"/>
              </w:rPr>
            </w:pPr>
            <w:r>
              <w:rPr>
                <w:rFonts w:ascii="Arial" w:cs="Arial" w:eastAsia="Arial" w:hAnsi="Arial"/>
                <w:sz w:val="11"/>
                <w:szCs w:val="11"/>
                <w:color w:val="auto"/>
              </w:rPr>
              <w:t>44,620</w:t>
            </w:r>
          </w:p>
        </w:tc>
        <w:tc>
          <w:tcPr>
            <w:tcW w:w="1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vMerge w:val="restart"/>
          </w:tcPr>
          <w:p>
            <w:pPr>
              <w:jc w:val="right"/>
              <w:ind w:right="66"/>
              <w:spacing w:after="0"/>
              <w:rPr>
                <w:sz w:val="20"/>
                <w:szCs w:val="20"/>
                <w:color w:val="auto"/>
              </w:rPr>
            </w:pPr>
            <w:r>
              <w:rPr>
                <w:rFonts w:ascii="Arial" w:cs="Arial" w:eastAsia="Arial" w:hAnsi="Arial"/>
                <w:sz w:val="11"/>
                <w:szCs w:val="11"/>
                <w:color w:val="auto"/>
              </w:rPr>
              <w:t>45,406</w:t>
            </w:r>
          </w:p>
        </w:tc>
        <w:tc>
          <w:tcPr>
            <w:tcW w:w="12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vMerge w:val="restart"/>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vMerge w:val="restart"/>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vMerge w:val="restart"/>
          </w:tcPr>
          <w:p>
            <w:pPr>
              <w:jc w:val="right"/>
              <w:ind w:right="86"/>
              <w:spacing w:after="0"/>
              <w:rPr>
                <w:sz w:val="20"/>
                <w:szCs w:val="20"/>
                <w:color w:val="auto"/>
              </w:rPr>
            </w:pPr>
            <w:r>
              <w:rPr>
                <w:rFonts w:ascii="Arial" w:cs="Arial" w:eastAsia="Arial" w:hAnsi="Arial"/>
                <w:sz w:val="11"/>
                <w:szCs w:val="11"/>
                <w:color w:val="auto"/>
              </w:rPr>
              <w:t>90,026</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46,064</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36,735</w:t>
            </w: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vMerge w:val="restart"/>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82,798</w:t>
            </w:r>
          </w:p>
        </w:tc>
        <w:tc>
          <w:tcPr>
            <w:tcW w:w="0" w:type="dxa"/>
            <w:vAlign w:val="bottom"/>
          </w:tcPr>
          <w:p>
            <w:pPr>
              <w:spacing w:after="0"/>
              <w:rPr>
                <w:sz w:val="1"/>
                <w:szCs w:val="1"/>
                <w:color w:val="auto"/>
              </w:rPr>
            </w:pPr>
          </w:p>
        </w:tc>
      </w:tr>
      <w:tr>
        <w:trPr>
          <w:trHeight w:val="95"/>
        </w:trPr>
        <w:tc>
          <w:tcPr>
            <w:tcW w:w="3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34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344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auto"/>
              </w:rPr>
              <w:t>Total Liabilities</w:t>
            </w:r>
          </w:p>
        </w:tc>
        <w:tc>
          <w:tcPr>
            <w:tcW w:w="26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101,320</w:t>
            </w: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73,248</w:t>
            </w: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(2,007)</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172,561</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97,409</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57,770</w:t>
            </w: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(1,164)</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154,015</w:t>
            </w:r>
          </w:p>
        </w:tc>
        <w:tc>
          <w:tcPr>
            <w:tcW w:w="0" w:type="dxa"/>
            <w:vAlign w:val="bottom"/>
          </w:tcPr>
          <w:p>
            <w:pPr>
              <w:spacing w:after="0"/>
              <w:rPr>
                <w:sz w:val="1"/>
                <w:szCs w:val="1"/>
                <w:color w:val="auto"/>
              </w:rPr>
            </w:pPr>
          </w:p>
        </w:tc>
      </w:tr>
      <w:tr>
        <w:trPr>
          <w:trHeight w:val="97"/>
        </w:trPr>
        <w:tc>
          <w:tcPr>
            <w:tcW w:w="3440" w:type="dxa"/>
            <w:vAlign w:val="bottom"/>
            <w:tcBorders>
              <w:bottom w:val="single" w:sz="8" w:color="CCEEFF"/>
            </w:tcBorders>
            <w:shd w:val="clear" w:color="auto" w:fill="CCEEFF"/>
          </w:tcPr>
          <w:p>
            <w:pPr>
              <w:spacing w:after="0"/>
              <w:rPr>
                <w:sz w:val="8"/>
                <w:szCs w:val="8"/>
                <w:color w:val="auto"/>
              </w:rPr>
            </w:pPr>
          </w:p>
        </w:tc>
        <w:tc>
          <w:tcPr>
            <w:tcW w:w="260" w:type="dxa"/>
            <w:vAlign w:val="bottom"/>
            <w:tcBorders>
              <w:bottom w:val="single" w:sz="8" w:color="CCEEFF"/>
            </w:tcBorders>
            <w:shd w:val="clear" w:color="auto" w:fill="CCEEFF"/>
          </w:tcPr>
          <w:p>
            <w:pPr>
              <w:spacing w:after="0"/>
              <w:rPr>
                <w:sz w:val="8"/>
                <w:szCs w:val="8"/>
                <w:color w:val="auto"/>
              </w:rPr>
            </w:pPr>
          </w:p>
        </w:tc>
        <w:tc>
          <w:tcPr>
            <w:tcW w:w="68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80" w:type="dxa"/>
            <w:vAlign w:val="bottom"/>
            <w:tcBorders>
              <w:bottom w:val="single" w:sz="8" w:color="CCEEFF"/>
            </w:tcBorders>
            <w:shd w:val="clear" w:color="auto" w:fill="CCEEFF"/>
          </w:tcPr>
          <w:p>
            <w:pPr>
              <w:spacing w:after="0"/>
              <w:rPr>
                <w:sz w:val="8"/>
                <w:szCs w:val="8"/>
                <w:color w:val="auto"/>
              </w:rPr>
            </w:pPr>
          </w:p>
        </w:tc>
        <w:tc>
          <w:tcPr>
            <w:tcW w:w="64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300" w:type="dxa"/>
            <w:vAlign w:val="bottom"/>
            <w:tcBorders>
              <w:bottom w:val="single" w:sz="8" w:color="CCEEFF"/>
            </w:tcBorders>
            <w:shd w:val="clear" w:color="auto" w:fill="CCEEFF"/>
          </w:tcPr>
          <w:p>
            <w:pPr>
              <w:spacing w:after="0"/>
              <w:rPr>
                <w:sz w:val="8"/>
                <w:szCs w:val="8"/>
                <w:color w:val="auto"/>
              </w:rPr>
            </w:pPr>
          </w:p>
        </w:tc>
        <w:tc>
          <w:tcPr>
            <w:tcW w:w="64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60" w:type="dxa"/>
            <w:vAlign w:val="bottom"/>
            <w:tcBorders>
              <w:bottom w:val="single" w:sz="8" w:color="CCEEFF"/>
            </w:tcBorders>
            <w:shd w:val="clear" w:color="auto" w:fill="CCEEFF"/>
          </w:tcPr>
          <w:p>
            <w:pPr>
              <w:spacing w:after="0"/>
              <w:rPr>
                <w:sz w:val="8"/>
                <w:szCs w:val="8"/>
                <w:color w:val="auto"/>
              </w:rPr>
            </w:pPr>
          </w:p>
        </w:tc>
        <w:tc>
          <w:tcPr>
            <w:tcW w:w="68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60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80" w:type="dxa"/>
            <w:vAlign w:val="bottom"/>
            <w:tcBorders>
              <w:bottom w:val="single" w:sz="8" w:color="CCEEFF"/>
            </w:tcBorders>
            <w:shd w:val="clear" w:color="auto" w:fill="CCEEFF"/>
          </w:tcPr>
          <w:p>
            <w:pPr>
              <w:spacing w:after="0"/>
              <w:rPr>
                <w:sz w:val="8"/>
                <w:szCs w:val="8"/>
                <w:color w:val="auto"/>
              </w:rPr>
            </w:pPr>
          </w:p>
        </w:tc>
        <w:tc>
          <w:tcPr>
            <w:tcW w:w="62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300" w:type="dxa"/>
            <w:vAlign w:val="bottom"/>
            <w:tcBorders>
              <w:bottom w:val="single" w:sz="8" w:color="CCEEFF"/>
            </w:tcBorders>
            <w:shd w:val="clear" w:color="auto" w:fill="CCEEFF"/>
          </w:tcPr>
          <w:p>
            <w:pPr>
              <w:spacing w:after="0"/>
              <w:rPr>
                <w:sz w:val="8"/>
                <w:szCs w:val="8"/>
                <w:color w:val="auto"/>
              </w:rPr>
            </w:pPr>
          </w:p>
        </w:tc>
        <w:tc>
          <w:tcPr>
            <w:tcW w:w="60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40" w:type="dxa"/>
            <w:vAlign w:val="bottom"/>
            <w:tcBorders>
              <w:bottom w:val="single" w:sz="8" w:color="CCEEFF"/>
            </w:tcBorders>
            <w:shd w:val="clear" w:color="auto" w:fill="CCEEFF"/>
          </w:tcPr>
          <w:p>
            <w:pPr>
              <w:spacing w:after="0"/>
              <w:rPr>
                <w:sz w:val="8"/>
                <w:szCs w:val="8"/>
                <w:color w:val="auto"/>
              </w:rPr>
            </w:pPr>
          </w:p>
        </w:tc>
        <w:tc>
          <w:tcPr>
            <w:tcW w:w="66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3440" w:type="dxa"/>
            <w:vAlign w:val="bottom"/>
          </w:tcPr>
          <w:p>
            <w:pPr>
              <w:ind w:left="40"/>
              <w:spacing w:after="0"/>
              <w:rPr>
                <w:sz w:val="20"/>
                <w:szCs w:val="20"/>
                <w:color w:val="auto"/>
              </w:rPr>
            </w:pPr>
            <w:r>
              <w:rPr>
                <w:rFonts w:ascii="Arial" w:cs="Arial" w:eastAsia="Arial" w:hAnsi="Arial"/>
                <w:sz w:val="11"/>
                <w:szCs w:val="11"/>
                <w:color w:val="auto"/>
              </w:rPr>
              <w:t>Commitments and contingencies</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344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auto"/>
              </w:rPr>
              <w:t>Equity</w:t>
            </w: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4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8"/>
        </w:trPr>
        <w:tc>
          <w:tcPr>
            <w:tcW w:w="3440" w:type="dxa"/>
            <w:vAlign w:val="bottom"/>
          </w:tcPr>
          <w:p>
            <w:pPr>
              <w:ind w:left="120"/>
              <w:spacing w:after="0"/>
              <w:rPr>
                <w:sz w:val="20"/>
                <w:szCs w:val="20"/>
                <w:color w:val="auto"/>
              </w:rPr>
            </w:pPr>
            <w:r>
              <w:rPr>
                <w:rFonts w:ascii="Arial" w:cs="Arial" w:eastAsia="Arial" w:hAnsi="Arial"/>
                <w:sz w:val="11"/>
                <w:szCs w:val="11"/>
                <w:color w:val="auto"/>
              </w:rPr>
              <w:t>Common stock, $0.01 par value</w:t>
            </w:r>
          </w:p>
        </w:tc>
        <w:tc>
          <w:tcPr>
            <w:tcW w:w="260" w:type="dxa"/>
            <w:vAlign w:val="bottom"/>
          </w:tcPr>
          <w:p>
            <w:pPr>
              <w:spacing w:after="0"/>
              <w:rPr>
                <w:sz w:val="21"/>
                <w:szCs w:val="21"/>
                <w:color w:val="auto"/>
              </w:rPr>
            </w:pPr>
          </w:p>
        </w:tc>
        <w:tc>
          <w:tcPr>
            <w:tcW w:w="680" w:type="dxa"/>
            <w:vAlign w:val="bottom"/>
          </w:tcPr>
          <w:p>
            <w:pPr>
              <w:jc w:val="right"/>
              <w:ind w:right="86"/>
              <w:spacing w:after="0"/>
              <w:rPr>
                <w:sz w:val="20"/>
                <w:szCs w:val="20"/>
                <w:color w:val="auto"/>
              </w:rPr>
            </w:pPr>
            <w:r>
              <w:rPr>
                <w:rFonts w:ascii="Arial" w:cs="Arial" w:eastAsia="Arial" w:hAnsi="Arial"/>
                <w:sz w:val="11"/>
                <w:szCs w:val="11"/>
                <w:color w:val="auto"/>
              </w:rPr>
              <w:t>15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21"/>
                <w:szCs w:val="21"/>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21"/>
                <w:szCs w:val="21"/>
                <w:color w:val="auto"/>
              </w:rPr>
            </w:pPr>
          </w:p>
        </w:tc>
        <w:tc>
          <w:tcPr>
            <w:tcW w:w="680" w:type="dxa"/>
            <w:vAlign w:val="bottom"/>
          </w:tcPr>
          <w:p>
            <w:pPr>
              <w:jc w:val="right"/>
              <w:ind w:right="86"/>
              <w:spacing w:after="0"/>
              <w:rPr>
                <w:sz w:val="20"/>
                <w:szCs w:val="20"/>
                <w:color w:val="auto"/>
              </w:rPr>
            </w:pPr>
            <w:r>
              <w:rPr>
                <w:rFonts w:ascii="Arial" w:cs="Arial" w:eastAsia="Arial" w:hAnsi="Arial"/>
                <w:sz w:val="11"/>
                <w:szCs w:val="11"/>
                <w:color w:val="auto"/>
              </w:rPr>
              <w:t>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21"/>
                <w:szCs w:val="21"/>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22"/>
        </w:trPr>
        <w:tc>
          <w:tcPr>
            <w:tcW w:w="3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4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Additional paid-in capital</w:t>
            </w:r>
          </w:p>
        </w:tc>
        <w:tc>
          <w:tcPr>
            <w:tcW w:w="26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27,240</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27,241</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27,606</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27,607</w:t>
            </w:r>
          </w:p>
        </w:tc>
        <w:tc>
          <w:tcPr>
            <w:tcW w:w="0" w:type="dxa"/>
            <w:vAlign w:val="bottom"/>
          </w:tcPr>
          <w:p>
            <w:pPr>
              <w:spacing w:after="0"/>
              <w:rPr>
                <w:sz w:val="1"/>
                <w:szCs w:val="1"/>
                <w:color w:val="auto"/>
              </w:rPr>
            </w:pPr>
          </w:p>
        </w:tc>
      </w:tr>
      <w:tr>
        <w:trPr>
          <w:trHeight w:val="97"/>
        </w:trPr>
        <w:tc>
          <w:tcPr>
            <w:tcW w:w="3440" w:type="dxa"/>
            <w:vAlign w:val="bottom"/>
            <w:tcBorders>
              <w:bottom w:val="single" w:sz="8" w:color="CCEEFF"/>
            </w:tcBorders>
            <w:shd w:val="clear" w:color="auto" w:fill="CCEEFF"/>
          </w:tcPr>
          <w:p>
            <w:pPr>
              <w:spacing w:after="0"/>
              <w:rPr>
                <w:sz w:val="8"/>
                <w:szCs w:val="8"/>
                <w:color w:val="auto"/>
              </w:rPr>
            </w:pPr>
          </w:p>
        </w:tc>
        <w:tc>
          <w:tcPr>
            <w:tcW w:w="260" w:type="dxa"/>
            <w:vAlign w:val="bottom"/>
            <w:tcBorders>
              <w:bottom w:val="single" w:sz="8" w:color="CCEEFF"/>
            </w:tcBorders>
            <w:shd w:val="clear" w:color="auto" w:fill="CCEEFF"/>
          </w:tcPr>
          <w:p>
            <w:pPr>
              <w:spacing w:after="0"/>
              <w:rPr>
                <w:sz w:val="8"/>
                <w:szCs w:val="8"/>
                <w:color w:val="auto"/>
              </w:rPr>
            </w:pPr>
          </w:p>
        </w:tc>
        <w:tc>
          <w:tcPr>
            <w:tcW w:w="68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80" w:type="dxa"/>
            <w:vAlign w:val="bottom"/>
            <w:tcBorders>
              <w:bottom w:val="single" w:sz="8" w:color="CCEEFF"/>
            </w:tcBorders>
            <w:shd w:val="clear" w:color="auto" w:fill="CCEEFF"/>
          </w:tcPr>
          <w:p>
            <w:pPr>
              <w:spacing w:after="0"/>
              <w:rPr>
                <w:sz w:val="8"/>
                <w:szCs w:val="8"/>
                <w:color w:val="auto"/>
              </w:rPr>
            </w:pPr>
          </w:p>
        </w:tc>
        <w:tc>
          <w:tcPr>
            <w:tcW w:w="64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300" w:type="dxa"/>
            <w:vAlign w:val="bottom"/>
            <w:tcBorders>
              <w:bottom w:val="single" w:sz="8" w:color="CCEEFF"/>
            </w:tcBorders>
            <w:shd w:val="clear" w:color="auto" w:fill="CCEEFF"/>
          </w:tcPr>
          <w:p>
            <w:pPr>
              <w:spacing w:after="0"/>
              <w:rPr>
                <w:sz w:val="8"/>
                <w:szCs w:val="8"/>
                <w:color w:val="auto"/>
              </w:rPr>
            </w:pPr>
          </w:p>
        </w:tc>
        <w:tc>
          <w:tcPr>
            <w:tcW w:w="760" w:type="dxa"/>
            <w:vAlign w:val="bottom"/>
            <w:tcBorders>
              <w:bottom w:val="single" w:sz="8" w:color="CCEEFF"/>
            </w:tcBorders>
            <w:gridSpan w:val="2"/>
            <w:vMerge w:val="continue"/>
            <w:shd w:val="clear" w:color="auto" w:fill="CCEEFF"/>
          </w:tcPr>
          <w:p>
            <w:pPr>
              <w:spacing w:after="0"/>
              <w:rPr>
                <w:sz w:val="8"/>
                <w:szCs w:val="8"/>
                <w:color w:val="auto"/>
              </w:rPr>
            </w:pPr>
          </w:p>
        </w:tc>
        <w:tc>
          <w:tcPr>
            <w:tcW w:w="260" w:type="dxa"/>
            <w:vAlign w:val="bottom"/>
            <w:tcBorders>
              <w:bottom w:val="single" w:sz="8" w:color="CCEEFF"/>
            </w:tcBorders>
            <w:shd w:val="clear" w:color="auto" w:fill="CCEEFF"/>
          </w:tcPr>
          <w:p>
            <w:pPr>
              <w:spacing w:after="0"/>
              <w:rPr>
                <w:sz w:val="8"/>
                <w:szCs w:val="8"/>
                <w:color w:val="auto"/>
              </w:rPr>
            </w:pPr>
          </w:p>
        </w:tc>
        <w:tc>
          <w:tcPr>
            <w:tcW w:w="68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60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80" w:type="dxa"/>
            <w:vAlign w:val="bottom"/>
            <w:tcBorders>
              <w:bottom w:val="single" w:sz="8" w:color="CCEEFF"/>
            </w:tcBorders>
            <w:shd w:val="clear" w:color="auto" w:fill="CCEEFF"/>
          </w:tcPr>
          <w:p>
            <w:pPr>
              <w:spacing w:after="0"/>
              <w:rPr>
                <w:sz w:val="8"/>
                <w:szCs w:val="8"/>
                <w:color w:val="auto"/>
              </w:rPr>
            </w:pPr>
          </w:p>
        </w:tc>
        <w:tc>
          <w:tcPr>
            <w:tcW w:w="62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300" w:type="dxa"/>
            <w:vAlign w:val="bottom"/>
            <w:tcBorders>
              <w:bottom w:val="single" w:sz="8" w:color="CCEEFF"/>
            </w:tcBorders>
            <w:shd w:val="clear" w:color="auto" w:fill="CCEEFF"/>
          </w:tcPr>
          <w:p>
            <w:pPr>
              <w:spacing w:after="0"/>
              <w:rPr>
                <w:sz w:val="8"/>
                <w:szCs w:val="8"/>
                <w:color w:val="auto"/>
              </w:rPr>
            </w:pPr>
          </w:p>
        </w:tc>
        <w:tc>
          <w:tcPr>
            <w:tcW w:w="700" w:type="dxa"/>
            <w:vAlign w:val="bottom"/>
            <w:tcBorders>
              <w:bottom w:val="single" w:sz="8" w:color="CCEEFF"/>
            </w:tcBorders>
            <w:gridSpan w:val="2"/>
            <w:vMerge w:val="continue"/>
            <w:shd w:val="clear" w:color="auto" w:fill="CCEEFF"/>
          </w:tcPr>
          <w:p>
            <w:pPr>
              <w:spacing w:after="0"/>
              <w:rPr>
                <w:sz w:val="8"/>
                <w:szCs w:val="8"/>
                <w:color w:val="auto"/>
              </w:rPr>
            </w:pPr>
          </w:p>
        </w:tc>
        <w:tc>
          <w:tcPr>
            <w:tcW w:w="240" w:type="dxa"/>
            <w:vAlign w:val="bottom"/>
            <w:tcBorders>
              <w:bottom w:val="single" w:sz="8" w:color="CCEEFF"/>
            </w:tcBorders>
            <w:shd w:val="clear" w:color="auto" w:fill="CCEEFF"/>
          </w:tcPr>
          <w:p>
            <w:pPr>
              <w:spacing w:after="0"/>
              <w:rPr>
                <w:sz w:val="8"/>
                <w:szCs w:val="8"/>
                <w:color w:val="auto"/>
              </w:rPr>
            </w:pPr>
          </w:p>
        </w:tc>
        <w:tc>
          <w:tcPr>
            <w:tcW w:w="66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3440" w:type="dxa"/>
            <w:vAlign w:val="bottom"/>
          </w:tcPr>
          <w:p>
            <w:pPr>
              <w:ind w:left="120"/>
              <w:spacing w:after="0"/>
              <w:rPr>
                <w:sz w:val="20"/>
                <w:szCs w:val="20"/>
                <w:color w:val="auto"/>
              </w:rPr>
            </w:pPr>
            <w:r>
              <w:rPr>
                <w:rFonts w:ascii="Arial" w:cs="Arial" w:eastAsia="Arial" w:hAnsi="Arial"/>
                <w:sz w:val="11"/>
                <w:szCs w:val="11"/>
                <w:color w:val="auto"/>
              </w:rPr>
              <w:t>Retained earnings</w:t>
            </w:r>
          </w:p>
        </w:tc>
        <w:tc>
          <w:tcPr>
            <w:tcW w:w="260" w:type="dxa"/>
            <w:vAlign w:val="bottom"/>
          </w:tcPr>
          <w:p>
            <w:pPr>
              <w:spacing w:after="0"/>
              <w:rPr>
                <w:sz w:val="13"/>
                <w:szCs w:val="13"/>
                <w:color w:val="auto"/>
              </w:rPr>
            </w:pPr>
          </w:p>
        </w:tc>
        <w:tc>
          <w:tcPr>
            <w:tcW w:w="680" w:type="dxa"/>
            <w:vAlign w:val="bottom"/>
            <w:vMerge w:val="restart"/>
          </w:tcPr>
          <w:p>
            <w:pPr>
              <w:jc w:val="right"/>
              <w:ind w:right="86"/>
              <w:spacing w:after="0"/>
              <w:rPr>
                <w:sz w:val="20"/>
                <w:szCs w:val="20"/>
                <w:color w:val="auto"/>
              </w:rPr>
            </w:pPr>
            <w:r>
              <w:rPr>
                <w:rFonts w:ascii="Arial" w:cs="Arial" w:eastAsia="Arial" w:hAnsi="Arial"/>
                <w:sz w:val="11"/>
                <w:szCs w:val="11"/>
                <w:color w:val="auto"/>
              </w:rPr>
              <w:t>15,417</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vMerge w:val="restart"/>
          </w:tcPr>
          <w:p>
            <w:pPr>
              <w:jc w:val="right"/>
              <w:ind w:right="66"/>
              <w:spacing w:after="0"/>
              <w:rPr>
                <w:sz w:val="20"/>
                <w:szCs w:val="20"/>
                <w:color w:val="auto"/>
              </w:rPr>
            </w:pPr>
            <w:r>
              <w:rPr>
                <w:rFonts w:ascii="Arial" w:cs="Arial" w:eastAsia="Arial" w:hAnsi="Arial"/>
                <w:sz w:val="11"/>
                <w:szCs w:val="11"/>
                <w:color w:val="auto"/>
              </w:rPr>
              <w:t>10,000</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gridSpan w:val="2"/>
            <w:vMerge w:val="restart"/>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680" w:type="dxa"/>
            <w:vAlign w:val="bottom"/>
            <w:vMerge w:val="restart"/>
          </w:tcPr>
          <w:p>
            <w:pPr>
              <w:jc w:val="right"/>
              <w:ind w:right="86"/>
              <w:spacing w:after="0"/>
              <w:rPr>
                <w:sz w:val="20"/>
                <w:szCs w:val="20"/>
                <w:color w:val="auto"/>
              </w:rPr>
            </w:pPr>
            <w:r>
              <w:rPr>
                <w:rFonts w:ascii="Arial" w:cs="Arial" w:eastAsia="Arial" w:hAnsi="Arial"/>
                <w:sz w:val="11"/>
                <w:szCs w:val="11"/>
                <w:color w:val="auto"/>
              </w:rPr>
              <w:t>25,417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vMerge w:val="restart"/>
          </w:tcPr>
          <w:p>
            <w:pPr>
              <w:jc w:val="right"/>
              <w:ind w:right="46"/>
              <w:spacing w:after="0"/>
              <w:rPr>
                <w:sz w:val="20"/>
                <w:szCs w:val="20"/>
                <w:color w:val="auto"/>
              </w:rPr>
            </w:pPr>
            <w:r>
              <w:rPr>
                <w:rFonts w:ascii="Arial" w:cs="Arial" w:eastAsia="Arial" w:hAnsi="Arial"/>
                <w:sz w:val="11"/>
                <w:szCs w:val="11"/>
                <w:color w:val="auto"/>
              </w:rPr>
              <w:t>10,870</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vMerge w:val="restart"/>
          </w:tcPr>
          <w:p>
            <w:pPr>
              <w:jc w:val="right"/>
              <w:ind w:right="46"/>
              <w:spacing w:after="0"/>
              <w:rPr>
                <w:sz w:val="20"/>
                <w:szCs w:val="20"/>
                <w:color w:val="auto"/>
              </w:rPr>
            </w:pPr>
            <w:r>
              <w:rPr>
                <w:rFonts w:ascii="Arial" w:cs="Arial" w:eastAsia="Arial" w:hAnsi="Arial"/>
                <w:sz w:val="11"/>
                <w:szCs w:val="11"/>
                <w:color w:val="auto"/>
              </w:rPr>
              <w:t>9,415</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gridSpan w:val="2"/>
            <w:vMerge w:val="restart"/>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660" w:type="dxa"/>
            <w:vAlign w:val="bottom"/>
            <w:vMerge w:val="restart"/>
          </w:tcPr>
          <w:p>
            <w:pPr>
              <w:jc w:val="right"/>
              <w:ind w:right="46"/>
              <w:spacing w:after="0"/>
              <w:rPr>
                <w:sz w:val="20"/>
                <w:szCs w:val="20"/>
                <w:color w:val="auto"/>
              </w:rPr>
            </w:pPr>
            <w:r>
              <w:rPr>
                <w:rFonts w:ascii="Arial" w:cs="Arial" w:eastAsia="Arial" w:hAnsi="Arial"/>
                <w:sz w:val="11"/>
                <w:szCs w:val="11"/>
                <w:color w:val="auto"/>
              </w:rPr>
              <w:t>20,285</w:t>
            </w:r>
          </w:p>
        </w:tc>
        <w:tc>
          <w:tcPr>
            <w:tcW w:w="0" w:type="dxa"/>
            <w:vAlign w:val="bottom"/>
          </w:tcPr>
          <w:p>
            <w:pPr>
              <w:spacing w:after="0"/>
              <w:rPr>
                <w:sz w:val="1"/>
                <w:szCs w:val="1"/>
                <w:color w:val="auto"/>
              </w:rPr>
            </w:pPr>
          </w:p>
        </w:tc>
      </w:tr>
      <w:tr>
        <w:trPr>
          <w:trHeight w:val="95"/>
        </w:trPr>
        <w:tc>
          <w:tcPr>
            <w:tcW w:w="3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3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4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Accumulated other comprehensive loss</w:t>
            </w:r>
          </w:p>
        </w:tc>
        <w:tc>
          <w:tcPr>
            <w:tcW w:w="26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(6,904)</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(1,049)</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(7,953)</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(6,931)</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(1,105)</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(8,036)</w:t>
            </w:r>
          </w:p>
        </w:tc>
        <w:tc>
          <w:tcPr>
            <w:tcW w:w="0" w:type="dxa"/>
            <w:vAlign w:val="bottom"/>
          </w:tcPr>
          <w:p>
            <w:pPr>
              <w:spacing w:after="0"/>
              <w:rPr>
                <w:sz w:val="1"/>
                <w:szCs w:val="1"/>
                <w:color w:val="auto"/>
              </w:rPr>
            </w:pPr>
          </w:p>
        </w:tc>
      </w:tr>
      <w:tr>
        <w:trPr>
          <w:trHeight w:val="117"/>
        </w:trPr>
        <w:tc>
          <w:tcPr>
            <w:tcW w:w="3440" w:type="dxa"/>
            <w:vAlign w:val="bottom"/>
            <w:tcBorders>
              <w:bottom w:val="single" w:sz="8" w:color="CCEEFF"/>
            </w:tcBorders>
            <w:shd w:val="clear" w:color="auto" w:fill="CCEEFF"/>
          </w:tcPr>
          <w:p>
            <w:pPr>
              <w:spacing w:after="0"/>
              <w:rPr>
                <w:sz w:val="10"/>
                <w:szCs w:val="10"/>
                <w:color w:val="auto"/>
              </w:rPr>
            </w:pPr>
          </w:p>
        </w:tc>
        <w:tc>
          <w:tcPr>
            <w:tcW w:w="260" w:type="dxa"/>
            <w:vAlign w:val="bottom"/>
            <w:tcBorders>
              <w:bottom w:val="single" w:sz="8" w:color="CCEEFF"/>
            </w:tcBorders>
            <w:shd w:val="clear" w:color="auto" w:fill="CCEEFF"/>
          </w:tcPr>
          <w:p>
            <w:pPr>
              <w:spacing w:after="0"/>
              <w:rPr>
                <w:sz w:val="10"/>
                <w:szCs w:val="10"/>
                <w:color w:val="auto"/>
              </w:rPr>
            </w:pPr>
          </w:p>
        </w:tc>
        <w:tc>
          <w:tcPr>
            <w:tcW w:w="68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28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300" w:type="dxa"/>
            <w:vAlign w:val="bottom"/>
            <w:tcBorders>
              <w:bottom w:val="single" w:sz="8" w:color="CCEEFF"/>
            </w:tcBorders>
            <w:shd w:val="clear" w:color="auto" w:fill="CCEEFF"/>
          </w:tcPr>
          <w:p>
            <w:pPr>
              <w:spacing w:after="0"/>
              <w:rPr>
                <w:sz w:val="10"/>
                <w:szCs w:val="10"/>
                <w:color w:val="auto"/>
              </w:rPr>
            </w:pPr>
          </w:p>
        </w:tc>
        <w:tc>
          <w:tcPr>
            <w:tcW w:w="760" w:type="dxa"/>
            <w:vAlign w:val="bottom"/>
            <w:tcBorders>
              <w:bottom w:val="single" w:sz="8" w:color="CCEEFF"/>
            </w:tcBorders>
            <w:gridSpan w:val="2"/>
            <w:vMerge w:val="continue"/>
            <w:shd w:val="clear" w:color="auto" w:fill="CCEEFF"/>
          </w:tcPr>
          <w:p>
            <w:pPr>
              <w:spacing w:after="0"/>
              <w:rPr>
                <w:sz w:val="10"/>
                <w:szCs w:val="10"/>
                <w:color w:val="auto"/>
              </w:rPr>
            </w:pPr>
          </w:p>
        </w:tc>
        <w:tc>
          <w:tcPr>
            <w:tcW w:w="260" w:type="dxa"/>
            <w:vAlign w:val="bottom"/>
            <w:tcBorders>
              <w:bottom w:val="single" w:sz="8" w:color="CCEEFF"/>
            </w:tcBorders>
            <w:shd w:val="clear" w:color="auto" w:fill="CCEEFF"/>
          </w:tcPr>
          <w:p>
            <w:pPr>
              <w:spacing w:after="0"/>
              <w:rPr>
                <w:sz w:val="10"/>
                <w:szCs w:val="10"/>
                <w:color w:val="auto"/>
              </w:rPr>
            </w:pPr>
          </w:p>
        </w:tc>
        <w:tc>
          <w:tcPr>
            <w:tcW w:w="68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60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8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30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gridSpan w:val="2"/>
            <w:vMerge w:val="continue"/>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3440" w:type="dxa"/>
            <w:vAlign w:val="bottom"/>
          </w:tcPr>
          <w:p>
            <w:pPr>
              <w:ind w:left="120"/>
              <w:spacing w:after="0"/>
              <w:rPr>
                <w:sz w:val="20"/>
                <w:szCs w:val="20"/>
                <w:color w:val="auto"/>
              </w:rPr>
            </w:pPr>
            <w:r>
              <w:rPr>
                <w:rFonts w:ascii="Arial" w:cs="Arial" w:eastAsia="Arial" w:hAnsi="Arial"/>
                <w:sz w:val="11"/>
                <w:szCs w:val="11"/>
                <w:color w:val="auto"/>
              </w:rPr>
              <w:t>Total stockholders’ equity</w:t>
            </w:r>
          </w:p>
        </w:tc>
        <w:tc>
          <w:tcPr>
            <w:tcW w:w="2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vMerge w:val="restart"/>
          </w:tcPr>
          <w:p>
            <w:pPr>
              <w:jc w:val="right"/>
              <w:ind w:right="86"/>
              <w:spacing w:after="0"/>
              <w:rPr>
                <w:sz w:val="20"/>
                <w:szCs w:val="20"/>
                <w:color w:val="auto"/>
              </w:rPr>
            </w:pPr>
            <w:r>
              <w:rPr>
                <w:rFonts w:ascii="Arial" w:cs="Arial" w:eastAsia="Arial" w:hAnsi="Arial"/>
                <w:sz w:val="11"/>
                <w:szCs w:val="11"/>
                <w:color w:val="auto"/>
              </w:rPr>
              <w:t>35,768</w:t>
            </w:r>
          </w:p>
        </w:tc>
        <w:tc>
          <w:tcPr>
            <w:tcW w:w="1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vMerge w:val="restart"/>
          </w:tcPr>
          <w:p>
            <w:pPr>
              <w:jc w:val="right"/>
              <w:ind w:right="66"/>
              <w:spacing w:after="0"/>
              <w:rPr>
                <w:sz w:val="20"/>
                <w:szCs w:val="20"/>
                <w:color w:val="auto"/>
              </w:rPr>
            </w:pPr>
            <w:r>
              <w:rPr>
                <w:rFonts w:ascii="Arial" w:cs="Arial" w:eastAsia="Arial" w:hAnsi="Arial"/>
                <w:sz w:val="11"/>
                <w:szCs w:val="11"/>
                <w:color w:val="auto"/>
              </w:rPr>
              <w:t>8,952</w:t>
            </w:r>
          </w:p>
        </w:tc>
        <w:tc>
          <w:tcPr>
            <w:tcW w:w="12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vMerge w:val="restart"/>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vMerge w:val="restart"/>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vMerge w:val="restart"/>
          </w:tcPr>
          <w:p>
            <w:pPr>
              <w:jc w:val="right"/>
              <w:ind w:right="86"/>
              <w:spacing w:after="0"/>
              <w:rPr>
                <w:sz w:val="20"/>
                <w:szCs w:val="20"/>
                <w:color w:val="auto"/>
              </w:rPr>
            </w:pPr>
            <w:r>
              <w:rPr>
                <w:rFonts w:ascii="Arial" w:cs="Arial" w:eastAsia="Arial" w:hAnsi="Arial"/>
                <w:sz w:val="11"/>
                <w:szCs w:val="11"/>
                <w:color w:val="auto"/>
              </w:rPr>
              <w:t>44,720</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31,560</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8,311</w:t>
            </w: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vMerge w:val="restart"/>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39,871</w:t>
            </w:r>
          </w:p>
        </w:tc>
        <w:tc>
          <w:tcPr>
            <w:tcW w:w="0" w:type="dxa"/>
            <w:vAlign w:val="bottom"/>
          </w:tcPr>
          <w:p>
            <w:pPr>
              <w:spacing w:after="0"/>
              <w:rPr>
                <w:sz w:val="1"/>
                <w:szCs w:val="1"/>
                <w:color w:val="auto"/>
              </w:rPr>
            </w:pPr>
          </w:p>
        </w:tc>
      </w:tr>
      <w:tr>
        <w:trPr>
          <w:trHeight w:val="95"/>
        </w:trPr>
        <w:tc>
          <w:tcPr>
            <w:tcW w:w="3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3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4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Noncontrolling interests</w:t>
            </w:r>
          </w:p>
        </w:tc>
        <w:tc>
          <w:tcPr>
            <w:tcW w:w="26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295</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295</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452</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452</w:t>
            </w:r>
          </w:p>
        </w:tc>
        <w:tc>
          <w:tcPr>
            <w:tcW w:w="0" w:type="dxa"/>
            <w:vAlign w:val="bottom"/>
          </w:tcPr>
          <w:p>
            <w:pPr>
              <w:spacing w:after="0"/>
              <w:rPr>
                <w:sz w:val="1"/>
                <w:szCs w:val="1"/>
                <w:color w:val="auto"/>
              </w:rPr>
            </w:pPr>
          </w:p>
        </w:tc>
      </w:tr>
      <w:tr>
        <w:trPr>
          <w:trHeight w:val="117"/>
        </w:trPr>
        <w:tc>
          <w:tcPr>
            <w:tcW w:w="3440" w:type="dxa"/>
            <w:vAlign w:val="bottom"/>
            <w:tcBorders>
              <w:bottom w:val="single" w:sz="8" w:color="CCEEFF"/>
            </w:tcBorders>
            <w:shd w:val="clear" w:color="auto" w:fill="CCEEFF"/>
          </w:tcPr>
          <w:p>
            <w:pPr>
              <w:spacing w:after="0"/>
              <w:rPr>
                <w:sz w:val="10"/>
                <w:szCs w:val="10"/>
                <w:color w:val="auto"/>
              </w:rPr>
            </w:pPr>
          </w:p>
        </w:tc>
        <w:tc>
          <w:tcPr>
            <w:tcW w:w="260" w:type="dxa"/>
            <w:vAlign w:val="bottom"/>
            <w:tcBorders>
              <w:bottom w:val="single" w:sz="8" w:color="CCEEFF"/>
            </w:tcBorders>
            <w:shd w:val="clear" w:color="auto" w:fill="CCEEFF"/>
          </w:tcPr>
          <w:p>
            <w:pPr>
              <w:spacing w:after="0"/>
              <w:rPr>
                <w:sz w:val="10"/>
                <w:szCs w:val="10"/>
                <w:color w:val="auto"/>
              </w:rPr>
            </w:pPr>
          </w:p>
        </w:tc>
        <w:tc>
          <w:tcPr>
            <w:tcW w:w="68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280" w:type="dxa"/>
            <w:vAlign w:val="bottom"/>
            <w:tcBorders>
              <w:bottom w:val="single" w:sz="8" w:color="CCEEFF"/>
            </w:tcBorders>
            <w:shd w:val="clear" w:color="auto" w:fill="CCEEFF"/>
          </w:tcPr>
          <w:p>
            <w:pPr>
              <w:spacing w:after="0"/>
              <w:rPr>
                <w:sz w:val="10"/>
                <w:szCs w:val="10"/>
                <w:color w:val="auto"/>
              </w:rPr>
            </w:pPr>
          </w:p>
        </w:tc>
        <w:tc>
          <w:tcPr>
            <w:tcW w:w="760" w:type="dxa"/>
            <w:vAlign w:val="bottom"/>
            <w:tcBorders>
              <w:bottom w:val="single" w:sz="8" w:color="CCEEFF"/>
            </w:tcBorders>
            <w:gridSpan w:val="2"/>
            <w:vMerge w:val="continue"/>
            <w:shd w:val="clear" w:color="auto" w:fill="CCEEFF"/>
          </w:tcPr>
          <w:p>
            <w:pPr>
              <w:spacing w:after="0"/>
              <w:rPr>
                <w:sz w:val="10"/>
                <w:szCs w:val="10"/>
                <w:color w:val="auto"/>
              </w:rPr>
            </w:pPr>
          </w:p>
        </w:tc>
        <w:tc>
          <w:tcPr>
            <w:tcW w:w="300" w:type="dxa"/>
            <w:vAlign w:val="bottom"/>
            <w:tcBorders>
              <w:bottom w:val="single" w:sz="8" w:color="CCEEFF"/>
            </w:tcBorders>
            <w:shd w:val="clear" w:color="auto" w:fill="CCEEFF"/>
          </w:tcPr>
          <w:p>
            <w:pPr>
              <w:spacing w:after="0"/>
              <w:rPr>
                <w:sz w:val="10"/>
                <w:szCs w:val="10"/>
                <w:color w:val="auto"/>
              </w:rPr>
            </w:pPr>
          </w:p>
        </w:tc>
        <w:tc>
          <w:tcPr>
            <w:tcW w:w="760" w:type="dxa"/>
            <w:vAlign w:val="bottom"/>
            <w:tcBorders>
              <w:bottom w:val="single" w:sz="8" w:color="CCEEFF"/>
            </w:tcBorders>
            <w:gridSpan w:val="2"/>
            <w:vMerge w:val="continue"/>
            <w:shd w:val="clear" w:color="auto" w:fill="CCEEFF"/>
          </w:tcPr>
          <w:p>
            <w:pPr>
              <w:spacing w:after="0"/>
              <w:rPr>
                <w:sz w:val="10"/>
                <w:szCs w:val="10"/>
                <w:color w:val="auto"/>
              </w:rPr>
            </w:pPr>
          </w:p>
        </w:tc>
        <w:tc>
          <w:tcPr>
            <w:tcW w:w="260" w:type="dxa"/>
            <w:vAlign w:val="bottom"/>
            <w:tcBorders>
              <w:bottom w:val="single" w:sz="8" w:color="CCEEFF"/>
            </w:tcBorders>
            <w:shd w:val="clear" w:color="auto" w:fill="CCEEFF"/>
          </w:tcPr>
          <w:p>
            <w:pPr>
              <w:spacing w:after="0"/>
              <w:rPr>
                <w:sz w:val="10"/>
                <w:szCs w:val="10"/>
                <w:color w:val="auto"/>
              </w:rPr>
            </w:pPr>
          </w:p>
        </w:tc>
        <w:tc>
          <w:tcPr>
            <w:tcW w:w="68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60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80" w:type="dxa"/>
            <w:vAlign w:val="bottom"/>
            <w:tcBorders>
              <w:bottom w:val="single" w:sz="8" w:color="CCEEFF"/>
            </w:tcBorders>
            <w:shd w:val="clear" w:color="auto" w:fill="CCEEFF"/>
          </w:tcPr>
          <w:p>
            <w:pPr>
              <w:spacing w:after="0"/>
              <w:rPr>
                <w:sz w:val="10"/>
                <w:szCs w:val="10"/>
                <w:color w:val="auto"/>
              </w:rPr>
            </w:pPr>
          </w:p>
        </w:tc>
        <w:tc>
          <w:tcPr>
            <w:tcW w:w="720" w:type="dxa"/>
            <w:vAlign w:val="bottom"/>
            <w:tcBorders>
              <w:bottom w:val="single" w:sz="8" w:color="CCEEFF"/>
            </w:tcBorders>
            <w:gridSpan w:val="2"/>
            <w:vMerge w:val="continue"/>
            <w:shd w:val="clear" w:color="auto" w:fill="CCEEFF"/>
          </w:tcPr>
          <w:p>
            <w:pPr>
              <w:spacing w:after="0"/>
              <w:rPr>
                <w:sz w:val="10"/>
                <w:szCs w:val="10"/>
                <w:color w:val="auto"/>
              </w:rPr>
            </w:pPr>
          </w:p>
        </w:tc>
        <w:tc>
          <w:tcPr>
            <w:tcW w:w="30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gridSpan w:val="2"/>
            <w:vMerge w:val="continue"/>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3440" w:type="dxa"/>
            <w:vAlign w:val="bottom"/>
          </w:tcPr>
          <w:p>
            <w:pPr>
              <w:ind w:left="40"/>
              <w:spacing w:after="0"/>
              <w:rPr>
                <w:sz w:val="20"/>
                <w:szCs w:val="20"/>
                <w:color w:val="auto"/>
              </w:rPr>
            </w:pPr>
            <w:r>
              <w:rPr>
                <w:rFonts w:ascii="Arial" w:cs="Arial" w:eastAsia="Arial" w:hAnsi="Arial"/>
                <w:sz w:val="11"/>
                <w:szCs w:val="11"/>
                <w:b w:val="1"/>
                <w:bCs w:val="1"/>
                <w:color w:val="auto"/>
              </w:rPr>
              <w:t>Total Equity</w:t>
            </w:r>
          </w:p>
        </w:tc>
        <w:tc>
          <w:tcPr>
            <w:tcW w:w="2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vMerge w:val="restart"/>
          </w:tcPr>
          <w:p>
            <w:pPr>
              <w:jc w:val="right"/>
              <w:ind w:right="86"/>
              <w:spacing w:after="0"/>
              <w:rPr>
                <w:sz w:val="20"/>
                <w:szCs w:val="20"/>
                <w:color w:val="auto"/>
              </w:rPr>
            </w:pPr>
            <w:r>
              <w:rPr>
                <w:rFonts w:ascii="Arial" w:cs="Arial" w:eastAsia="Arial" w:hAnsi="Arial"/>
                <w:sz w:val="11"/>
                <w:szCs w:val="11"/>
                <w:color w:val="auto"/>
              </w:rPr>
              <w:t>36,063</w:t>
            </w:r>
          </w:p>
        </w:tc>
        <w:tc>
          <w:tcPr>
            <w:tcW w:w="1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vMerge w:val="restart"/>
          </w:tcPr>
          <w:p>
            <w:pPr>
              <w:jc w:val="right"/>
              <w:ind w:right="66"/>
              <w:spacing w:after="0"/>
              <w:rPr>
                <w:sz w:val="20"/>
                <w:szCs w:val="20"/>
                <w:color w:val="auto"/>
              </w:rPr>
            </w:pPr>
            <w:r>
              <w:rPr>
                <w:rFonts w:ascii="Arial" w:cs="Arial" w:eastAsia="Arial" w:hAnsi="Arial"/>
                <w:sz w:val="11"/>
                <w:szCs w:val="11"/>
                <w:color w:val="auto"/>
              </w:rPr>
              <w:t>8,952</w:t>
            </w:r>
          </w:p>
        </w:tc>
        <w:tc>
          <w:tcPr>
            <w:tcW w:w="12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vMerge w:val="restart"/>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vMerge w:val="restart"/>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vMerge w:val="restart"/>
          </w:tcPr>
          <w:p>
            <w:pPr>
              <w:jc w:val="right"/>
              <w:ind w:right="86"/>
              <w:spacing w:after="0"/>
              <w:rPr>
                <w:sz w:val="20"/>
                <w:szCs w:val="20"/>
                <w:color w:val="auto"/>
              </w:rPr>
            </w:pPr>
            <w:r>
              <w:rPr>
                <w:rFonts w:ascii="Arial" w:cs="Arial" w:eastAsia="Arial" w:hAnsi="Arial"/>
                <w:sz w:val="11"/>
                <w:szCs w:val="11"/>
                <w:color w:val="auto"/>
              </w:rPr>
              <w:t>45,015</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32,012</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8,311</w:t>
            </w: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vMerge w:val="restart"/>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40,323</w:t>
            </w:r>
          </w:p>
        </w:tc>
        <w:tc>
          <w:tcPr>
            <w:tcW w:w="0" w:type="dxa"/>
            <w:vAlign w:val="bottom"/>
          </w:tcPr>
          <w:p>
            <w:pPr>
              <w:spacing w:after="0"/>
              <w:rPr>
                <w:sz w:val="1"/>
                <w:szCs w:val="1"/>
                <w:color w:val="auto"/>
              </w:rPr>
            </w:pPr>
          </w:p>
        </w:tc>
      </w:tr>
      <w:tr>
        <w:trPr>
          <w:trHeight w:val="95"/>
        </w:trPr>
        <w:tc>
          <w:tcPr>
            <w:tcW w:w="3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34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344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auto"/>
              </w:rPr>
              <w:t>Total Liabilities and Equity</w:t>
            </w:r>
          </w:p>
        </w:tc>
        <w:tc>
          <w:tcPr>
            <w:tcW w:w="260" w:type="dxa"/>
            <w:vAlign w:val="bottom"/>
            <w:vMerge w:val="restart"/>
            <w:shd w:val="clear" w:color="auto" w:fill="CCEEFF"/>
          </w:tcPr>
          <w:p>
            <w:pPr>
              <w:jc w:val="right"/>
              <w:ind w:right="126"/>
              <w:spacing w:after="0"/>
              <w:rPr>
                <w:sz w:val="20"/>
                <w:szCs w:val="20"/>
                <w:color w:val="auto"/>
              </w:rPr>
            </w:pPr>
            <w:r>
              <w:rPr>
                <w:rFonts w:ascii="Arial" w:cs="Arial" w:eastAsia="Arial" w:hAnsi="Arial"/>
                <w:sz w:val="11"/>
                <w:szCs w:val="11"/>
                <w:color w:val="auto"/>
                <w:w w:val="97"/>
              </w:rPr>
              <w:t>$</w:t>
            </w:r>
          </w:p>
        </w:tc>
        <w:tc>
          <w:tcPr>
            <w:tcW w:w="68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137,383</w:t>
            </w:r>
          </w:p>
        </w:tc>
        <w:tc>
          <w:tcPr>
            <w:tcW w:w="120" w:type="dxa"/>
            <w:vAlign w:val="bottom"/>
            <w:shd w:val="clear" w:color="auto" w:fill="CCEEFF"/>
          </w:tcPr>
          <w:p>
            <w:pPr>
              <w:spacing w:after="0"/>
              <w:rPr>
                <w:sz w:val="11"/>
                <w:szCs w:val="11"/>
                <w:color w:val="auto"/>
              </w:rPr>
            </w:pPr>
          </w:p>
        </w:tc>
        <w:tc>
          <w:tcPr>
            <w:tcW w:w="280" w:type="dxa"/>
            <w:vAlign w:val="bottom"/>
            <w:vMerge w:val="restart"/>
            <w:shd w:val="clear" w:color="auto" w:fill="CCEEFF"/>
          </w:tcPr>
          <w:p>
            <w:pPr>
              <w:jc w:val="right"/>
              <w:ind w:right="146"/>
              <w:spacing w:after="0"/>
              <w:rPr>
                <w:sz w:val="20"/>
                <w:szCs w:val="20"/>
                <w:color w:val="auto"/>
              </w:rPr>
            </w:pPr>
            <w:r>
              <w:rPr>
                <w:rFonts w:ascii="Arial" w:cs="Arial" w:eastAsia="Arial" w:hAnsi="Arial"/>
                <w:sz w:val="11"/>
                <w:szCs w:val="11"/>
                <w:color w:val="auto"/>
                <w:w w:val="97"/>
              </w:rPr>
              <w:t>$</w:t>
            </w:r>
          </w:p>
        </w:tc>
        <w:tc>
          <w:tcPr>
            <w:tcW w:w="64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82,200</w:t>
            </w:r>
          </w:p>
        </w:tc>
        <w:tc>
          <w:tcPr>
            <w:tcW w:w="120" w:type="dxa"/>
            <w:vAlign w:val="bottom"/>
            <w:shd w:val="clear" w:color="auto" w:fill="CCEEFF"/>
          </w:tcPr>
          <w:p>
            <w:pPr>
              <w:spacing w:after="0"/>
              <w:rPr>
                <w:sz w:val="11"/>
                <w:szCs w:val="11"/>
                <w:color w:val="auto"/>
              </w:rPr>
            </w:pPr>
          </w:p>
        </w:tc>
        <w:tc>
          <w:tcPr>
            <w:tcW w:w="300" w:type="dxa"/>
            <w:vAlign w:val="bottom"/>
            <w:vMerge w:val="restart"/>
            <w:shd w:val="clear" w:color="auto" w:fill="CCEEFF"/>
          </w:tcPr>
          <w:p>
            <w:pPr>
              <w:jc w:val="right"/>
              <w:ind w:right="146"/>
              <w:spacing w:after="0"/>
              <w:rPr>
                <w:sz w:val="20"/>
                <w:szCs w:val="20"/>
                <w:color w:val="auto"/>
              </w:rPr>
            </w:pPr>
            <w:r>
              <w:rPr>
                <w:rFonts w:ascii="Arial" w:cs="Arial" w:eastAsia="Arial" w:hAnsi="Arial"/>
                <w:sz w:val="11"/>
                <w:szCs w:val="11"/>
                <w:color w:val="auto"/>
              </w:rPr>
              <w:t>$</w:t>
            </w:r>
          </w:p>
        </w:tc>
        <w:tc>
          <w:tcPr>
            <w:tcW w:w="64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(2,007)</w:t>
            </w:r>
          </w:p>
        </w:tc>
        <w:tc>
          <w:tcPr>
            <w:tcW w:w="120" w:type="dxa"/>
            <w:vAlign w:val="bottom"/>
            <w:shd w:val="clear" w:color="auto" w:fill="CCEEFF"/>
          </w:tcPr>
          <w:p>
            <w:pPr>
              <w:spacing w:after="0"/>
              <w:rPr>
                <w:sz w:val="11"/>
                <w:szCs w:val="11"/>
                <w:color w:val="auto"/>
              </w:rPr>
            </w:pPr>
          </w:p>
        </w:tc>
        <w:tc>
          <w:tcPr>
            <w:tcW w:w="260" w:type="dxa"/>
            <w:vAlign w:val="bottom"/>
            <w:vMerge w:val="restart"/>
            <w:shd w:val="clear" w:color="auto" w:fill="CCEEFF"/>
          </w:tcPr>
          <w:p>
            <w:pPr>
              <w:jc w:val="right"/>
              <w:ind w:right="126"/>
              <w:spacing w:after="0"/>
              <w:rPr>
                <w:sz w:val="20"/>
                <w:szCs w:val="20"/>
                <w:color w:val="auto"/>
              </w:rPr>
            </w:pPr>
            <w:r>
              <w:rPr>
                <w:rFonts w:ascii="Arial" w:cs="Arial" w:eastAsia="Arial" w:hAnsi="Arial"/>
                <w:sz w:val="11"/>
                <w:szCs w:val="11"/>
                <w:color w:val="auto"/>
                <w:w w:val="97"/>
              </w:rPr>
              <w:t>$</w:t>
            </w:r>
          </w:p>
        </w:tc>
        <w:tc>
          <w:tcPr>
            <w:tcW w:w="68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217,576</w:t>
            </w:r>
          </w:p>
        </w:tc>
        <w:tc>
          <w:tcPr>
            <w:tcW w:w="10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60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129,421</w:t>
            </w:r>
          </w:p>
        </w:tc>
        <w:tc>
          <w:tcPr>
            <w:tcW w:w="100" w:type="dxa"/>
            <w:vAlign w:val="bottom"/>
            <w:shd w:val="clear" w:color="auto" w:fill="CCEEFF"/>
          </w:tcPr>
          <w:p>
            <w:pPr>
              <w:spacing w:after="0"/>
              <w:rPr>
                <w:sz w:val="11"/>
                <w:szCs w:val="11"/>
                <w:color w:val="auto"/>
              </w:rPr>
            </w:pPr>
          </w:p>
        </w:tc>
        <w:tc>
          <w:tcPr>
            <w:tcW w:w="280" w:type="dxa"/>
            <w:vAlign w:val="bottom"/>
            <w:vMerge w:val="restart"/>
            <w:shd w:val="clear" w:color="auto" w:fill="CCEEFF"/>
          </w:tcPr>
          <w:p>
            <w:pPr>
              <w:jc w:val="right"/>
              <w:ind w:right="126"/>
              <w:spacing w:after="0"/>
              <w:rPr>
                <w:sz w:val="20"/>
                <w:szCs w:val="20"/>
                <w:color w:val="auto"/>
              </w:rPr>
            </w:pPr>
            <w:r>
              <w:rPr>
                <w:rFonts w:ascii="Arial" w:cs="Arial" w:eastAsia="Arial" w:hAnsi="Arial"/>
                <w:sz w:val="11"/>
                <w:szCs w:val="11"/>
                <w:color w:val="auto"/>
              </w:rPr>
              <w:t>$</w:t>
            </w:r>
          </w:p>
        </w:tc>
        <w:tc>
          <w:tcPr>
            <w:tcW w:w="62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66,081</w:t>
            </w:r>
          </w:p>
        </w:tc>
        <w:tc>
          <w:tcPr>
            <w:tcW w:w="100" w:type="dxa"/>
            <w:vAlign w:val="bottom"/>
            <w:shd w:val="clear" w:color="auto" w:fill="CCEEFF"/>
          </w:tcPr>
          <w:p>
            <w:pPr>
              <w:spacing w:after="0"/>
              <w:rPr>
                <w:sz w:val="11"/>
                <w:szCs w:val="11"/>
                <w:color w:val="auto"/>
              </w:rPr>
            </w:pPr>
          </w:p>
        </w:tc>
        <w:tc>
          <w:tcPr>
            <w:tcW w:w="300" w:type="dxa"/>
            <w:vAlign w:val="bottom"/>
            <w:vMerge w:val="restart"/>
            <w:shd w:val="clear" w:color="auto" w:fill="CCEEFF"/>
          </w:tcPr>
          <w:p>
            <w:pPr>
              <w:jc w:val="right"/>
              <w:ind w:right="146"/>
              <w:spacing w:after="0"/>
              <w:rPr>
                <w:sz w:val="20"/>
                <w:szCs w:val="20"/>
                <w:color w:val="auto"/>
              </w:rPr>
            </w:pPr>
            <w:r>
              <w:rPr>
                <w:rFonts w:ascii="Arial" w:cs="Arial" w:eastAsia="Arial" w:hAnsi="Arial"/>
                <w:sz w:val="11"/>
                <w:szCs w:val="11"/>
                <w:color w:val="auto"/>
              </w:rPr>
              <w:t>$</w:t>
            </w:r>
          </w:p>
        </w:tc>
        <w:tc>
          <w:tcPr>
            <w:tcW w:w="60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(1,164)</w:t>
            </w:r>
          </w:p>
        </w:tc>
        <w:tc>
          <w:tcPr>
            <w:tcW w:w="10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66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194,338</w:t>
            </w:r>
          </w:p>
        </w:tc>
        <w:tc>
          <w:tcPr>
            <w:tcW w:w="0" w:type="dxa"/>
            <w:vAlign w:val="bottom"/>
          </w:tcPr>
          <w:p>
            <w:pPr>
              <w:spacing w:after="0"/>
              <w:rPr>
                <w:sz w:val="1"/>
                <w:szCs w:val="1"/>
                <w:color w:val="auto"/>
              </w:rPr>
            </w:pPr>
          </w:p>
        </w:tc>
      </w:tr>
      <w:tr>
        <w:trPr>
          <w:trHeight w:val="103"/>
        </w:trPr>
        <w:tc>
          <w:tcPr>
            <w:tcW w:w="3440" w:type="dxa"/>
            <w:vAlign w:val="bottom"/>
            <w:tcBorders>
              <w:bottom w:val="single" w:sz="8" w:color="CCEEFF"/>
            </w:tcBorders>
            <w:shd w:val="clear" w:color="auto" w:fill="CCEEFF"/>
          </w:tcPr>
          <w:p>
            <w:pPr>
              <w:spacing w:after="0"/>
              <w:rPr>
                <w:sz w:val="8"/>
                <w:szCs w:val="8"/>
                <w:color w:val="auto"/>
              </w:rPr>
            </w:pPr>
          </w:p>
        </w:tc>
        <w:tc>
          <w:tcPr>
            <w:tcW w:w="260" w:type="dxa"/>
            <w:vAlign w:val="bottom"/>
            <w:tcBorders>
              <w:bottom w:val="single" w:sz="8" w:color="CCEEFF"/>
            </w:tcBorders>
            <w:vMerge w:val="continue"/>
            <w:shd w:val="clear" w:color="auto" w:fill="CCEEFF"/>
          </w:tcPr>
          <w:p>
            <w:pPr>
              <w:spacing w:after="0"/>
              <w:rPr>
                <w:sz w:val="8"/>
                <w:szCs w:val="8"/>
                <w:color w:val="auto"/>
              </w:rPr>
            </w:pPr>
          </w:p>
        </w:tc>
        <w:tc>
          <w:tcPr>
            <w:tcW w:w="68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80" w:type="dxa"/>
            <w:vAlign w:val="bottom"/>
            <w:tcBorders>
              <w:bottom w:val="single" w:sz="8" w:color="CCEEFF"/>
            </w:tcBorders>
            <w:vMerge w:val="continue"/>
            <w:shd w:val="clear" w:color="auto" w:fill="CCEEFF"/>
          </w:tcPr>
          <w:p>
            <w:pPr>
              <w:spacing w:after="0"/>
              <w:rPr>
                <w:sz w:val="8"/>
                <w:szCs w:val="8"/>
                <w:color w:val="auto"/>
              </w:rPr>
            </w:pPr>
          </w:p>
        </w:tc>
        <w:tc>
          <w:tcPr>
            <w:tcW w:w="64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300" w:type="dxa"/>
            <w:vAlign w:val="bottom"/>
            <w:tcBorders>
              <w:bottom w:val="single" w:sz="8" w:color="CCEEFF"/>
            </w:tcBorders>
            <w:vMerge w:val="continue"/>
            <w:shd w:val="clear" w:color="auto" w:fill="CCEEFF"/>
          </w:tcPr>
          <w:p>
            <w:pPr>
              <w:spacing w:after="0"/>
              <w:rPr>
                <w:sz w:val="8"/>
                <w:szCs w:val="8"/>
                <w:color w:val="auto"/>
              </w:rPr>
            </w:pPr>
          </w:p>
        </w:tc>
        <w:tc>
          <w:tcPr>
            <w:tcW w:w="64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60" w:type="dxa"/>
            <w:vAlign w:val="bottom"/>
            <w:tcBorders>
              <w:bottom w:val="single" w:sz="8" w:color="CCEEFF"/>
            </w:tcBorders>
            <w:vMerge w:val="continue"/>
            <w:shd w:val="clear" w:color="auto" w:fill="CCEEFF"/>
          </w:tcPr>
          <w:p>
            <w:pPr>
              <w:spacing w:after="0"/>
              <w:rPr>
                <w:sz w:val="8"/>
                <w:szCs w:val="8"/>
                <w:color w:val="auto"/>
              </w:rPr>
            </w:pPr>
          </w:p>
        </w:tc>
        <w:tc>
          <w:tcPr>
            <w:tcW w:w="68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vMerge w:val="continue"/>
            <w:shd w:val="clear" w:color="auto" w:fill="CCEEFF"/>
          </w:tcPr>
          <w:p>
            <w:pPr>
              <w:spacing w:after="0"/>
              <w:rPr>
                <w:sz w:val="8"/>
                <w:szCs w:val="8"/>
                <w:color w:val="auto"/>
              </w:rPr>
            </w:pPr>
          </w:p>
        </w:tc>
        <w:tc>
          <w:tcPr>
            <w:tcW w:w="60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80" w:type="dxa"/>
            <w:vAlign w:val="bottom"/>
            <w:tcBorders>
              <w:bottom w:val="single" w:sz="8" w:color="CCEEFF"/>
            </w:tcBorders>
            <w:vMerge w:val="continue"/>
            <w:shd w:val="clear" w:color="auto" w:fill="CCEEFF"/>
          </w:tcPr>
          <w:p>
            <w:pPr>
              <w:spacing w:after="0"/>
              <w:rPr>
                <w:sz w:val="8"/>
                <w:szCs w:val="8"/>
                <w:color w:val="auto"/>
              </w:rPr>
            </w:pPr>
          </w:p>
        </w:tc>
        <w:tc>
          <w:tcPr>
            <w:tcW w:w="62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300" w:type="dxa"/>
            <w:vAlign w:val="bottom"/>
            <w:tcBorders>
              <w:bottom w:val="single" w:sz="8" w:color="CCEEFF"/>
            </w:tcBorders>
            <w:vMerge w:val="continue"/>
            <w:shd w:val="clear" w:color="auto" w:fill="CCEEFF"/>
          </w:tcPr>
          <w:p>
            <w:pPr>
              <w:spacing w:after="0"/>
              <w:rPr>
                <w:sz w:val="8"/>
                <w:szCs w:val="8"/>
                <w:color w:val="auto"/>
              </w:rPr>
            </w:pPr>
          </w:p>
        </w:tc>
        <w:tc>
          <w:tcPr>
            <w:tcW w:w="60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40" w:type="dxa"/>
            <w:vAlign w:val="bottom"/>
            <w:tcBorders>
              <w:bottom w:val="single" w:sz="8" w:color="CCEEFF"/>
            </w:tcBorders>
            <w:vMerge w:val="continue"/>
            <w:shd w:val="clear" w:color="auto" w:fill="CCEEFF"/>
          </w:tcPr>
          <w:p>
            <w:pPr>
              <w:spacing w:after="0"/>
              <w:rPr>
                <w:sz w:val="8"/>
                <w:szCs w:val="8"/>
                <w:color w:val="auto"/>
              </w:rPr>
            </w:pPr>
          </w:p>
        </w:tc>
        <w:tc>
          <w:tcPr>
            <w:tcW w:w="66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_________</w:t>
      </w:r>
    </w:p>
    <w:p>
      <w:pPr>
        <w:spacing w:after="0" w:line="20" w:lineRule="exact"/>
        <w:rPr>
          <w:sz w:val="20"/>
          <w:szCs w:val="20"/>
          <w:color w:val="auto"/>
        </w:rPr>
      </w:pPr>
    </w:p>
    <w:p>
      <w:pPr>
        <w:jc w:val="both"/>
        <w:ind w:left="340" w:hanging="332"/>
        <w:spacing w:after="0" w:line="230" w:lineRule="auto"/>
        <w:tabs>
          <w:tab w:leader="none" w:pos="340" w:val="left"/>
        </w:tabs>
        <w:numPr>
          <w:ilvl w:val="0"/>
          <w:numId w:val="7"/>
        </w:numPr>
        <w:rPr>
          <w:rFonts w:ascii="Arial" w:cs="Arial" w:eastAsia="Arial" w:hAnsi="Arial"/>
          <w:sz w:val="11"/>
          <w:szCs w:val="11"/>
          <w:color w:val="auto"/>
        </w:rPr>
      </w:pPr>
      <w:r>
        <w:rPr>
          <w:rFonts w:ascii="Arial" w:cs="Arial" w:eastAsia="Arial" w:hAnsi="Arial"/>
          <w:sz w:val="11"/>
          <w:szCs w:val="11"/>
          <w:color w:val="auto"/>
        </w:rPr>
        <w:t>Eliminations include Automotive accounts receivables of $405 million offset by GM Financial accounts payables, GM Financial accounts receivables of $409 million offset by Automotive accounts payable and GM Financial notes receivables of $441 million offset by loans to Automotive at September 30, 2016 and Automotive accounts receivables of $358 million offset by GM Financial accounts payables, GM Financial accounts receivables of $409 million offset by Automotive accounts payable and GM Financial notes receivables of $163 million offset by loans to Automotive at December 31, 2015.</w:t>
      </w:r>
    </w:p>
    <w:p>
      <w:pPr>
        <w:spacing w:after="0" w:line="1" w:lineRule="exact"/>
        <w:rPr>
          <w:rFonts w:ascii="Arial" w:cs="Arial" w:eastAsia="Arial" w:hAnsi="Arial"/>
          <w:sz w:val="11"/>
          <w:szCs w:val="11"/>
          <w:color w:val="auto"/>
        </w:rPr>
      </w:pPr>
    </w:p>
    <w:p>
      <w:pPr>
        <w:ind w:left="340" w:hanging="332"/>
        <w:spacing w:after="0" w:line="230" w:lineRule="auto"/>
        <w:tabs>
          <w:tab w:leader="none" w:pos="340" w:val="left"/>
        </w:tabs>
        <w:numPr>
          <w:ilvl w:val="0"/>
          <w:numId w:val="7"/>
        </w:numPr>
        <w:rPr>
          <w:rFonts w:ascii="Arial" w:cs="Arial" w:eastAsia="Arial" w:hAnsi="Arial"/>
          <w:sz w:val="11"/>
          <w:szCs w:val="11"/>
          <w:color w:val="auto"/>
        </w:rPr>
      </w:pPr>
      <w:r>
        <w:rPr>
          <w:rFonts w:ascii="Arial" w:cs="Arial" w:eastAsia="Arial" w:hAnsi="Arial"/>
          <w:sz w:val="11"/>
          <w:szCs w:val="11"/>
          <w:color w:val="auto"/>
        </w:rPr>
        <w:t>Eliminations include GM Financial receivables of $338 million and $230 million offset by loans to Automotive at September 30, 2016 and December 31, 2015.</w:t>
      </w:r>
    </w:p>
    <w:p>
      <w:pPr>
        <w:ind w:left="340" w:hanging="332"/>
        <w:spacing w:after="0" w:line="230" w:lineRule="auto"/>
        <w:tabs>
          <w:tab w:leader="none" w:pos="340" w:val="left"/>
        </w:tabs>
        <w:numPr>
          <w:ilvl w:val="0"/>
          <w:numId w:val="7"/>
        </w:numPr>
        <w:rPr>
          <w:rFonts w:ascii="Arial" w:cs="Arial" w:eastAsia="Arial" w:hAnsi="Arial"/>
          <w:sz w:val="11"/>
          <w:szCs w:val="11"/>
          <w:color w:val="auto"/>
        </w:rPr>
      </w:pPr>
      <w:r>
        <w:rPr>
          <w:rFonts w:ascii="Arial" w:cs="Arial" w:eastAsia="Arial" w:hAnsi="Arial"/>
          <w:sz w:val="11"/>
          <w:szCs w:val="11"/>
          <w:color w:val="auto"/>
        </w:rPr>
        <w:t>As a result of GM's adoption of Accounting Standards Update 2015-17, certain prior year amounts have been reclassified.</w:t>
      </w:r>
    </w:p>
    <w:p>
      <w:pPr>
        <w:ind w:left="340" w:hanging="332"/>
        <w:spacing w:after="0"/>
        <w:tabs>
          <w:tab w:leader="none" w:pos="340" w:val="left"/>
        </w:tabs>
        <w:numPr>
          <w:ilvl w:val="0"/>
          <w:numId w:val="7"/>
        </w:numPr>
        <w:rPr>
          <w:rFonts w:ascii="Arial" w:cs="Arial" w:eastAsia="Arial" w:hAnsi="Arial"/>
          <w:sz w:val="11"/>
          <w:szCs w:val="11"/>
          <w:color w:val="auto"/>
        </w:rPr>
      </w:pPr>
      <w:r>
        <w:rPr>
          <w:rFonts w:ascii="Arial" w:cs="Arial" w:eastAsia="Arial" w:hAnsi="Arial"/>
          <w:sz w:val="11"/>
          <w:szCs w:val="11"/>
          <w:color w:val="auto"/>
        </w:rPr>
        <w:t>Elimination represents a $415 million loan to GM Financial under support agreement entered into in September 2014 offset by Automotive accounts and notes receivable.</w:t>
      </w:r>
    </w:p>
    <w:p>
      <w:pPr>
        <w:sectPr>
          <w:pgSz w:w="11900" w:h="16838" w:orient="portrait"/>
          <w:cols w:equalWidth="0" w:num="1">
            <w:col w:w="11420"/>
          </w:cols>
          <w:pgMar w:left="240" w:top="581" w:right="239" w:bottom="169"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9019"/>
          </w:cols>
          <w:pgMar w:left="1440" w:top="601" w:right="1440" w:bottom="1440" w:gutter="0" w:footer="0" w:header="0"/>
        </w:sectPr>
      </w:pPr>
    </w:p>
    <w:bookmarkStart w:id="19" w:name="page20"/>
    <w:bookmarkEnd w:id="19"/>
    <w:p>
      <w:pPr>
        <w:jc w:val="center"/>
        <w:ind w:left="114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left="1140"/>
        <w:spacing w:after="0"/>
        <w:rPr>
          <w:sz w:val="20"/>
          <w:szCs w:val="20"/>
          <w:color w:val="auto"/>
        </w:rPr>
      </w:pPr>
      <w:r>
        <w:rPr>
          <w:rFonts w:ascii="Arial" w:cs="Arial" w:eastAsia="Arial" w:hAnsi="Arial"/>
          <w:sz w:val="16"/>
          <w:szCs w:val="16"/>
          <w:b w:val="1"/>
          <w:bCs w:val="1"/>
          <w:color w:val="auto"/>
        </w:rPr>
        <w:t>Condensed Consolidating Statements of Cash Flows</w:t>
      </w:r>
    </w:p>
    <w:p>
      <w:pPr>
        <w:spacing w:after="0" w:line="5" w:lineRule="exact"/>
        <w:rPr>
          <w:sz w:val="20"/>
          <w:szCs w:val="20"/>
          <w:color w:val="auto"/>
        </w:rPr>
      </w:pPr>
    </w:p>
    <w:p>
      <w:pPr>
        <w:jc w:val="center"/>
        <w:ind w:left="1140"/>
        <w:spacing w:after="0"/>
        <w:rPr>
          <w:sz w:val="20"/>
          <w:szCs w:val="20"/>
          <w:color w:val="auto"/>
        </w:rPr>
      </w:pPr>
      <w:r>
        <w:rPr>
          <w:rFonts w:ascii="Arial" w:cs="Arial" w:eastAsia="Arial" w:hAnsi="Arial"/>
          <w:sz w:val="16"/>
          <w:szCs w:val="16"/>
          <w:i w:val="1"/>
          <w:iCs w:val="1"/>
          <w:color w:val="auto"/>
        </w:rPr>
        <w:t>(In millions) (Unaudited)</w:t>
      </w:r>
    </w:p>
    <w:p>
      <w:pPr>
        <w:spacing w:after="0" w:line="276" w:lineRule="exact"/>
        <w:rPr>
          <w:sz w:val="20"/>
          <w:szCs w:val="20"/>
          <w:color w:val="auto"/>
        </w:rPr>
      </w:pPr>
    </w:p>
    <w:tbl>
      <w:tblPr>
        <w:tblLayout w:type="fixed"/>
        <w:tblInd w:w="2540" w:type="dxa"/>
        <w:tblCellMar>
          <w:top w:w="0" w:type="dxa"/>
          <w:left w:w="0" w:type="dxa"/>
          <w:bottom w:w="0" w:type="dxa"/>
          <w:right w:w="0" w:type="dxa"/>
        </w:tblCellMar>
      </w:tblPr>
      <w:tr>
        <w:trPr>
          <w:trHeight w:val="125"/>
        </w:trPr>
        <w:tc>
          <w:tcPr>
            <w:tcW w:w="900" w:type="dxa"/>
            <w:vAlign w:val="bottom"/>
            <w:tcBorders>
              <w:bottom w:val="single" w:sz="8" w:color="auto"/>
            </w:tcBorders>
          </w:tcPr>
          <w:p>
            <w:pPr>
              <w:spacing w:after="0"/>
              <w:rPr>
                <w:sz w:val="10"/>
                <w:szCs w:val="10"/>
                <w:color w:val="auto"/>
              </w:rPr>
            </w:pPr>
          </w:p>
        </w:tc>
        <w:tc>
          <w:tcPr>
            <w:tcW w:w="2380" w:type="dxa"/>
            <w:vAlign w:val="bottom"/>
            <w:tcBorders>
              <w:bottom w:val="single" w:sz="8" w:color="auto"/>
            </w:tcBorders>
            <w:gridSpan w:val="2"/>
          </w:tcPr>
          <w:p>
            <w:pPr>
              <w:ind w:left="380"/>
              <w:spacing w:after="0"/>
              <w:rPr>
                <w:sz w:val="20"/>
                <w:szCs w:val="20"/>
                <w:color w:val="auto"/>
              </w:rPr>
            </w:pPr>
            <w:r>
              <w:rPr>
                <w:rFonts w:ascii="Arial" w:cs="Arial" w:eastAsia="Arial" w:hAnsi="Arial"/>
                <w:sz w:val="9"/>
                <w:szCs w:val="9"/>
                <w:b w:val="1"/>
                <w:bCs w:val="1"/>
                <w:color w:val="auto"/>
              </w:rPr>
              <w:t>Nine Months Ended September 30, 2016</w:t>
            </w:r>
          </w:p>
        </w:tc>
        <w:tc>
          <w:tcPr>
            <w:tcW w:w="9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320" w:type="dxa"/>
            <w:vAlign w:val="bottom"/>
            <w:tcBorders>
              <w:bottom w:val="single" w:sz="8" w:color="auto"/>
            </w:tcBorders>
            <w:gridSpan w:val="2"/>
          </w:tcPr>
          <w:p>
            <w:pPr>
              <w:ind w:left="380"/>
              <w:spacing w:after="0"/>
              <w:rPr>
                <w:sz w:val="20"/>
                <w:szCs w:val="20"/>
                <w:color w:val="auto"/>
              </w:rPr>
            </w:pPr>
            <w:r>
              <w:rPr>
                <w:rFonts w:ascii="Arial" w:cs="Arial" w:eastAsia="Arial" w:hAnsi="Arial"/>
                <w:sz w:val="9"/>
                <w:szCs w:val="9"/>
                <w:b w:val="1"/>
                <w:bCs w:val="1"/>
                <w:color w:val="auto"/>
              </w:rPr>
              <w:t>Nine Months Ended September 30, 2015</w:t>
            </w:r>
          </w:p>
        </w:tc>
        <w:tc>
          <w:tcPr>
            <w:tcW w:w="960" w:type="dxa"/>
            <w:vAlign w:val="bottom"/>
            <w:tcBorders>
              <w:bottom w:val="single" w:sz="8" w:color="auto"/>
            </w:tcBorders>
          </w:tcPr>
          <w:p>
            <w:pPr>
              <w:spacing w:after="0"/>
              <w:rPr>
                <w:sz w:val="10"/>
                <w:szCs w:val="10"/>
                <w:color w:val="auto"/>
              </w:rPr>
            </w:pPr>
          </w:p>
        </w:tc>
      </w:tr>
      <w:tr>
        <w:trPr>
          <w:trHeight w:val="256"/>
        </w:trPr>
        <w:tc>
          <w:tcPr>
            <w:tcW w:w="900" w:type="dxa"/>
            <w:vAlign w:val="bottom"/>
          </w:tcPr>
          <w:p>
            <w:pPr>
              <w:ind w:left="160"/>
              <w:spacing w:after="0"/>
              <w:rPr>
                <w:sz w:val="20"/>
                <w:szCs w:val="20"/>
                <w:color w:val="auto"/>
              </w:rPr>
            </w:pPr>
            <w:r>
              <w:rPr>
                <w:rFonts w:ascii="Arial" w:cs="Arial" w:eastAsia="Arial" w:hAnsi="Arial"/>
                <w:sz w:val="9"/>
                <w:szCs w:val="9"/>
                <w:b w:val="1"/>
                <w:bCs w:val="1"/>
                <w:color w:val="auto"/>
              </w:rPr>
              <w:t>Automotive</w:t>
            </w:r>
          </w:p>
        </w:tc>
        <w:tc>
          <w:tcPr>
            <w:tcW w:w="1100" w:type="dxa"/>
            <w:vAlign w:val="bottom"/>
          </w:tcPr>
          <w:p>
            <w:pPr>
              <w:ind w:left="260"/>
              <w:spacing w:after="0"/>
              <w:rPr>
                <w:sz w:val="20"/>
                <w:szCs w:val="20"/>
                <w:color w:val="auto"/>
              </w:rPr>
            </w:pPr>
            <w:r>
              <w:rPr>
                <w:rFonts w:ascii="Arial" w:cs="Arial" w:eastAsia="Arial" w:hAnsi="Arial"/>
                <w:sz w:val="9"/>
                <w:szCs w:val="9"/>
                <w:b w:val="1"/>
                <w:bCs w:val="1"/>
                <w:color w:val="auto"/>
              </w:rPr>
              <w:t>GM Financial</w:t>
            </w:r>
          </w:p>
        </w:tc>
        <w:tc>
          <w:tcPr>
            <w:tcW w:w="1280" w:type="dxa"/>
            <w:vAlign w:val="bottom"/>
          </w:tcPr>
          <w:p>
            <w:pPr>
              <w:ind w:left="260"/>
              <w:spacing w:after="0"/>
              <w:rPr>
                <w:sz w:val="20"/>
                <w:szCs w:val="20"/>
                <w:color w:val="auto"/>
              </w:rPr>
            </w:pPr>
            <w:r>
              <w:rPr>
                <w:rFonts w:ascii="Arial" w:cs="Arial" w:eastAsia="Arial" w:hAnsi="Arial"/>
                <w:sz w:val="9"/>
                <w:szCs w:val="9"/>
                <w:b w:val="1"/>
                <w:bCs w:val="1"/>
                <w:color w:val="auto"/>
              </w:rPr>
              <w:t>Reclassification(a)</w:t>
            </w:r>
          </w:p>
        </w:tc>
        <w:tc>
          <w:tcPr>
            <w:tcW w:w="1060" w:type="dxa"/>
            <w:vAlign w:val="bottom"/>
            <w:gridSpan w:val="2"/>
          </w:tcPr>
          <w:p>
            <w:pPr>
              <w:ind w:left="240"/>
              <w:spacing w:after="0"/>
              <w:rPr>
                <w:sz w:val="20"/>
                <w:szCs w:val="20"/>
                <w:color w:val="auto"/>
              </w:rPr>
            </w:pPr>
            <w:r>
              <w:rPr>
                <w:rFonts w:ascii="Arial" w:cs="Arial" w:eastAsia="Arial" w:hAnsi="Arial"/>
                <w:sz w:val="9"/>
                <w:szCs w:val="9"/>
                <w:b w:val="1"/>
                <w:bCs w:val="1"/>
                <w:color w:val="auto"/>
              </w:rPr>
              <w:t>Consolidated</w:t>
            </w:r>
          </w:p>
        </w:tc>
        <w:tc>
          <w:tcPr>
            <w:tcW w:w="860" w:type="dxa"/>
            <w:vAlign w:val="bottom"/>
          </w:tcPr>
          <w:p>
            <w:pPr>
              <w:ind w:left="140"/>
              <w:spacing w:after="0"/>
              <w:rPr>
                <w:sz w:val="20"/>
                <w:szCs w:val="20"/>
                <w:color w:val="auto"/>
              </w:rPr>
            </w:pPr>
            <w:r>
              <w:rPr>
                <w:rFonts w:ascii="Arial" w:cs="Arial" w:eastAsia="Arial" w:hAnsi="Arial"/>
                <w:sz w:val="9"/>
                <w:szCs w:val="9"/>
                <w:b w:val="1"/>
                <w:bCs w:val="1"/>
                <w:color w:val="auto"/>
              </w:rPr>
              <w:t>Automotive</w:t>
            </w: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GM Financial</w:t>
            </w:r>
          </w:p>
        </w:tc>
        <w:tc>
          <w:tcPr>
            <w:tcW w:w="1280" w:type="dxa"/>
            <w:vAlign w:val="bottom"/>
          </w:tcPr>
          <w:p>
            <w:pPr>
              <w:ind w:left="260"/>
              <w:spacing w:after="0"/>
              <w:rPr>
                <w:sz w:val="20"/>
                <w:szCs w:val="20"/>
                <w:color w:val="auto"/>
              </w:rPr>
            </w:pPr>
            <w:r>
              <w:rPr>
                <w:rFonts w:ascii="Arial" w:cs="Arial" w:eastAsia="Arial" w:hAnsi="Arial"/>
                <w:sz w:val="9"/>
                <w:szCs w:val="9"/>
                <w:b w:val="1"/>
                <w:bCs w:val="1"/>
                <w:color w:val="auto"/>
              </w:rPr>
              <w:t>Reclassification(a)</w:t>
            </w:r>
          </w:p>
        </w:tc>
        <w:tc>
          <w:tcPr>
            <w:tcW w:w="960" w:type="dxa"/>
            <w:vAlign w:val="bottom"/>
          </w:tcPr>
          <w:p>
            <w:pPr>
              <w:ind w:left="240"/>
              <w:spacing w:after="0"/>
              <w:rPr>
                <w:sz w:val="20"/>
                <w:szCs w:val="20"/>
                <w:color w:val="auto"/>
              </w:rPr>
            </w:pPr>
            <w:r>
              <w:rPr>
                <w:rFonts w:ascii="Arial" w:cs="Arial" w:eastAsia="Arial" w:hAnsi="Arial"/>
                <w:sz w:val="9"/>
                <w:szCs w:val="9"/>
                <w:b w:val="1"/>
                <w:bCs w:val="1"/>
                <w:color w:val="auto"/>
              </w:rPr>
              <w:t>Consolidated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1617345</wp:posOffset>
            </wp:positionH>
            <wp:positionV relativeFrom="paragraph">
              <wp:posOffset>9525</wp:posOffset>
            </wp:positionV>
            <wp:extent cx="53771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377180" cy="889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6989445"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89445" cy="171450"/>
                    </a:xfrm>
                    <a:prstGeom prst="rect">
                      <a:avLst/>
                    </a:prstGeom>
                    <a:noFill/>
                  </pic:spPr>
                </pic:pic>
              </a:graphicData>
            </a:graphic>
          </wp:anchor>
        </w:drawing>
      </w:r>
    </w:p>
    <w:p>
      <w:pPr>
        <w:sectPr>
          <w:pgSz w:w="11900" w:h="16838" w:orient="portrait"/>
          <w:cols w:equalWidth="0" w:num="1">
            <w:col w:w="11020"/>
          </w:cols>
          <w:pgMar w:left="240" w:top="581" w:right="639" w:bottom="1440" w:gutter="0" w:footer="0" w:header="0"/>
        </w:sectPr>
      </w:pP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2720" w:type="dxa"/>
            <w:vAlign w:val="bottom"/>
            <w:gridSpan w:val="2"/>
          </w:tcPr>
          <w:p>
            <w:pPr>
              <w:ind w:left="140"/>
              <w:spacing w:after="0"/>
              <w:rPr>
                <w:sz w:val="20"/>
                <w:szCs w:val="20"/>
                <w:color w:val="auto"/>
              </w:rPr>
            </w:pPr>
            <w:r>
              <w:rPr>
                <w:rFonts w:ascii="Arial" w:cs="Arial" w:eastAsia="Arial" w:hAnsi="Arial"/>
                <w:sz w:val="11"/>
                <w:szCs w:val="11"/>
                <w:color w:val="auto"/>
              </w:rPr>
              <w:t>Net income</w:t>
            </w:r>
          </w:p>
        </w:tc>
        <w:tc>
          <w:tcPr>
            <w:tcW w:w="580" w:type="dxa"/>
            <w:vAlign w:val="bottom"/>
            <w:vMerge w:val="restart"/>
          </w:tcPr>
          <w:p>
            <w:pPr>
              <w:jc w:val="right"/>
              <w:ind w:right="66"/>
              <w:spacing w:after="0"/>
              <w:rPr>
                <w:sz w:val="20"/>
                <w:szCs w:val="20"/>
                <w:color w:val="auto"/>
              </w:rPr>
            </w:pPr>
            <w:r>
              <w:rPr>
                <w:rFonts w:ascii="Arial" w:cs="Arial" w:eastAsia="Arial" w:hAnsi="Arial"/>
                <w:sz w:val="11"/>
                <w:szCs w:val="11"/>
                <w:color w:val="auto"/>
              </w:rPr>
              <w:t>6,918</w:t>
            </w:r>
          </w:p>
        </w:tc>
        <w:tc>
          <w:tcPr>
            <w:tcW w:w="120" w:type="dxa"/>
            <w:vAlign w:val="bottom"/>
          </w:tcPr>
          <w:p>
            <w:pPr>
              <w:spacing w:after="0"/>
              <w:rPr>
                <w:sz w:val="10"/>
                <w:szCs w:val="10"/>
                <w:color w:val="auto"/>
              </w:rPr>
            </w:pPr>
          </w:p>
        </w:tc>
        <w:tc>
          <w:tcPr>
            <w:tcW w:w="320" w:type="dxa"/>
            <w:vAlign w:val="bottom"/>
            <w:vMerge w:val="restart"/>
          </w:tcPr>
          <w:p>
            <w:pPr>
              <w:jc w:val="right"/>
              <w:ind w:right="166"/>
              <w:spacing w:after="0"/>
              <w:rPr>
                <w:sz w:val="20"/>
                <w:szCs w:val="20"/>
                <w:color w:val="auto"/>
              </w:rPr>
            </w:pPr>
            <w:r>
              <w:rPr>
                <w:rFonts w:ascii="Arial" w:cs="Arial" w:eastAsia="Arial" w:hAnsi="Arial"/>
                <w:sz w:val="11"/>
                <w:szCs w:val="11"/>
                <w:color w:val="auto"/>
              </w:rPr>
              <w:t>$</w:t>
            </w:r>
          </w:p>
        </w:tc>
        <w:tc>
          <w:tcPr>
            <w:tcW w:w="720" w:type="dxa"/>
            <w:vAlign w:val="bottom"/>
            <w:vMerge w:val="restart"/>
          </w:tcPr>
          <w:p>
            <w:pPr>
              <w:jc w:val="right"/>
              <w:ind w:right="66"/>
              <w:spacing w:after="0"/>
              <w:rPr>
                <w:sz w:val="20"/>
                <w:szCs w:val="20"/>
                <w:color w:val="auto"/>
              </w:rPr>
            </w:pPr>
            <w:r>
              <w:rPr>
                <w:rFonts w:ascii="Arial" w:cs="Arial" w:eastAsia="Arial" w:hAnsi="Arial"/>
                <w:sz w:val="11"/>
                <w:szCs w:val="11"/>
                <w:color w:val="auto"/>
              </w:rPr>
              <w:t>575</w:t>
            </w:r>
          </w:p>
        </w:tc>
        <w:tc>
          <w:tcPr>
            <w:tcW w:w="100" w:type="dxa"/>
            <w:vAlign w:val="bottom"/>
          </w:tcPr>
          <w:p>
            <w:pPr>
              <w:spacing w:after="0"/>
              <w:rPr>
                <w:sz w:val="10"/>
                <w:szCs w:val="10"/>
                <w:color w:val="auto"/>
              </w:rPr>
            </w:pPr>
          </w:p>
        </w:tc>
        <w:tc>
          <w:tcPr>
            <w:tcW w:w="440" w:type="dxa"/>
            <w:vAlign w:val="bottom"/>
            <w:vMerge w:val="restart"/>
          </w:tcPr>
          <w:p>
            <w:pPr>
              <w:jc w:val="right"/>
              <w:ind w:right="306"/>
              <w:spacing w:after="0"/>
              <w:rPr>
                <w:sz w:val="20"/>
                <w:szCs w:val="20"/>
                <w:color w:val="auto"/>
              </w:rPr>
            </w:pPr>
            <w:r>
              <w:rPr>
                <w:rFonts w:ascii="Arial" w:cs="Arial" w:eastAsia="Arial" w:hAnsi="Arial"/>
                <w:sz w:val="11"/>
                <w:szCs w:val="11"/>
                <w:color w:val="auto"/>
                <w:w w:val="97"/>
              </w:rPr>
              <w:t>$</w:t>
            </w:r>
          </w:p>
        </w:tc>
        <w:tc>
          <w:tcPr>
            <w:tcW w:w="76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0"/>
        </w:trPr>
        <w:tc>
          <w:tcPr>
            <w:tcW w:w="2720" w:type="dxa"/>
            <w:vAlign w:val="bottom"/>
            <w:gridSpan w:val="2"/>
          </w:tcPr>
          <w:p>
            <w:pPr>
              <w:ind w:left="2540"/>
              <w:spacing w:after="0"/>
              <w:rPr>
                <w:sz w:val="20"/>
                <w:szCs w:val="20"/>
                <w:color w:val="auto"/>
              </w:rPr>
            </w:pPr>
            <w:r>
              <w:rPr>
                <w:rFonts w:ascii="Arial" w:cs="Arial" w:eastAsia="Arial" w:hAnsi="Arial"/>
                <w:sz w:val="11"/>
                <w:szCs w:val="11"/>
                <w:color w:val="auto"/>
              </w:rPr>
              <w:t>$</w:t>
            </w:r>
          </w:p>
        </w:tc>
        <w:tc>
          <w:tcPr>
            <w:tcW w:w="5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720" w:type="dxa"/>
            <w:vAlign w:val="bottom"/>
            <w:gridSpan w:val="2"/>
          </w:tcPr>
          <w:p>
            <w:pPr>
              <w:ind w:left="140"/>
              <w:spacing w:after="0"/>
              <w:rPr>
                <w:sz w:val="20"/>
                <w:szCs w:val="20"/>
                <w:color w:val="auto"/>
              </w:rPr>
            </w:pPr>
            <w:r>
              <w:rPr>
                <w:rFonts w:ascii="Arial" w:cs="Arial" w:eastAsia="Arial" w:hAnsi="Arial"/>
                <w:sz w:val="11"/>
                <w:szCs w:val="11"/>
                <w:color w:val="auto"/>
              </w:rPr>
              <w:t>Depreciation, amortization and impairment</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720" w:type="dxa"/>
            <w:vAlign w:val="bottom"/>
            <w:gridSpan w:val="2"/>
          </w:tcPr>
          <w:p>
            <w:pPr>
              <w:ind w:left="300"/>
              <w:spacing w:after="0"/>
              <w:rPr>
                <w:sz w:val="20"/>
                <w:szCs w:val="20"/>
                <w:color w:val="auto"/>
              </w:rPr>
            </w:pPr>
            <w:r>
              <w:rPr>
                <w:rFonts w:ascii="Arial" w:cs="Arial" w:eastAsia="Arial" w:hAnsi="Arial"/>
                <w:sz w:val="11"/>
                <w:szCs w:val="11"/>
                <w:color w:val="auto"/>
              </w:rPr>
              <w:t>charges</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4,244</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3,313</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7"/>
        </w:trPr>
        <w:tc>
          <w:tcPr>
            <w:tcW w:w="2720" w:type="dxa"/>
            <w:vAlign w:val="bottom"/>
            <w:gridSpan w:val="2"/>
          </w:tcPr>
          <w:p>
            <w:pPr>
              <w:ind w:left="140"/>
              <w:spacing w:after="0"/>
              <w:rPr>
                <w:sz w:val="20"/>
                <w:szCs w:val="20"/>
                <w:color w:val="auto"/>
              </w:rPr>
            </w:pPr>
            <w:r>
              <w:rPr>
                <w:rFonts w:ascii="Arial" w:cs="Arial" w:eastAsia="Arial" w:hAnsi="Arial"/>
                <w:sz w:val="11"/>
                <w:szCs w:val="11"/>
                <w:color w:val="auto"/>
              </w:rPr>
              <w:t>Foreign currency remeasurement and</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720" w:type="dxa"/>
            <w:vAlign w:val="bottom"/>
            <w:gridSpan w:val="2"/>
          </w:tcPr>
          <w:p>
            <w:pPr>
              <w:ind w:left="300"/>
              <w:spacing w:after="0"/>
              <w:rPr>
                <w:sz w:val="20"/>
                <w:szCs w:val="20"/>
                <w:color w:val="auto"/>
              </w:rPr>
            </w:pPr>
            <w:r>
              <w:rPr>
                <w:rFonts w:ascii="Arial" w:cs="Arial" w:eastAsia="Arial" w:hAnsi="Arial"/>
                <w:sz w:val="11"/>
                <w:szCs w:val="11"/>
                <w:color w:val="auto"/>
              </w:rPr>
              <w:t>transaction losses</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262</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8</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7"/>
        </w:trPr>
        <w:tc>
          <w:tcPr>
            <w:tcW w:w="2720" w:type="dxa"/>
            <w:vAlign w:val="bottom"/>
            <w:gridSpan w:val="2"/>
          </w:tcPr>
          <w:p>
            <w:pPr>
              <w:ind w:left="140"/>
              <w:spacing w:after="0"/>
              <w:rPr>
                <w:sz w:val="20"/>
                <w:szCs w:val="20"/>
                <w:color w:val="auto"/>
              </w:rPr>
            </w:pPr>
            <w:r>
              <w:rPr>
                <w:rFonts w:ascii="Arial" w:cs="Arial" w:eastAsia="Arial" w:hAnsi="Arial"/>
                <w:sz w:val="11"/>
                <w:szCs w:val="11"/>
                <w:color w:val="auto"/>
              </w:rPr>
              <w:t>Undistributed earnings of nonconsolidated</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720" w:type="dxa"/>
            <w:vAlign w:val="bottom"/>
            <w:gridSpan w:val="2"/>
          </w:tcPr>
          <w:p>
            <w:pPr>
              <w:ind w:left="300"/>
              <w:spacing w:after="0"/>
              <w:rPr>
                <w:sz w:val="20"/>
                <w:szCs w:val="20"/>
                <w:color w:val="auto"/>
              </w:rPr>
            </w:pPr>
            <w:r>
              <w:rPr>
                <w:rFonts w:ascii="Arial" w:cs="Arial" w:eastAsia="Arial" w:hAnsi="Arial"/>
                <w:sz w:val="11"/>
                <w:szCs w:val="11"/>
                <w:color w:val="auto"/>
              </w:rPr>
              <w:t>affiliates, net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380</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20</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6"/>
        </w:trPr>
        <w:tc>
          <w:tcPr>
            <w:tcW w:w="2720" w:type="dxa"/>
            <w:vAlign w:val="bottom"/>
            <w:gridSpan w:val="2"/>
          </w:tcPr>
          <w:p>
            <w:pPr>
              <w:ind w:left="140"/>
              <w:spacing w:after="0"/>
              <w:rPr>
                <w:sz w:val="20"/>
                <w:szCs w:val="20"/>
                <w:color w:val="auto"/>
              </w:rPr>
            </w:pPr>
            <w:r>
              <w:rPr>
                <w:rFonts w:ascii="Arial" w:cs="Arial" w:eastAsia="Arial" w:hAnsi="Arial"/>
                <w:sz w:val="11"/>
                <w:szCs w:val="11"/>
                <w:color w:val="auto"/>
              </w:rPr>
              <w:t>Pension contributions and OPEB payments</w:t>
            </w:r>
          </w:p>
        </w:tc>
        <w:tc>
          <w:tcPr>
            <w:tcW w:w="580" w:type="dxa"/>
            <w:vAlign w:val="bottom"/>
            <w:vMerge w:val="restart"/>
          </w:tcPr>
          <w:p>
            <w:pPr>
              <w:jc w:val="right"/>
              <w:ind w:right="26"/>
              <w:spacing w:after="0"/>
              <w:rPr>
                <w:sz w:val="20"/>
                <w:szCs w:val="20"/>
                <w:color w:val="auto"/>
              </w:rPr>
            </w:pPr>
            <w:r>
              <w:rPr>
                <w:rFonts w:ascii="Arial" w:cs="Arial" w:eastAsia="Arial" w:hAnsi="Arial"/>
                <w:sz w:val="11"/>
                <w:szCs w:val="11"/>
                <w:color w:val="auto"/>
              </w:rPr>
              <w:t>(3,103)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vMerge w:val="restart"/>
          </w:tcPr>
          <w:p>
            <w:pPr>
              <w:jc w:val="right"/>
              <w:ind w:right="4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95"/>
        </w:trPr>
        <w:tc>
          <w:tcPr>
            <w:tcW w:w="2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720" w:type="dxa"/>
            <w:vAlign w:val="bottom"/>
            <w:gridSpan w:val="2"/>
          </w:tcPr>
          <w:p>
            <w:pPr>
              <w:ind w:left="140"/>
              <w:spacing w:after="0"/>
              <w:rPr>
                <w:sz w:val="20"/>
                <w:szCs w:val="20"/>
                <w:color w:val="auto"/>
              </w:rPr>
            </w:pPr>
            <w:r>
              <w:rPr>
                <w:rFonts w:ascii="Arial" w:cs="Arial" w:eastAsia="Arial" w:hAnsi="Arial"/>
                <w:sz w:val="11"/>
                <w:szCs w:val="11"/>
                <w:color w:val="auto"/>
              </w:rPr>
              <w:t>Pension and OPEB (income) expense, net</w:t>
            </w:r>
          </w:p>
        </w:tc>
        <w:tc>
          <w:tcPr>
            <w:tcW w:w="580" w:type="dxa"/>
            <w:vAlign w:val="bottom"/>
            <w:vMerge w:val="restart"/>
          </w:tcPr>
          <w:p>
            <w:pPr>
              <w:jc w:val="right"/>
              <w:ind w:right="26"/>
              <w:spacing w:after="0"/>
              <w:rPr>
                <w:sz w:val="20"/>
                <w:szCs w:val="20"/>
                <w:color w:val="auto"/>
              </w:rPr>
            </w:pPr>
            <w:r>
              <w:rPr>
                <w:rFonts w:ascii="Arial" w:cs="Arial" w:eastAsia="Arial" w:hAnsi="Arial"/>
                <w:sz w:val="11"/>
                <w:szCs w:val="11"/>
                <w:color w:val="auto"/>
              </w:rPr>
              <w:t>(427)</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vMerge w:val="restart"/>
          </w:tcPr>
          <w:p>
            <w:pPr>
              <w:jc w:val="right"/>
              <w:ind w:right="66"/>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95"/>
        </w:trPr>
        <w:tc>
          <w:tcPr>
            <w:tcW w:w="2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720" w:type="dxa"/>
            <w:vAlign w:val="bottom"/>
            <w:gridSpan w:val="2"/>
          </w:tcPr>
          <w:p>
            <w:pPr>
              <w:ind w:left="140"/>
              <w:spacing w:after="0"/>
              <w:rPr>
                <w:sz w:val="20"/>
                <w:szCs w:val="20"/>
                <w:color w:val="auto"/>
              </w:rPr>
            </w:pPr>
            <w:r>
              <w:rPr>
                <w:rFonts w:ascii="Arial" w:cs="Arial" w:eastAsia="Arial" w:hAnsi="Arial"/>
                <w:sz w:val="11"/>
                <w:szCs w:val="11"/>
                <w:color w:val="auto"/>
              </w:rPr>
              <w:t>Provision for deferred taxes</w:t>
            </w:r>
          </w:p>
        </w:tc>
        <w:tc>
          <w:tcPr>
            <w:tcW w:w="580" w:type="dxa"/>
            <w:vAlign w:val="bottom"/>
            <w:vMerge w:val="restart"/>
          </w:tcPr>
          <w:p>
            <w:pPr>
              <w:jc w:val="right"/>
              <w:ind w:right="66"/>
              <w:spacing w:after="0"/>
              <w:rPr>
                <w:sz w:val="20"/>
                <w:szCs w:val="20"/>
                <w:color w:val="auto"/>
              </w:rPr>
            </w:pPr>
            <w:r>
              <w:rPr>
                <w:rFonts w:ascii="Arial" w:cs="Arial" w:eastAsia="Arial" w:hAnsi="Arial"/>
                <w:sz w:val="11"/>
                <w:szCs w:val="11"/>
                <w:color w:val="auto"/>
              </w:rPr>
              <w:t>1,870</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vMerge w:val="restart"/>
          </w:tcPr>
          <w:p>
            <w:pPr>
              <w:jc w:val="right"/>
              <w:ind w:right="66"/>
              <w:spacing w:after="0"/>
              <w:rPr>
                <w:sz w:val="20"/>
                <w:szCs w:val="20"/>
                <w:color w:val="auto"/>
              </w:rPr>
            </w:pPr>
            <w:r>
              <w:rPr>
                <w:rFonts w:ascii="Arial" w:cs="Arial" w:eastAsia="Arial" w:hAnsi="Arial"/>
                <w:sz w:val="11"/>
                <w:szCs w:val="11"/>
                <w:color w:val="auto"/>
              </w:rPr>
              <w:t>51</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95"/>
        </w:trPr>
        <w:tc>
          <w:tcPr>
            <w:tcW w:w="2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720" w:type="dxa"/>
            <w:vAlign w:val="bottom"/>
            <w:gridSpan w:val="2"/>
          </w:tcPr>
          <w:p>
            <w:pPr>
              <w:ind w:left="140"/>
              <w:spacing w:after="0"/>
              <w:rPr>
                <w:sz w:val="20"/>
                <w:szCs w:val="20"/>
                <w:color w:val="auto"/>
              </w:rPr>
            </w:pPr>
            <w:r>
              <w:rPr>
                <w:rFonts w:ascii="Arial" w:cs="Arial" w:eastAsia="Arial" w:hAnsi="Arial"/>
                <w:sz w:val="11"/>
                <w:szCs w:val="11"/>
                <w:color w:val="auto"/>
              </w:rPr>
              <w:t>Change in other operating assets and liabilities</w:t>
            </w:r>
          </w:p>
        </w:tc>
        <w:tc>
          <w:tcPr>
            <w:tcW w:w="580" w:type="dxa"/>
            <w:vAlign w:val="bottom"/>
            <w:vMerge w:val="restart"/>
          </w:tcPr>
          <w:p>
            <w:pPr>
              <w:jc w:val="right"/>
              <w:ind w:right="26"/>
              <w:spacing w:after="0"/>
              <w:rPr>
                <w:sz w:val="20"/>
                <w:szCs w:val="20"/>
                <w:color w:val="auto"/>
              </w:rPr>
            </w:pPr>
            <w:r>
              <w:rPr>
                <w:rFonts w:ascii="Arial" w:cs="Arial" w:eastAsia="Arial" w:hAnsi="Arial"/>
                <w:sz w:val="11"/>
                <w:szCs w:val="11"/>
                <w:color w:val="auto"/>
              </w:rPr>
              <w:t>(123)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vMerge w:val="restart"/>
          </w:tcPr>
          <w:p>
            <w:pPr>
              <w:jc w:val="right"/>
              <w:ind w:right="46"/>
              <w:spacing w:after="0"/>
              <w:rPr>
                <w:sz w:val="20"/>
                <w:szCs w:val="20"/>
                <w:color w:val="auto"/>
              </w:rPr>
            </w:pPr>
            <w:r>
              <w:rPr>
                <w:rFonts w:ascii="Arial" w:cs="Arial" w:eastAsia="Arial" w:hAnsi="Arial"/>
                <w:sz w:val="11"/>
                <w:szCs w:val="11"/>
                <w:color w:val="auto"/>
              </w:rPr>
              <w:t>(110)</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vMerge w:val="restart"/>
          </w:tcPr>
          <w:p>
            <w:pPr>
              <w:jc w:val="right"/>
              <w:ind w:right="26"/>
              <w:spacing w:after="0"/>
              <w:rPr>
                <w:sz w:val="20"/>
                <w:szCs w:val="20"/>
                <w:color w:val="auto"/>
              </w:rPr>
            </w:pPr>
            <w:r>
              <w:rPr>
                <w:rFonts w:ascii="Arial" w:cs="Arial" w:eastAsia="Arial" w:hAnsi="Arial"/>
                <w:sz w:val="11"/>
                <w:szCs w:val="11"/>
                <w:color w:val="auto"/>
              </w:rPr>
              <w:t>(1,350)</w:t>
            </w:r>
          </w:p>
        </w:tc>
        <w:tc>
          <w:tcPr>
            <w:tcW w:w="0" w:type="dxa"/>
            <w:vAlign w:val="bottom"/>
          </w:tcPr>
          <w:p>
            <w:pPr>
              <w:spacing w:after="0"/>
              <w:rPr>
                <w:sz w:val="1"/>
                <w:szCs w:val="1"/>
                <w:color w:val="auto"/>
              </w:rPr>
            </w:pPr>
          </w:p>
        </w:tc>
      </w:tr>
      <w:tr>
        <w:trPr>
          <w:trHeight w:val="95"/>
        </w:trPr>
        <w:tc>
          <w:tcPr>
            <w:tcW w:w="2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27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2500" w:type="dxa"/>
            <w:vAlign w:val="bottom"/>
          </w:tcPr>
          <w:p>
            <w:pPr>
              <w:spacing w:after="0"/>
              <w:rPr>
                <w:sz w:val="20"/>
                <w:szCs w:val="20"/>
                <w:color w:val="auto"/>
              </w:rPr>
            </w:pPr>
            <w:r>
              <w:rPr>
                <w:rFonts w:ascii="Arial" w:cs="Arial" w:eastAsia="Arial" w:hAnsi="Arial"/>
                <w:sz w:val="11"/>
                <w:szCs w:val="11"/>
                <w:b w:val="1"/>
                <w:bCs w:val="1"/>
                <w:color w:val="auto"/>
              </w:rPr>
              <w:t>Net cash provided by operating activities</w:t>
            </w:r>
          </w:p>
        </w:tc>
        <w:tc>
          <w:tcPr>
            <w:tcW w:w="2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vMerge w:val="restart"/>
          </w:tcPr>
          <w:p>
            <w:pPr>
              <w:jc w:val="right"/>
              <w:ind w:right="66"/>
              <w:spacing w:after="0"/>
              <w:rPr>
                <w:sz w:val="20"/>
                <w:szCs w:val="20"/>
                <w:color w:val="auto"/>
              </w:rPr>
            </w:pPr>
            <w:r>
              <w:rPr>
                <w:rFonts w:ascii="Arial" w:cs="Arial" w:eastAsia="Arial" w:hAnsi="Arial"/>
                <w:sz w:val="11"/>
                <w:szCs w:val="11"/>
                <w:color w:val="auto"/>
              </w:rPr>
              <w:t>10,021</w:t>
            </w:r>
          </w:p>
        </w:tc>
        <w:tc>
          <w:tcPr>
            <w:tcW w:w="12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vMerge w:val="restart"/>
          </w:tcPr>
          <w:p>
            <w:pPr>
              <w:jc w:val="right"/>
              <w:ind w:right="66"/>
              <w:spacing w:after="0"/>
              <w:rPr>
                <w:sz w:val="20"/>
                <w:szCs w:val="20"/>
                <w:color w:val="auto"/>
              </w:rPr>
            </w:pPr>
            <w:r>
              <w:rPr>
                <w:rFonts w:ascii="Arial" w:cs="Arial" w:eastAsia="Arial" w:hAnsi="Arial"/>
                <w:sz w:val="11"/>
                <w:szCs w:val="11"/>
                <w:color w:val="auto"/>
              </w:rPr>
              <w:t>3,858</w:t>
            </w:r>
          </w:p>
        </w:tc>
        <w:tc>
          <w:tcPr>
            <w:tcW w:w="10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vMerge w:val="restart"/>
          </w:tcPr>
          <w:p>
            <w:pPr>
              <w:jc w:val="right"/>
              <w:ind w:right="26"/>
              <w:spacing w:after="0"/>
              <w:rPr>
                <w:sz w:val="20"/>
                <w:szCs w:val="20"/>
                <w:color w:val="auto"/>
              </w:rPr>
            </w:pPr>
            <w:r>
              <w:rPr>
                <w:rFonts w:ascii="Arial" w:cs="Arial" w:eastAsia="Arial" w:hAnsi="Arial"/>
                <w:sz w:val="11"/>
                <w:szCs w:val="11"/>
                <w:color w:val="auto"/>
              </w:rPr>
              <w:t>(1,350)</w:t>
            </w:r>
          </w:p>
        </w:tc>
        <w:tc>
          <w:tcPr>
            <w:tcW w:w="0" w:type="dxa"/>
            <w:vAlign w:val="bottom"/>
          </w:tcPr>
          <w:p>
            <w:pPr>
              <w:spacing w:after="0"/>
              <w:rPr>
                <w:sz w:val="1"/>
                <w:szCs w:val="1"/>
                <w:color w:val="auto"/>
              </w:rPr>
            </w:pPr>
          </w:p>
        </w:tc>
      </w:tr>
      <w:tr>
        <w:trPr>
          <w:trHeight w:val="95"/>
        </w:trPr>
        <w:tc>
          <w:tcPr>
            <w:tcW w:w="2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27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2500" w:type="dxa"/>
            <w:vAlign w:val="bottom"/>
          </w:tcPr>
          <w:p>
            <w:pPr>
              <w:spacing w:after="0"/>
              <w:rPr>
                <w:sz w:val="20"/>
                <w:szCs w:val="20"/>
                <w:color w:val="auto"/>
              </w:rPr>
            </w:pPr>
            <w:r>
              <w:rPr>
                <w:rFonts w:ascii="Arial" w:cs="Arial" w:eastAsia="Arial" w:hAnsi="Arial"/>
                <w:sz w:val="11"/>
                <w:szCs w:val="11"/>
                <w:b w:val="1"/>
                <w:bCs w:val="1"/>
                <w:color w:val="auto"/>
              </w:rPr>
              <w:t>Cash flows from investing activities</w:t>
            </w:r>
          </w:p>
        </w:tc>
        <w:tc>
          <w:tcPr>
            <w:tcW w:w="2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84"/>
        </w:trPr>
        <w:tc>
          <w:tcPr>
            <w:tcW w:w="2720" w:type="dxa"/>
            <w:vAlign w:val="bottom"/>
            <w:gridSpan w:val="2"/>
          </w:tcPr>
          <w:p>
            <w:pPr>
              <w:ind w:left="140"/>
              <w:spacing w:after="0"/>
              <w:rPr>
                <w:sz w:val="20"/>
                <w:szCs w:val="20"/>
                <w:color w:val="auto"/>
              </w:rPr>
            </w:pPr>
            <w:r>
              <w:rPr>
                <w:rFonts w:ascii="Arial" w:cs="Arial" w:eastAsia="Arial" w:hAnsi="Arial"/>
                <w:sz w:val="11"/>
                <w:szCs w:val="11"/>
                <w:color w:val="auto"/>
              </w:rPr>
              <w:t>Expenditures for property</w:t>
            </w:r>
          </w:p>
        </w:tc>
        <w:tc>
          <w:tcPr>
            <w:tcW w:w="580" w:type="dxa"/>
            <w:vAlign w:val="bottom"/>
            <w:vMerge w:val="restart"/>
          </w:tcPr>
          <w:p>
            <w:pPr>
              <w:jc w:val="right"/>
              <w:ind w:right="26"/>
              <w:spacing w:after="0"/>
              <w:rPr>
                <w:sz w:val="20"/>
                <w:szCs w:val="20"/>
                <w:color w:val="auto"/>
              </w:rPr>
            </w:pPr>
            <w:r>
              <w:rPr>
                <w:rFonts w:ascii="Arial" w:cs="Arial" w:eastAsia="Arial" w:hAnsi="Arial"/>
                <w:sz w:val="11"/>
                <w:szCs w:val="11"/>
                <w:color w:val="auto"/>
              </w:rPr>
              <w:t>(6,835)</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vMerge w:val="restart"/>
          </w:tcPr>
          <w:p>
            <w:pPr>
              <w:jc w:val="right"/>
              <w:ind w:right="46"/>
              <w:spacing w:after="0"/>
              <w:rPr>
                <w:sz w:val="20"/>
                <w:szCs w:val="20"/>
                <w:color w:val="auto"/>
              </w:rPr>
            </w:pPr>
            <w:r>
              <w:rPr>
                <w:rFonts w:ascii="Arial" w:cs="Arial" w:eastAsia="Arial" w:hAnsi="Arial"/>
                <w:sz w:val="11"/>
                <w:szCs w:val="11"/>
                <w:color w:val="auto"/>
              </w:rPr>
              <w:t>(71)</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95"/>
        </w:trPr>
        <w:tc>
          <w:tcPr>
            <w:tcW w:w="2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720" w:type="dxa"/>
            <w:vAlign w:val="bottom"/>
            <w:gridSpan w:val="2"/>
          </w:tcPr>
          <w:p>
            <w:pPr>
              <w:ind w:left="140"/>
              <w:spacing w:after="0"/>
              <w:rPr>
                <w:sz w:val="20"/>
                <w:szCs w:val="20"/>
                <w:color w:val="auto"/>
              </w:rPr>
            </w:pPr>
            <w:r>
              <w:rPr>
                <w:rFonts w:ascii="Arial" w:cs="Arial" w:eastAsia="Arial" w:hAnsi="Arial"/>
                <w:sz w:val="11"/>
                <w:szCs w:val="11"/>
                <w:color w:val="auto"/>
              </w:rPr>
              <w:t>Available-for-sale marketable securities,</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720" w:type="dxa"/>
            <w:vAlign w:val="bottom"/>
            <w:gridSpan w:val="2"/>
          </w:tcPr>
          <w:p>
            <w:pPr>
              <w:ind w:left="300"/>
              <w:spacing w:after="0"/>
              <w:rPr>
                <w:sz w:val="20"/>
                <w:szCs w:val="20"/>
                <w:color w:val="auto"/>
              </w:rPr>
            </w:pPr>
            <w:r>
              <w:rPr>
                <w:rFonts w:ascii="Arial" w:cs="Arial" w:eastAsia="Arial" w:hAnsi="Arial"/>
                <w:sz w:val="11"/>
                <w:szCs w:val="11"/>
                <w:color w:val="auto"/>
              </w:rPr>
              <w:t>acquisitions</w:t>
            </w: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(8,613)</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1"/>
                <w:szCs w:val="11"/>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6"/>
        </w:trPr>
        <w:tc>
          <w:tcPr>
            <w:tcW w:w="2720" w:type="dxa"/>
            <w:vAlign w:val="bottom"/>
            <w:gridSpan w:val="2"/>
          </w:tcPr>
          <w:p>
            <w:pPr>
              <w:ind w:left="140"/>
              <w:spacing w:after="0"/>
              <w:rPr>
                <w:sz w:val="20"/>
                <w:szCs w:val="20"/>
                <w:color w:val="auto"/>
              </w:rPr>
            </w:pPr>
            <w:r>
              <w:rPr>
                <w:rFonts w:ascii="Arial" w:cs="Arial" w:eastAsia="Arial" w:hAnsi="Arial"/>
                <w:sz w:val="11"/>
                <w:szCs w:val="11"/>
                <w:color w:val="auto"/>
              </w:rPr>
              <w:t>Trading marketable securities, acquisitions</w:t>
            </w:r>
          </w:p>
        </w:tc>
        <w:tc>
          <w:tcPr>
            <w:tcW w:w="580" w:type="dxa"/>
            <w:vAlign w:val="bottom"/>
            <w:vMerge w:val="restart"/>
          </w:tcPr>
          <w:p>
            <w:pPr>
              <w:jc w:val="right"/>
              <w:ind w:right="26"/>
              <w:spacing w:after="0"/>
              <w:rPr>
                <w:sz w:val="20"/>
                <w:szCs w:val="20"/>
                <w:color w:val="auto"/>
              </w:rPr>
            </w:pPr>
            <w:r>
              <w:rPr>
                <w:rFonts w:ascii="Arial" w:cs="Arial" w:eastAsia="Arial" w:hAnsi="Arial"/>
                <w:sz w:val="11"/>
                <w:szCs w:val="11"/>
                <w:color w:val="auto"/>
              </w:rPr>
              <w:t>(249)</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5"/>
                <w:szCs w:val="15"/>
                <w:color w:val="auto"/>
              </w:rPr>
            </w:pPr>
          </w:p>
        </w:tc>
        <w:tc>
          <w:tcPr>
            <w:tcW w:w="76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95"/>
        </w:trPr>
        <w:tc>
          <w:tcPr>
            <w:tcW w:w="2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720" w:type="dxa"/>
            <w:vAlign w:val="bottom"/>
            <w:gridSpan w:val="2"/>
          </w:tcPr>
          <w:p>
            <w:pPr>
              <w:ind w:left="140"/>
              <w:spacing w:after="0"/>
              <w:rPr>
                <w:sz w:val="20"/>
                <w:szCs w:val="20"/>
                <w:color w:val="auto"/>
              </w:rPr>
            </w:pPr>
            <w:r>
              <w:rPr>
                <w:rFonts w:ascii="Arial" w:cs="Arial" w:eastAsia="Arial" w:hAnsi="Arial"/>
                <w:sz w:val="11"/>
                <w:szCs w:val="11"/>
                <w:color w:val="auto"/>
              </w:rPr>
              <w:t>Available-for-sale marketable securities,</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720" w:type="dxa"/>
            <w:vAlign w:val="bottom"/>
            <w:gridSpan w:val="2"/>
          </w:tcPr>
          <w:p>
            <w:pPr>
              <w:ind w:left="300"/>
              <w:spacing w:after="0"/>
              <w:rPr>
                <w:sz w:val="20"/>
                <w:szCs w:val="20"/>
                <w:color w:val="auto"/>
              </w:rPr>
            </w:pPr>
            <w:r>
              <w:rPr>
                <w:rFonts w:ascii="Arial" w:cs="Arial" w:eastAsia="Arial" w:hAnsi="Arial"/>
                <w:sz w:val="11"/>
                <w:szCs w:val="11"/>
                <w:color w:val="auto"/>
              </w:rPr>
              <w:t>liquidations</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8,090</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1"/>
                <w:szCs w:val="11"/>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6"/>
        </w:trPr>
        <w:tc>
          <w:tcPr>
            <w:tcW w:w="2720" w:type="dxa"/>
            <w:vAlign w:val="bottom"/>
            <w:gridSpan w:val="2"/>
          </w:tcPr>
          <w:p>
            <w:pPr>
              <w:ind w:left="140"/>
              <w:spacing w:after="0"/>
              <w:rPr>
                <w:sz w:val="20"/>
                <w:szCs w:val="20"/>
                <w:color w:val="auto"/>
              </w:rPr>
            </w:pPr>
            <w:r>
              <w:rPr>
                <w:rFonts w:ascii="Arial" w:cs="Arial" w:eastAsia="Arial" w:hAnsi="Arial"/>
                <w:sz w:val="11"/>
                <w:szCs w:val="11"/>
                <w:color w:val="auto"/>
              </w:rPr>
              <w:t>Trading marketable securities, liquidations</w:t>
            </w:r>
          </w:p>
        </w:tc>
        <w:tc>
          <w:tcPr>
            <w:tcW w:w="580" w:type="dxa"/>
            <w:vAlign w:val="bottom"/>
            <w:vMerge w:val="restart"/>
          </w:tcPr>
          <w:p>
            <w:pPr>
              <w:jc w:val="right"/>
              <w:ind w:right="66"/>
              <w:spacing w:after="0"/>
              <w:rPr>
                <w:sz w:val="20"/>
                <w:szCs w:val="20"/>
                <w:color w:val="auto"/>
              </w:rPr>
            </w:pPr>
            <w:r>
              <w:rPr>
                <w:rFonts w:ascii="Arial" w:cs="Arial" w:eastAsia="Arial" w:hAnsi="Arial"/>
                <w:sz w:val="11"/>
                <w:szCs w:val="11"/>
                <w:color w:val="auto"/>
              </w:rPr>
              <w:t>846</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5"/>
                <w:szCs w:val="15"/>
                <w:color w:val="auto"/>
              </w:rPr>
            </w:pPr>
          </w:p>
        </w:tc>
        <w:tc>
          <w:tcPr>
            <w:tcW w:w="76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95"/>
        </w:trPr>
        <w:tc>
          <w:tcPr>
            <w:tcW w:w="2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720" w:type="dxa"/>
            <w:vAlign w:val="bottom"/>
            <w:gridSpan w:val="2"/>
          </w:tcPr>
          <w:p>
            <w:pPr>
              <w:ind w:left="140"/>
              <w:spacing w:after="0"/>
              <w:rPr>
                <w:sz w:val="20"/>
                <w:szCs w:val="20"/>
                <w:color w:val="auto"/>
              </w:rPr>
            </w:pPr>
            <w:r>
              <w:rPr>
                <w:rFonts w:ascii="Arial" w:cs="Arial" w:eastAsia="Arial" w:hAnsi="Arial"/>
                <w:sz w:val="11"/>
                <w:szCs w:val="11"/>
                <w:color w:val="auto"/>
              </w:rPr>
              <w:t>Acquisition of companies/investments, net of</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720" w:type="dxa"/>
            <w:vAlign w:val="bottom"/>
            <w:gridSpan w:val="2"/>
          </w:tcPr>
          <w:p>
            <w:pPr>
              <w:ind w:left="300"/>
              <w:spacing w:after="0"/>
              <w:rPr>
                <w:sz w:val="20"/>
                <w:szCs w:val="20"/>
                <w:color w:val="auto"/>
              </w:rPr>
            </w:pPr>
            <w:r>
              <w:rPr>
                <w:rFonts w:ascii="Arial" w:cs="Arial" w:eastAsia="Arial" w:hAnsi="Arial"/>
                <w:sz w:val="11"/>
                <w:szCs w:val="11"/>
                <w:color w:val="auto"/>
              </w:rPr>
              <w:t>cash acquired</w:t>
            </w: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(804)</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1"/>
                <w:szCs w:val="11"/>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6"/>
        </w:trPr>
        <w:tc>
          <w:tcPr>
            <w:tcW w:w="2720" w:type="dxa"/>
            <w:vAlign w:val="bottom"/>
            <w:gridSpan w:val="2"/>
          </w:tcPr>
          <w:p>
            <w:pPr>
              <w:ind w:left="140"/>
              <w:spacing w:after="0"/>
              <w:rPr>
                <w:sz w:val="20"/>
                <w:szCs w:val="20"/>
                <w:color w:val="auto"/>
              </w:rPr>
            </w:pPr>
            <w:r>
              <w:rPr>
                <w:rFonts w:ascii="Arial" w:cs="Arial" w:eastAsia="Arial" w:hAnsi="Arial"/>
                <w:sz w:val="11"/>
                <w:szCs w:val="11"/>
                <w:color w:val="auto"/>
              </w:rPr>
              <w:t>Increase in restricted cash</w:t>
            </w:r>
          </w:p>
        </w:tc>
        <w:tc>
          <w:tcPr>
            <w:tcW w:w="580" w:type="dxa"/>
            <w:vAlign w:val="bottom"/>
            <w:vMerge w:val="restart"/>
          </w:tcPr>
          <w:p>
            <w:pPr>
              <w:jc w:val="right"/>
              <w:ind w:right="26"/>
              <w:spacing w:after="0"/>
              <w:rPr>
                <w:sz w:val="20"/>
                <w:szCs w:val="20"/>
                <w:color w:val="auto"/>
              </w:rPr>
            </w:pPr>
            <w:r>
              <w:rPr>
                <w:rFonts w:ascii="Arial" w:cs="Arial" w:eastAsia="Arial" w:hAnsi="Arial"/>
                <w:sz w:val="11"/>
                <w:szCs w:val="11"/>
                <w:color w:val="auto"/>
              </w:rPr>
              <w:t>(165)</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vMerge w:val="restart"/>
          </w:tcPr>
          <w:p>
            <w:pPr>
              <w:jc w:val="right"/>
              <w:ind w:right="46"/>
              <w:spacing w:after="0"/>
              <w:rPr>
                <w:sz w:val="20"/>
                <w:szCs w:val="20"/>
                <w:color w:val="auto"/>
              </w:rPr>
            </w:pPr>
            <w:r>
              <w:rPr>
                <w:rFonts w:ascii="Arial" w:cs="Arial" w:eastAsia="Arial" w:hAnsi="Arial"/>
                <w:sz w:val="11"/>
                <w:szCs w:val="11"/>
                <w:color w:val="auto"/>
              </w:rPr>
              <w:t>(321)</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95"/>
        </w:trPr>
        <w:tc>
          <w:tcPr>
            <w:tcW w:w="2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720" w:type="dxa"/>
            <w:vAlign w:val="bottom"/>
            <w:gridSpan w:val="2"/>
          </w:tcPr>
          <w:p>
            <w:pPr>
              <w:ind w:left="140"/>
              <w:spacing w:after="0"/>
              <w:rPr>
                <w:sz w:val="20"/>
                <w:szCs w:val="20"/>
                <w:color w:val="auto"/>
              </w:rPr>
            </w:pPr>
            <w:r>
              <w:rPr>
                <w:rFonts w:ascii="Arial" w:cs="Arial" w:eastAsia="Arial" w:hAnsi="Arial"/>
                <w:sz w:val="11"/>
                <w:szCs w:val="11"/>
                <w:color w:val="auto"/>
              </w:rPr>
              <w:t>Decrease in restricted cash</w:t>
            </w:r>
          </w:p>
        </w:tc>
        <w:tc>
          <w:tcPr>
            <w:tcW w:w="580" w:type="dxa"/>
            <w:vAlign w:val="bottom"/>
            <w:vMerge w:val="restart"/>
          </w:tcPr>
          <w:p>
            <w:pPr>
              <w:jc w:val="right"/>
              <w:ind w:right="66"/>
              <w:spacing w:after="0"/>
              <w:rPr>
                <w:sz w:val="20"/>
                <w:szCs w:val="20"/>
                <w:color w:val="auto"/>
              </w:rPr>
            </w:pPr>
            <w:r>
              <w:rPr>
                <w:rFonts w:ascii="Arial" w:cs="Arial" w:eastAsia="Arial" w:hAnsi="Arial"/>
                <w:sz w:val="11"/>
                <w:szCs w:val="11"/>
                <w:color w:val="auto"/>
              </w:rPr>
              <w:t>204</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vMerge w:val="restart"/>
          </w:tcPr>
          <w:p>
            <w:pPr>
              <w:jc w:val="right"/>
              <w:ind w:right="66"/>
              <w:spacing w:after="0"/>
              <w:rPr>
                <w:sz w:val="20"/>
                <w:szCs w:val="20"/>
                <w:color w:val="auto"/>
              </w:rPr>
            </w:pPr>
            <w:r>
              <w:rPr>
                <w:rFonts w:ascii="Arial" w:cs="Arial" w:eastAsia="Arial" w:hAnsi="Arial"/>
                <w:sz w:val="11"/>
                <w:szCs w:val="11"/>
                <w:color w:val="auto"/>
              </w:rPr>
              <w:t>198</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95"/>
        </w:trPr>
        <w:tc>
          <w:tcPr>
            <w:tcW w:w="2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720" w:type="dxa"/>
            <w:vAlign w:val="bottom"/>
            <w:gridSpan w:val="2"/>
          </w:tcPr>
          <w:p>
            <w:pPr>
              <w:ind w:left="140"/>
              <w:spacing w:after="0"/>
              <w:rPr>
                <w:sz w:val="20"/>
                <w:szCs w:val="20"/>
                <w:color w:val="auto"/>
              </w:rPr>
            </w:pPr>
            <w:r>
              <w:rPr>
                <w:rFonts w:ascii="Arial" w:cs="Arial" w:eastAsia="Arial" w:hAnsi="Arial"/>
                <w:sz w:val="11"/>
                <w:szCs w:val="11"/>
                <w:color w:val="auto"/>
              </w:rPr>
              <w:t>Purchases of finance receivables, net</w:t>
            </w: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5"/>
                <w:szCs w:val="15"/>
                <w:color w:val="auto"/>
              </w:rPr>
            </w:pPr>
          </w:p>
        </w:tc>
        <w:tc>
          <w:tcPr>
            <w:tcW w:w="720" w:type="dxa"/>
            <w:vAlign w:val="bottom"/>
            <w:vMerge w:val="restart"/>
          </w:tcPr>
          <w:p>
            <w:pPr>
              <w:jc w:val="right"/>
              <w:ind w:right="46"/>
              <w:spacing w:after="0"/>
              <w:rPr>
                <w:sz w:val="20"/>
                <w:szCs w:val="20"/>
                <w:color w:val="auto"/>
              </w:rPr>
            </w:pPr>
            <w:r>
              <w:rPr>
                <w:rFonts w:ascii="Arial" w:cs="Arial" w:eastAsia="Arial" w:hAnsi="Arial"/>
                <w:sz w:val="11"/>
                <w:szCs w:val="11"/>
                <w:color w:val="auto"/>
              </w:rPr>
              <w:t>(14,580)</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vMerge w:val="restart"/>
          </w:tcPr>
          <w:p>
            <w:pPr>
              <w:jc w:val="right"/>
              <w:ind w:right="46"/>
              <w:spacing w:after="0"/>
              <w:rPr>
                <w:sz w:val="20"/>
                <w:szCs w:val="20"/>
                <w:color w:val="auto"/>
              </w:rPr>
            </w:pPr>
            <w:r>
              <w:rPr>
                <w:rFonts w:ascii="Arial" w:cs="Arial" w:eastAsia="Arial" w:hAnsi="Arial"/>
                <w:sz w:val="11"/>
                <w:szCs w:val="11"/>
                <w:color w:val="auto"/>
              </w:rPr>
              <w:t>1,350</w:t>
            </w:r>
          </w:p>
        </w:tc>
        <w:tc>
          <w:tcPr>
            <w:tcW w:w="0" w:type="dxa"/>
            <w:vAlign w:val="bottom"/>
          </w:tcPr>
          <w:p>
            <w:pPr>
              <w:spacing w:after="0"/>
              <w:rPr>
                <w:sz w:val="1"/>
                <w:szCs w:val="1"/>
                <w:color w:val="auto"/>
              </w:rPr>
            </w:pPr>
          </w:p>
        </w:tc>
      </w:tr>
      <w:tr>
        <w:trPr>
          <w:trHeight w:val="95"/>
        </w:trPr>
        <w:tc>
          <w:tcPr>
            <w:tcW w:w="2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720" w:type="dxa"/>
            <w:vAlign w:val="bottom"/>
            <w:gridSpan w:val="2"/>
          </w:tcPr>
          <w:p>
            <w:pPr>
              <w:ind w:left="140"/>
              <w:spacing w:after="0"/>
              <w:rPr>
                <w:sz w:val="20"/>
                <w:szCs w:val="20"/>
                <w:color w:val="auto"/>
              </w:rPr>
            </w:pPr>
            <w:r>
              <w:rPr>
                <w:rFonts w:ascii="Arial" w:cs="Arial" w:eastAsia="Arial" w:hAnsi="Arial"/>
                <w:sz w:val="11"/>
                <w:szCs w:val="11"/>
                <w:color w:val="auto"/>
              </w:rPr>
              <w:t>Principal collections and recoveries on finance</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720" w:type="dxa"/>
            <w:vAlign w:val="bottom"/>
            <w:gridSpan w:val="2"/>
          </w:tcPr>
          <w:p>
            <w:pPr>
              <w:ind w:left="300"/>
              <w:spacing w:after="0"/>
              <w:rPr>
                <w:sz w:val="20"/>
                <w:szCs w:val="20"/>
                <w:color w:val="auto"/>
              </w:rPr>
            </w:pPr>
            <w:r>
              <w:rPr>
                <w:rFonts w:ascii="Arial" w:cs="Arial" w:eastAsia="Arial" w:hAnsi="Arial"/>
                <w:sz w:val="11"/>
                <w:szCs w:val="11"/>
                <w:color w:val="auto"/>
              </w:rPr>
              <w:t>receivables</w:t>
            </w: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9,904</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6"/>
        </w:trPr>
        <w:tc>
          <w:tcPr>
            <w:tcW w:w="2720" w:type="dxa"/>
            <w:vAlign w:val="bottom"/>
            <w:gridSpan w:val="2"/>
          </w:tcPr>
          <w:p>
            <w:pPr>
              <w:ind w:left="140"/>
              <w:spacing w:after="0"/>
              <w:rPr>
                <w:sz w:val="20"/>
                <w:szCs w:val="20"/>
                <w:color w:val="auto"/>
              </w:rPr>
            </w:pPr>
            <w:r>
              <w:rPr>
                <w:rFonts w:ascii="Arial" w:cs="Arial" w:eastAsia="Arial" w:hAnsi="Arial"/>
                <w:sz w:val="11"/>
                <w:szCs w:val="11"/>
                <w:color w:val="auto"/>
              </w:rPr>
              <w:t>Purchases of leased vehicles, net</w:t>
            </w: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5"/>
                <w:szCs w:val="15"/>
                <w:color w:val="auto"/>
              </w:rPr>
            </w:pPr>
          </w:p>
        </w:tc>
        <w:tc>
          <w:tcPr>
            <w:tcW w:w="720" w:type="dxa"/>
            <w:vAlign w:val="bottom"/>
            <w:vMerge w:val="restart"/>
          </w:tcPr>
          <w:p>
            <w:pPr>
              <w:jc w:val="right"/>
              <w:ind w:right="46"/>
              <w:spacing w:after="0"/>
              <w:rPr>
                <w:sz w:val="20"/>
                <w:szCs w:val="20"/>
                <w:color w:val="auto"/>
              </w:rPr>
            </w:pPr>
            <w:r>
              <w:rPr>
                <w:rFonts w:ascii="Arial" w:cs="Arial" w:eastAsia="Arial" w:hAnsi="Arial"/>
                <w:sz w:val="11"/>
                <w:szCs w:val="11"/>
                <w:color w:val="auto"/>
              </w:rPr>
              <w:t>(15,051)</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95"/>
        </w:trPr>
        <w:tc>
          <w:tcPr>
            <w:tcW w:w="2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720" w:type="dxa"/>
            <w:vAlign w:val="bottom"/>
            <w:gridSpan w:val="2"/>
          </w:tcPr>
          <w:p>
            <w:pPr>
              <w:ind w:left="140"/>
              <w:spacing w:after="0"/>
              <w:rPr>
                <w:sz w:val="20"/>
                <w:szCs w:val="20"/>
                <w:color w:val="auto"/>
              </w:rPr>
            </w:pPr>
            <w:r>
              <w:rPr>
                <w:rFonts w:ascii="Arial" w:cs="Arial" w:eastAsia="Arial" w:hAnsi="Arial"/>
                <w:sz w:val="11"/>
                <w:szCs w:val="11"/>
                <w:color w:val="auto"/>
              </w:rPr>
              <w:t>Proceeds from termination of leased vehicles</w:t>
            </w: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5"/>
                <w:szCs w:val="15"/>
                <w:color w:val="auto"/>
              </w:rPr>
            </w:pPr>
          </w:p>
        </w:tc>
        <w:tc>
          <w:tcPr>
            <w:tcW w:w="720" w:type="dxa"/>
            <w:vAlign w:val="bottom"/>
            <w:vMerge w:val="restart"/>
          </w:tcPr>
          <w:p>
            <w:pPr>
              <w:jc w:val="right"/>
              <w:ind w:right="66"/>
              <w:spacing w:after="0"/>
              <w:rPr>
                <w:sz w:val="20"/>
                <w:szCs w:val="20"/>
                <w:color w:val="auto"/>
              </w:rPr>
            </w:pPr>
            <w:r>
              <w:rPr>
                <w:rFonts w:ascii="Arial" w:cs="Arial" w:eastAsia="Arial" w:hAnsi="Arial"/>
                <w:sz w:val="11"/>
                <w:szCs w:val="11"/>
                <w:color w:val="auto"/>
              </w:rPr>
              <w:t>1,801</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95"/>
        </w:trPr>
        <w:tc>
          <w:tcPr>
            <w:tcW w:w="2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720" w:type="dxa"/>
            <w:vAlign w:val="bottom"/>
            <w:gridSpan w:val="2"/>
          </w:tcPr>
          <w:p>
            <w:pPr>
              <w:ind w:left="140"/>
              <w:spacing w:after="0"/>
              <w:rPr>
                <w:sz w:val="20"/>
                <w:szCs w:val="20"/>
                <w:color w:val="auto"/>
              </w:rPr>
            </w:pPr>
            <w:r>
              <w:rPr>
                <w:rFonts w:ascii="Arial" w:cs="Arial" w:eastAsia="Arial" w:hAnsi="Arial"/>
                <w:sz w:val="11"/>
                <w:szCs w:val="11"/>
                <w:color w:val="auto"/>
              </w:rPr>
              <w:t>Other investing activities</w:t>
            </w:r>
          </w:p>
        </w:tc>
        <w:tc>
          <w:tcPr>
            <w:tcW w:w="580" w:type="dxa"/>
            <w:vAlign w:val="bottom"/>
            <w:vMerge w:val="restart"/>
          </w:tcPr>
          <w:p>
            <w:pPr>
              <w:jc w:val="right"/>
              <w:ind w:right="66"/>
              <w:spacing w:after="0"/>
              <w:rPr>
                <w:sz w:val="20"/>
                <w:szCs w:val="20"/>
                <w:color w:val="auto"/>
              </w:rPr>
            </w:pPr>
            <w:r>
              <w:rPr>
                <w:rFonts w:ascii="Arial" w:cs="Arial" w:eastAsia="Arial" w:hAnsi="Arial"/>
                <w:sz w:val="11"/>
                <w:szCs w:val="11"/>
                <w:color w:val="auto"/>
              </w:rPr>
              <w:t>175</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vMerge w:val="restart"/>
          </w:tcPr>
          <w:p>
            <w:pPr>
              <w:jc w:val="right"/>
              <w:ind w:right="4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2500" w:type="dxa"/>
            <w:vAlign w:val="bottom"/>
            <w:vMerge w:val="restart"/>
          </w:tcPr>
          <w:p>
            <w:pPr>
              <w:spacing w:after="0"/>
              <w:rPr>
                <w:sz w:val="20"/>
                <w:szCs w:val="20"/>
                <w:color w:val="auto"/>
              </w:rPr>
            </w:pPr>
            <w:r>
              <w:rPr>
                <w:rFonts w:ascii="Arial" w:cs="Arial" w:eastAsia="Arial" w:hAnsi="Arial"/>
                <w:sz w:val="11"/>
                <w:szCs w:val="11"/>
                <w:b w:val="1"/>
                <w:bCs w:val="1"/>
                <w:color w:val="auto"/>
              </w:rPr>
              <w:t>Net cash used in investing activities</w:t>
            </w: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25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vMerge w:val="restart"/>
          </w:tcPr>
          <w:p>
            <w:pPr>
              <w:jc w:val="right"/>
              <w:ind w:right="26"/>
              <w:spacing w:after="0"/>
              <w:rPr>
                <w:sz w:val="20"/>
                <w:szCs w:val="20"/>
                <w:color w:val="auto"/>
              </w:rPr>
            </w:pPr>
            <w:r>
              <w:rPr>
                <w:rFonts w:ascii="Arial" w:cs="Arial" w:eastAsia="Arial" w:hAnsi="Arial"/>
                <w:sz w:val="11"/>
                <w:szCs w:val="11"/>
                <w:color w:val="auto"/>
              </w:rPr>
              <w:t>(7,351)</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vMerge w:val="restart"/>
          </w:tcPr>
          <w:p>
            <w:pPr>
              <w:jc w:val="right"/>
              <w:ind w:right="46"/>
              <w:spacing w:after="0"/>
              <w:rPr>
                <w:sz w:val="20"/>
                <w:szCs w:val="20"/>
                <w:color w:val="auto"/>
              </w:rPr>
            </w:pPr>
            <w:r>
              <w:rPr>
                <w:rFonts w:ascii="Arial" w:cs="Arial" w:eastAsia="Arial" w:hAnsi="Arial"/>
                <w:sz w:val="11"/>
                <w:szCs w:val="11"/>
                <w:color w:val="auto"/>
              </w:rPr>
              <w:t>(18,123)</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vMerge w:val="restart"/>
          </w:tcPr>
          <w:p>
            <w:pPr>
              <w:jc w:val="right"/>
              <w:ind w:right="46"/>
              <w:spacing w:after="0"/>
              <w:rPr>
                <w:sz w:val="20"/>
                <w:szCs w:val="20"/>
                <w:color w:val="auto"/>
              </w:rPr>
            </w:pPr>
            <w:r>
              <w:rPr>
                <w:rFonts w:ascii="Arial" w:cs="Arial" w:eastAsia="Arial" w:hAnsi="Arial"/>
                <w:sz w:val="11"/>
                <w:szCs w:val="11"/>
                <w:color w:val="auto"/>
              </w:rPr>
              <w:t>1,350</w:t>
            </w:r>
          </w:p>
        </w:tc>
        <w:tc>
          <w:tcPr>
            <w:tcW w:w="0" w:type="dxa"/>
            <w:vAlign w:val="bottom"/>
          </w:tcPr>
          <w:p>
            <w:pPr>
              <w:spacing w:after="0"/>
              <w:rPr>
                <w:sz w:val="1"/>
                <w:szCs w:val="1"/>
                <w:color w:val="auto"/>
              </w:rPr>
            </w:pPr>
          </w:p>
        </w:tc>
      </w:tr>
      <w:tr>
        <w:trPr>
          <w:trHeight w:val="95"/>
        </w:trPr>
        <w:tc>
          <w:tcPr>
            <w:tcW w:w="2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-3870325</wp:posOffset>
            </wp:positionV>
            <wp:extent cx="6989445" cy="1885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89445"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-3493135</wp:posOffset>
            </wp:positionV>
            <wp:extent cx="6989445"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8944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-3149600</wp:posOffset>
            </wp:positionV>
            <wp:extent cx="6989445"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8944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-2806700</wp:posOffset>
            </wp:positionV>
            <wp:extent cx="6989445"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8944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-2454910</wp:posOffset>
            </wp:positionV>
            <wp:extent cx="6989445"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8944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-2094865</wp:posOffset>
            </wp:positionV>
            <wp:extent cx="6989445"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8944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-1734820</wp:posOffset>
            </wp:positionV>
            <wp:extent cx="6989445"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8944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-1374775</wp:posOffset>
            </wp:positionV>
            <wp:extent cx="6989445"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8944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-1031875</wp:posOffset>
            </wp:positionV>
            <wp:extent cx="6989445"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8944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-671195</wp:posOffset>
            </wp:positionV>
            <wp:extent cx="6989445"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8944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-328295</wp:posOffset>
            </wp:positionV>
            <wp:extent cx="6989445"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8944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wp:posOffset>
            </wp:positionV>
            <wp:extent cx="6989445" cy="1803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89445" cy="180340"/>
                    </a:xfrm>
                    <a:prstGeom prst="rect">
                      <a:avLst/>
                    </a:prstGeom>
                    <a:noFill/>
                  </pic:spPr>
                </pic:pic>
              </a:graphicData>
            </a:graphic>
          </wp:anchor>
        </w:drawing>
      </w:r>
    </w:p>
    <w:p>
      <w:pPr>
        <w:spacing w:after="0" w:line="14"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auto"/>
        </w:rPr>
        <w:t>Cash flows from financing activities</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0"/>
        </w:trPr>
        <w:tc>
          <w:tcPr>
            <w:tcW w:w="880" w:type="dxa"/>
            <w:vAlign w:val="bottom"/>
          </w:tcPr>
          <w:p>
            <w:pPr>
              <w:jc w:val="right"/>
              <w:ind w:right="66"/>
              <w:spacing w:after="0"/>
              <w:rPr>
                <w:sz w:val="20"/>
                <w:szCs w:val="20"/>
                <w:color w:val="auto"/>
              </w:rPr>
            </w:pPr>
            <w:r>
              <w:rPr>
                <w:rFonts w:ascii="Arial" w:cs="Arial" w:eastAsia="Arial" w:hAnsi="Arial"/>
                <w:sz w:val="11"/>
                <w:szCs w:val="11"/>
                <w:color w:val="auto"/>
              </w:rPr>
              <w:t>7,493</w:t>
            </w:r>
          </w:p>
        </w:tc>
        <w:tc>
          <w:tcPr>
            <w:tcW w:w="100" w:type="dxa"/>
            <w:vAlign w:val="bottom"/>
          </w:tcPr>
          <w:p>
            <w:pPr>
              <w:spacing w:after="0"/>
              <w:rPr>
                <w:sz w:val="11"/>
                <w:szCs w:val="11"/>
                <w:color w:val="auto"/>
              </w:rPr>
            </w:pPr>
          </w:p>
        </w:tc>
        <w:tc>
          <w:tcPr>
            <w:tcW w:w="220" w:type="dxa"/>
            <w:vAlign w:val="bottom"/>
          </w:tcPr>
          <w:p>
            <w:pPr>
              <w:jc w:val="right"/>
              <w:ind w:right="86"/>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2,839</w:t>
            </w:r>
          </w:p>
        </w:tc>
        <w:tc>
          <w:tcPr>
            <w:tcW w:w="100" w:type="dxa"/>
            <w:vAlign w:val="bottom"/>
          </w:tcPr>
          <w:p>
            <w:pPr>
              <w:spacing w:after="0"/>
              <w:rPr>
                <w:sz w:val="11"/>
                <w:szCs w:val="11"/>
                <w:color w:val="auto"/>
              </w:rPr>
            </w:pPr>
          </w:p>
        </w:tc>
        <w:tc>
          <w:tcPr>
            <w:tcW w:w="30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550</w:t>
            </w:r>
          </w:p>
        </w:tc>
        <w:tc>
          <w:tcPr>
            <w:tcW w:w="100" w:type="dxa"/>
            <w:vAlign w:val="bottom"/>
          </w:tcPr>
          <w:p>
            <w:pPr>
              <w:spacing w:after="0"/>
              <w:rPr>
                <w:sz w:val="11"/>
                <w:szCs w:val="11"/>
                <w:color w:val="auto"/>
              </w:rPr>
            </w:pPr>
          </w:p>
        </w:tc>
        <w:tc>
          <w:tcPr>
            <w:tcW w:w="480" w:type="dxa"/>
            <w:vAlign w:val="bottom"/>
          </w:tcPr>
          <w:p>
            <w:pPr>
              <w:jc w:val="right"/>
              <w:ind w:right="346"/>
              <w:spacing w:after="0"/>
              <w:rPr>
                <w:sz w:val="20"/>
                <w:szCs w:val="20"/>
                <w:color w:val="auto"/>
              </w:rPr>
            </w:pPr>
            <w:r>
              <w:rPr>
                <w:rFonts w:ascii="Arial" w:cs="Arial" w:eastAsia="Arial" w:hAnsi="Arial"/>
                <w:sz w:val="11"/>
                <w:szCs w:val="11"/>
                <w:color w:val="auto"/>
                <w:w w:val="97"/>
              </w:rPr>
              <w:t>$</w:t>
            </w:r>
          </w:p>
        </w:tc>
        <w:tc>
          <w:tcPr>
            <w:tcW w:w="8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66"/>
              <w:spacing w:after="0"/>
              <w:rPr>
                <w:sz w:val="20"/>
                <w:szCs w:val="20"/>
                <w:color w:val="auto"/>
              </w:rPr>
            </w:pPr>
            <w:r>
              <w:rPr>
                <w:rFonts w:ascii="Arial" w:cs="Arial" w:eastAsia="Arial" w:hAnsi="Arial"/>
                <w:sz w:val="11"/>
                <w:szCs w:val="11"/>
                <w:color w:val="auto"/>
              </w:rPr>
              <w:t>3,389</w:t>
            </w:r>
          </w:p>
        </w:tc>
      </w:tr>
      <w:tr>
        <w:trPr>
          <w:trHeight w:val="297"/>
        </w:trPr>
        <w:tc>
          <w:tcPr>
            <w:tcW w:w="880" w:type="dxa"/>
            <w:vAlign w:val="bottom"/>
          </w:tcPr>
          <w:p>
            <w:pPr>
              <w:jc w:val="right"/>
              <w:ind w:right="66"/>
              <w:spacing w:after="0"/>
              <w:rPr>
                <w:sz w:val="20"/>
                <w:szCs w:val="20"/>
                <w:color w:val="auto"/>
              </w:rPr>
            </w:pPr>
            <w:r>
              <w:rPr>
                <w:rFonts w:ascii="Arial" w:cs="Arial" w:eastAsia="Arial" w:hAnsi="Arial"/>
                <w:sz w:val="11"/>
                <w:szCs w:val="11"/>
                <w:color w:val="auto"/>
              </w:rPr>
              <w:t>7,557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4,412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1,496</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66"/>
              <w:spacing w:after="0"/>
              <w:rPr>
                <w:sz w:val="20"/>
                <w:szCs w:val="20"/>
                <w:color w:val="auto"/>
              </w:rPr>
            </w:pPr>
            <w:r>
              <w:rPr>
                <w:rFonts w:ascii="Arial" w:cs="Arial" w:eastAsia="Arial" w:hAnsi="Arial"/>
                <w:sz w:val="11"/>
                <w:szCs w:val="11"/>
                <w:color w:val="auto"/>
              </w:rPr>
              <w:t>5,908</w:t>
            </w:r>
          </w:p>
        </w:tc>
      </w:tr>
      <w:tr>
        <w:trPr>
          <w:trHeight w:val="297"/>
        </w:trPr>
        <w:tc>
          <w:tcPr>
            <w:tcW w:w="880" w:type="dxa"/>
            <w:vAlign w:val="bottom"/>
          </w:tcPr>
          <w:p>
            <w:pPr>
              <w:jc w:val="right"/>
              <w:ind w:right="66"/>
              <w:spacing w:after="0"/>
              <w:rPr>
                <w:sz w:val="20"/>
                <w:szCs w:val="20"/>
                <w:color w:val="auto"/>
              </w:rPr>
            </w:pPr>
            <w:r>
              <w:rPr>
                <w:rFonts w:ascii="Arial" w:cs="Arial" w:eastAsia="Arial" w:hAnsi="Arial"/>
                <w:sz w:val="11"/>
                <w:szCs w:val="11"/>
                <w:color w:val="auto"/>
              </w:rPr>
              <w:t>270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898</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13</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66"/>
              <w:spacing w:after="0"/>
              <w:rPr>
                <w:sz w:val="20"/>
                <w:szCs w:val="20"/>
                <w:color w:val="auto"/>
              </w:rPr>
            </w:pPr>
            <w:r>
              <w:rPr>
                <w:rFonts w:ascii="Arial" w:cs="Arial" w:eastAsia="Arial" w:hAnsi="Arial"/>
                <w:sz w:val="11"/>
                <w:szCs w:val="11"/>
                <w:color w:val="auto"/>
              </w:rPr>
              <w:t>911</w:t>
            </w:r>
          </w:p>
        </w:tc>
      </w:tr>
      <w:tr>
        <w:trPr>
          <w:trHeight w:val="297"/>
        </w:trPr>
        <w:tc>
          <w:tcPr>
            <w:tcW w:w="880" w:type="dxa"/>
            <w:vAlign w:val="bottom"/>
          </w:tcPr>
          <w:p>
            <w:pPr>
              <w:jc w:val="right"/>
              <w:ind w:right="66"/>
              <w:spacing w:after="0"/>
              <w:rPr>
                <w:sz w:val="20"/>
                <w:szCs w:val="20"/>
                <w:color w:val="auto"/>
              </w:rPr>
            </w:pPr>
            <w:r>
              <w:rPr>
                <w:rFonts w:ascii="Arial" w:cs="Arial" w:eastAsia="Arial" w:hAnsi="Arial"/>
                <w:sz w:val="11"/>
                <w:szCs w:val="11"/>
                <w:color w:val="auto"/>
              </w:rPr>
              <w:t>400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248</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(85)</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66"/>
              <w:spacing w:after="0"/>
              <w:rPr>
                <w:sz w:val="20"/>
                <w:szCs w:val="20"/>
                <w:color w:val="auto"/>
              </w:rPr>
            </w:pPr>
            <w:r>
              <w:rPr>
                <w:rFonts w:ascii="Arial" w:cs="Arial" w:eastAsia="Arial" w:hAnsi="Arial"/>
                <w:sz w:val="11"/>
                <w:szCs w:val="11"/>
                <w:color w:val="auto"/>
              </w:rPr>
              <w:t>163</w:t>
            </w:r>
          </w:p>
        </w:tc>
      </w:tr>
      <w:tr>
        <w:trPr>
          <w:trHeight w:val="270"/>
        </w:trPr>
        <w:tc>
          <w:tcPr>
            <w:tcW w:w="880" w:type="dxa"/>
            <w:vAlign w:val="bottom"/>
          </w:tcPr>
          <w:p>
            <w:pPr>
              <w:jc w:val="right"/>
              <w:ind w:right="26"/>
              <w:spacing w:after="0"/>
              <w:rPr>
                <w:sz w:val="20"/>
                <w:szCs w:val="20"/>
                <w:color w:val="auto"/>
              </w:rPr>
            </w:pPr>
            <w:r>
              <w:rPr>
                <w:rFonts w:ascii="Arial" w:cs="Arial" w:eastAsia="Arial" w:hAnsi="Arial"/>
                <w:sz w:val="11"/>
                <w:szCs w:val="11"/>
                <w:color w:val="auto"/>
              </w:rPr>
              <w:t>(3,106)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jc w:val="right"/>
              <w:ind w:right="26"/>
              <w:spacing w:after="0"/>
              <w:rPr>
                <w:sz w:val="20"/>
                <w:szCs w:val="20"/>
                <w:color w:val="auto"/>
              </w:rPr>
            </w:pPr>
            <w:r>
              <w:rPr>
                <w:rFonts w:ascii="Arial" w:cs="Arial" w:eastAsia="Arial" w:hAnsi="Arial"/>
                <w:sz w:val="11"/>
                <w:szCs w:val="11"/>
                <w:color w:val="auto"/>
              </w:rPr>
              <w:t>(1,193)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26"/>
              <w:spacing w:after="0"/>
              <w:rPr>
                <w:sz w:val="20"/>
                <w:szCs w:val="20"/>
                <w:color w:val="auto"/>
              </w:rPr>
            </w:pPr>
            <w:r>
              <w:rPr>
                <w:rFonts w:ascii="Arial" w:cs="Arial" w:eastAsia="Arial" w:hAnsi="Arial"/>
                <w:sz w:val="11"/>
                <w:szCs w:val="11"/>
                <w:color w:val="auto"/>
              </w:rPr>
              <w:t>(1,196)</w:t>
            </w:r>
          </w:p>
        </w:tc>
      </w:tr>
      <w:tr>
        <w:trPr>
          <w:trHeight w:val="270"/>
        </w:trPr>
        <w:tc>
          <w:tcPr>
            <w:tcW w:w="880" w:type="dxa"/>
            <w:vAlign w:val="bottom"/>
          </w:tcPr>
          <w:p>
            <w:pPr>
              <w:jc w:val="right"/>
              <w:ind w:right="26"/>
              <w:spacing w:after="0"/>
              <w:rPr>
                <w:sz w:val="20"/>
                <w:szCs w:val="20"/>
                <w:color w:val="auto"/>
              </w:rPr>
            </w:pPr>
            <w:r>
              <w:rPr>
                <w:rFonts w:ascii="Arial" w:cs="Arial" w:eastAsia="Arial" w:hAnsi="Arial"/>
                <w:sz w:val="11"/>
                <w:szCs w:val="11"/>
                <w:color w:val="auto"/>
              </w:rPr>
              <w:t>(423)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242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66"/>
              <w:spacing w:after="0"/>
              <w:rPr>
                <w:sz w:val="20"/>
                <w:szCs w:val="20"/>
                <w:color w:val="auto"/>
              </w:rPr>
            </w:pPr>
            <w:r>
              <w:rPr>
                <w:rFonts w:ascii="Arial" w:cs="Arial" w:eastAsia="Arial" w:hAnsi="Arial"/>
                <w:sz w:val="11"/>
                <w:szCs w:val="11"/>
                <w:color w:val="auto"/>
              </w:rPr>
              <w:t>246</w:t>
            </w:r>
          </w:p>
        </w:tc>
      </w:tr>
      <w:tr>
        <w:trPr>
          <w:trHeight w:val="270"/>
        </w:trPr>
        <w:tc>
          <w:tcPr>
            <w:tcW w:w="880" w:type="dxa"/>
            <w:vAlign w:val="bottom"/>
          </w:tcPr>
          <w:p>
            <w:pPr>
              <w:jc w:val="right"/>
              <w:ind w:right="66"/>
              <w:spacing w:after="0"/>
              <w:rPr>
                <w:sz w:val="20"/>
                <w:szCs w:val="20"/>
                <w:color w:val="auto"/>
              </w:rPr>
            </w:pPr>
            <w:r>
              <w:rPr>
                <w:rFonts w:ascii="Arial" w:cs="Arial" w:eastAsia="Arial" w:hAnsi="Arial"/>
                <w:sz w:val="11"/>
                <w:szCs w:val="11"/>
                <w:color w:val="auto"/>
              </w:rPr>
              <w:t>1,921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461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33</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66"/>
              <w:spacing w:after="0"/>
              <w:rPr>
                <w:sz w:val="20"/>
                <w:szCs w:val="20"/>
                <w:color w:val="auto"/>
              </w:rPr>
            </w:pPr>
            <w:r>
              <w:rPr>
                <w:rFonts w:ascii="Arial" w:cs="Arial" w:eastAsia="Arial" w:hAnsi="Arial"/>
                <w:sz w:val="11"/>
                <w:szCs w:val="11"/>
                <w:color w:val="auto"/>
              </w:rPr>
              <w:t>494</w:t>
            </w:r>
          </w:p>
        </w:tc>
      </w:tr>
      <w:tr>
        <w:trPr>
          <w:trHeight w:val="270"/>
        </w:trPr>
        <w:tc>
          <w:tcPr>
            <w:tcW w:w="880" w:type="dxa"/>
            <w:vAlign w:val="bottom"/>
          </w:tcPr>
          <w:p>
            <w:pPr>
              <w:jc w:val="right"/>
              <w:ind w:right="26"/>
              <w:spacing w:after="0"/>
              <w:rPr>
                <w:sz w:val="20"/>
                <w:szCs w:val="20"/>
                <w:color w:val="auto"/>
              </w:rPr>
            </w:pPr>
            <w:r>
              <w:rPr>
                <w:rFonts w:ascii="Arial" w:cs="Arial" w:eastAsia="Arial" w:hAnsi="Arial"/>
                <w:sz w:val="11"/>
                <w:szCs w:val="11"/>
                <w:color w:val="auto"/>
              </w:rPr>
              <w:t>(1,583)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jc w:val="right"/>
              <w:ind w:right="26"/>
              <w:spacing w:after="0"/>
              <w:rPr>
                <w:sz w:val="20"/>
                <w:szCs w:val="20"/>
                <w:color w:val="auto"/>
              </w:rPr>
            </w:pPr>
            <w:r>
              <w:rPr>
                <w:rFonts w:ascii="Arial" w:cs="Arial" w:eastAsia="Arial" w:hAnsi="Arial"/>
                <w:sz w:val="11"/>
                <w:szCs w:val="11"/>
                <w:color w:val="auto"/>
              </w:rPr>
              <w:t>(147)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176</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(475)</w:t>
            </w:r>
          </w:p>
        </w:tc>
        <w:tc>
          <w:tcPr>
            <w:tcW w:w="120" w:type="dxa"/>
            <w:vAlign w:val="bottom"/>
          </w:tcPr>
          <w:p>
            <w:pPr>
              <w:spacing w:after="0"/>
              <w:rPr>
                <w:sz w:val="23"/>
                <w:szCs w:val="23"/>
                <w:color w:val="auto"/>
              </w:rPr>
            </w:pPr>
          </w:p>
        </w:tc>
        <w:tc>
          <w:tcPr>
            <w:tcW w:w="860" w:type="dxa"/>
            <w:vAlign w:val="bottom"/>
          </w:tcPr>
          <w:p>
            <w:pPr>
              <w:jc w:val="right"/>
              <w:ind w:right="26"/>
              <w:spacing w:after="0"/>
              <w:rPr>
                <w:sz w:val="20"/>
                <w:szCs w:val="20"/>
                <w:color w:val="auto"/>
              </w:rPr>
            </w:pPr>
            <w:r>
              <w:rPr>
                <w:rFonts w:ascii="Arial" w:cs="Arial" w:eastAsia="Arial" w:hAnsi="Arial"/>
                <w:sz w:val="11"/>
                <w:szCs w:val="11"/>
                <w:color w:val="auto"/>
              </w:rPr>
              <w:t>(446)</w:t>
            </w:r>
          </w:p>
        </w:tc>
      </w:tr>
      <w:tr>
        <w:trPr>
          <w:trHeight w:val="22"/>
        </w:trPr>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28"/>
        </w:trPr>
        <w:tc>
          <w:tcPr>
            <w:tcW w:w="880" w:type="dxa"/>
            <w:vAlign w:val="bottom"/>
          </w:tcPr>
          <w:p>
            <w:pPr>
              <w:jc w:val="right"/>
              <w:ind w:right="66"/>
              <w:spacing w:after="0"/>
              <w:rPr>
                <w:sz w:val="20"/>
                <w:szCs w:val="20"/>
                <w:color w:val="auto"/>
              </w:rPr>
            </w:pPr>
            <w:r>
              <w:rPr>
                <w:rFonts w:ascii="Arial" w:cs="Arial" w:eastAsia="Arial" w:hAnsi="Arial"/>
                <w:sz w:val="11"/>
                <w:szCs w:val="11"/>
                <w:color w:val="auto"/>
              </w:rPr>
              <w:t>12,529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7,760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2,184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(475)</w:t>
            </w:r>
          </w:p>
        </w:tc>
        <w:tc>
          <w:tcPr>
            <w:tcW w:w="120" w:type="dxa"/>
            <w:vAlign w:val="bottom"/>
          </w:tcPr>
          <w:p>
            <w:pPr>
              <w:spacing w:after="0"/>
              <w:rPr>
                <w:sz w:val="19"/>
                <w:szCs w:val="19"/>
                <w:color w:val="auto"/>
              </w:rPr>
            </w:pPr>
          </w:p>
        </w:tc>
        <w:tc>
          <w:tcPr>
            <w:tcW w:w="860" w:type="dxa"/>
            <w:vAlign w:val="bottom"/>
          </w:tcPr>
          <w:p>
            <w:pPr>
              <w:jc w:val="right"/>
              <w:ind w:right="66"/>
              <w:spacing w:after="0"/>
              <w:rPr>
                <w:sz w:val="20"/>
                <w:szCs w:val="20"/>
                <w:color w:val="auto"/>
              </w:rPr>
            </w:pPr>
            <w:r>
              <w:rPr>
                <w:rFonts w:ascii="Arial" w:cs="Arial" w:eastAsia="Arial" w:hAnsi="Arial"/>
                <w:sz w:val="11"/>
                <w:szCs w:val="11"/>
                <w:color w:val="auto"/>
              </w:rPr>
              <w:t>9,469</w:t>
            </w:r>
          </w:p>
        </w:tc>
      </w:tr>
      <w:tr>
        <w:trPr>
          <w:trHeight w:val="22"/>
        </w:trPr>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512"/>
        </w:trPr>
        <w:tc>
          <w:tcPr>
            <w:tcW w:w="880" w:type="dxa"/>
            <w:vAlign w:val="bottom"/>
          </w:tcPr>
          <w:p>
            <w:pPr>
              <w:jc w:val="right"/>
              <w:ind w:right="26"/>
              <w:spacing w:after="0"/>
              <w:rPr>
                <w:sz w:val="20"/>
                <w:szCs w:val="20"/>
                <w:color w:val="auto"/>
              </w:rPr>
            </w:pPr>
            <w:r>
              <w:rPr>
                <w:rFonts w:ascii="Arial" w:cs="Arial" w:eastAsia="Arial" w:hAnsi="Arial"/>
                <w:sz w:val="11"/>
                <w:szCs w:val="11"/>
                <w:color w:val="auto"/>
              </w:rPr>
              <w:t>(6,906)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jc w:val="right"/>
              <w:ind w:right="26"/>
              <w:spacing w:after="0"/>
              <w:rPr>
                <w:sz w:val="20"/>
                <w:szCs w:val="20"/>
                <w:color w:val="auto"/>
              </w:rPr>
            </w:pPr>
            <w:r>
              <w:rPr>
                <w:rFonts w:ascii="Arial" w:cs="Arial" w:eastAsia="Arial" w:hAnsi="Arial"/>
                <w:sz w:val="11"/>
                <w:szCs w:val="11"/>
                <w:color w:val="auto"/>
              </w:rPr>
              <w:t>(5,260)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(64)</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26"/>
              <w:spacing w:after="0"/>
              <w:rPr>
                <w:sz w:val="20"/>
                <w:szCs w:val="20"/>
                <w:color w:val="auto"/>
              </w:rPr>
            </w:pPr>
            <w:r>
              <w:rPr>
                <w:rFonts w:ascii="Arial" w:cs="Arial" w:eastAsia="Arial" w:hAnsi="Arial"/>
                <w:sz w:val="11"/>
                <w:szCs w:val="11"/>
                <w:color w:val="auto"/>
              </w:rPr>
              <w:t>(5,324)</w:t>
            </w:r>
          </w:p>
        </w:tc>
      </w:tr>
      <w:tr>
        <w:trPr>
          <w:trHeight w:val="297"/>
        </w:trPr>
        <w:tc>
          <w:tcPr>
            <w:tcW w:w="880" w:type="dxa"/>
            <w:vAlign w:val="bottom"/>
          </w:tcPr>
          <w:p>
            <w:pPr>
              <w:jc w:val="right"/>
              <w:ind w:right="26"/>
              <w:spacing w:after="0"/>
              <w:rPr>
                <w:sz w:val="20"/>
                <w:szCs w:val="20"/>
                <w:color w:val="auto"/>
              </w:rPr>
            </w:pPr>
            <w:r>
              <w:rPr>
                <w:rFonts w:ascii="Arial" w:cs="Arial" w:eastAsia="Arial" w:hAnsi="Arial"/>
                <w:sz w:val="11"/>
                <w:szCs w:val="11"/>
                <w:color w:val="auto"/>
              </w:rPr>
              <w:t>(8,613)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jc w:val="right"/>
              <w:ind w:right="26"/>
              <w:spacing w:after="0"/>
              <w:rPr>
                <w:sz w:val="20"/>
                <w:szCs w:val="20"/>
                <w:color w:val="auto"/>
              </w:rPr>
            </w:pPr>
            <w:r>
              <w:rPr>
                <w:rFonts w:ascii="Arial" w:cs="Arial" w:eastAsia="Arial" w:hAnsi="Arial"/>
                <w:sz w:val="11"/>
                <w:szCs w:val="11"/>
                <w:color w:val="auto"/>
              </w:rPr>
              <w:t>(6,868)</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26"/>
              <w:spacing w:after="0"/>
              <w:rPr>
                <w:sz w:val="20"/>
                <w:szCs w:val="20"/>
                <w:color w:val="auto"/>
              </w:rPr>
            </w:pPr>
            <w:r>
              <w:rPr>
                <w:rFonts w:ascii="Arial" w:cs="Arial" w:eastAsia="Arial" w:hAnsi="Arial"/>
                <w:sz w:val="11"/>
                <w:szCs w:val="11"/>
                <w:color w:val="auto"/>
              </w:rPr>
              <w:t>(6,868)</w:t>
            </w:r>
          </w:p>
        </w:tc>
      </w:tr>
      <w:tr>
        <w:trPr>
          <w:trHeight w:val="270"/>
        </w:trPr>
        <w:tc>
          <w:tcPr>
            <w:tcW w:w="880" w:type="dxa"/>
            <w:vAlign w:val="bottom"/>
          </w:tcPr>
          <w:p>
            <w:pPr>
              <w:jc w:val="right"/>
              <w:ind w:right="26"/>
              <w:spacing w:after="0"/>
              <w:rPr>
                <w:sz w:val="20"/>
                <w:szCs w:val="20"/>
                <w:color w:val="auto"/>
              </w:rPr>
            </w:pPr>
            <w:r>
              <w:rPr>
                <w:rFonts w:ascii="Arial" w:cs="Arial" w:eastAsia="Arial" w:hAnsi="Arial"/>
                <w:sz w:val="11"/>
                <w:szCs w:val="11"/>
                <w:color w:val="auto"/>
              </w:rPr>
              <w:t>(249)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jc w:val="right"/>
              <w:ind w:right="26"/>
              <w:spacing w:after="0"/>
              <w:rPr>
                <w:sz w:val="20"/>
                <w:szCs w:val="20"/>
                <w:color w:val="auto"/>
              </w:rPr>
            </w:pPr>
            <w:r>
              <w:rPr>
                <w:rFonts w:ascii="Arial" w:cs="Arial" w:eastAsia="Arial" w:hAnsi="Arial"/>
                <w:sz w:val="11"/>
                <w:szCs w:val="11"/>
                <w:color w:val="auto"/>
              </w:rPr>
              <w:t>(1,028)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26"/>
              <w:spacing w:after="0"/>
              <w:rPr>
                <w:sz w:val="20"/>
                <w:szCs w:val="20"/>
                <w:color w:val="auto"/>
              </w:rPr>
            </w:pPr>
            <w:r>
              <w:rPr>
                <w:rFonts w:ascii="Arial" w:cs="Arial" w:eastAsia="Arial" w:hAnsi="Arial"/>
                <w:sz w:val="11"/>
                <w:szCs w:val="11"/>
                <w:color w:val="auto"/>
              </w:rPr>
              <w:t>(1,028)</w:t>
            </w:r>
          </w:p>
        </w:tc>
      </w:tr>
      <w:tr>
        <w:trPr>
          <w:trHeight w:val="297"/>
        </w:trPr>
        <w:tc>
          <w:tcPr>
            <w:tcW w:w="880" w:type="dxa"/>
            <w:vAlign w:val="bottom"/>
          </w:tcPr>
          <w:p>
            <w:pPr>
              <w:jc w:val="right"/>
              <w:ind w:right="66"/>
              <w:spacing w:after="0"/>
              <w:rPr>
                <w:sz w:val="20"/>
                <w:szCs w:val="20"/>
                <w:color w:val="auto"/>
              </w:rPr>
            </w:pPr>
            <w:r>
              <w:rPr>
                <w:rFonts w:ascii="Arial" w:cs="Arial" w:eastAsia="Arial" w:hAnsi="Arial"/>
                <w:sz w:val="11"/>
                <w:szCs w:val="11"/>
                <w:color w:val="auto"/>
              </w:rPr>
              <w:t>8,090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7,485</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66"/>
              <w:spacing w:after="0"/>
              <w:rPr>
                <w:sz w:val="20"/>
                <w:szCs w:val="20"/>
                <w:color w:val="auto"/>
              </w:rPr>
            </w:pPr>
            <w:r>
              <w:rPr>
                <w:rFonts w:ascii="Arial" w:cs="Arial" w:eastAsia="Arial" w:hAnsi="Arial"/>
                <w:sz w:val="11"/>
                <w:szCs w:val="11"/>
                <w:color w:val="auto"/>
              </w:rPr>
              <w:t>7,485</w:t>
            </w:r>
          </w:p>
        </w:tc>
      </w:tr>
      <w:tr>
        <w:trPr>
          <w:trHeight w:val="270"/>
        </w:trPr>
        <w:tc>
          <w:tcPr>
            <w:tcW w:w="880" w:type="dxa"/>
            <w:vAlign w:val="bottom"/>
          </w:tcPr>
          <w:p>
            <w:pPr>
              <w:jc w:val="right"/>
              <w:ind w:right="66"/>
              <w:spacing w:after="0"/>
              <w:rPr>
                <w:sz w:val="20"/>
                <w:szCs w:val="20"/>
                <w:color w:val="auto"/>
              </w:rPr>
            </w:pPr>
            <w:r>
              <w:rPr>
                <w:rFonts w:ascii="Arial" w:cs="Arial" w:eastAsia="Arial" w:hAnsi="Arial"/>
                <w:sz w:val="11"/>
                <w:szCs w:val="11"/>
                <w:color w:val="auto"/>
              </w:rPr>
              <w:t>846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1,441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66"/>
              <w:spacing w:after="0"/>
              <w:rPr>
                <w:sz w:val="20"/>
                <w:szCs w:val="20"/>
                <w:color w:val="auto"/>
              </w:rPr>
            </w:pPr>
            <w:r>
              <w:rPr>
                <w:rFonts w:ascii="Arial" w:cs="Arial" w:eastAsia="Arial" w:hAnsi="Arial"/>
                <w:sz w:val="11"/>
                <w:szCs w:val="11"/>
                <w:color w:val="auto"/>
              </w:rPr>
              <w:t>1,441</w:t>
            </w:r>
          </w:p>
        </w:tc>
      </w:tr>
      <w:tr>
        <w:trPr>
          <w:trHeight w:val="297"/>
        </w:trPr>
        <w:tc>
          <w:tcPr>
            <w:tcW w:w="880" w:type="dxa"/>
            <w:vAlign w:val="bottom"/>
          </w:tcPr>
          <w:p>
            <w:pPr>
              <w:jc w:val="right"/>
              <w:ind w:right="26"/>
              <w:spacing w:after="0"/>
              <w:rPr>
                <w:sz w:val="20"/>
                <w:szCs w:val="20"/>
                <w:color w:val="auto"/>
              </w:rPr>
            </w:pPr>
            <w:r>
              <w:rPr>
                <w:rFonts w:ascii="Arial" w:cs="Arial" w:eastAsia="Arial" w:hAnsi="Arial"/>
                <w:sz w:val="11"/>
                <w:szCs w:val="11"/>
                <w:color w:val="auto"/>
              </w:rPr>
              <w:t>(804)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jc w:val="right"/>
              <w:ind w:right="26"/>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(924)</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26"/>
              <w:spacing w:after="0"/>
              <w:rPr>
                <w:sz w:val="20"/>
                <w:szCs w:val="20"/>
                <w:color w:val="auto"/>
              </w:rPr>
            </w:pPr>
            <w:r>
              <w:rPr>
                <w:rFonts w:ascii="Arial" w:cs="Arial" w:eastAsia="Arial" w:hAnsi="Arial"/>
                <w:sz w:val="11"/>
                <w:szCs w:val="11"/>
                <w:color w:val="auto"/>
              </w:rPr>
              <w:t>(928)</w:t>
            </w:r>
          </w:p>
        </w:tc>
      </w:tr>
      <w:tr>
        <w:trPr>
          <w:trHeight w:val="270"/>
        </w:trPr>
        <w:tc>
          <w:tcPr>
            <w:tcW w:w="880" w:type="dxa"/>
            <w:vAlign w:val="bottom"/>
          </w:tcPr>
          <w:p>
            <w:pPr>
              <w:jc w:val="right"/>
              <w:ind w:right="26"/>
              <w:spacing w:after="0"/>
              <w:rPr>
                <w:sz w:val="20"/>
                <w:szCs w:val="20"/>
                <w:color w:val="auto"/>
              </w:rPr>
            </w:pPr>
            <w:r>
              <w:rPr>
                <w:rFonts w:ascii="Arial" w:cs="Arial" w:eastAsia="Arial" w:hAnsi="Arial"/>
                <w:sz w:val="11"/>
                <w:szCs w:val="11"/>
                <w:color w:val="auto"/>
              </w:rPr>
              <w:t>(486)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jc w:val="right"/>
              <w:ind w:right="26"/>
              <w:spacing w:after="0"/>
              <w:rPr>
                <w:sz w:val="20"/>
                <w:szCs w:val="20"/>
                <w:color w:val="auto"/>
              </w:rPr>
            </w:pPr>
            <w:r>
              <w:rPr>
                <w:rFonts w:ascii="Arial" w:cs="Arial" w:eastAsia="Arial" w:hAnsi="Arial"/>
                <w:sz w:val="11"/>
                <w:szCs w:val="11"/>
                <w:color w:val="auto"/>
              </w:rPr>
              <w:t>(148)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(451)</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26"/>
              <w:spacing w:after="0"/>
              <w:rPr>
                <w:sz w:val="20"/>
                <w:szCs w:val="20"/>
                <w:color w:val="auto"/>
              </w:rPr>
            </w:pPr>
            <w:r>
              <w:rPr>
                <w:rFonts w:ascii="Arial" w:cs="Arial" w:eastAsia="Arial" w:hAnsi="Arial"/>
                <w:sz w:val="11"/>
                <w:szCs w:val="11"/>
                <w:color w:val="auto"/>
              </w:rPr>
              <w:t>(599)</w:t>
            </w:r>
          </w:p>
        </w:tc>
      </w:tr>
      <w:tr>
        <w:trPr>
          <w:trHeight w:val="270"/>
        </w:trPr>
        <w:tc>
          <w:tcPr>
            <w:tcW w:w="880" w:type="dxa"/>
            <w:vAlign w:val="bottom"/>
          </w:tcPr>
          <w:p>
            <w:pPr>
              <w:jc w:val="right"/>
              <w:ind w:right="66"/>
              <w:spacing w:after="0"/>
              <w:rPr>
                <w:sz w:val="20"/>
                <w:szCs w:val="20"/>
                <w:color w:val="auto"/>
              </w:rPr>
            </w:pPr>
            <w:r>
              <w:rPr>
                <w:rFonts w:ascii="Arial" w:cs="Arial" w:eastAsia="Arial" w:hAnsi="Arial"/>
                <w:sz w:val="11"/>
                <w:szCs w:val="11"/>
                <w:color w:val="auto"/>
              </w:rPr>
              <w:t>402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95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215</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66"/>
              <w:spacing w:after="0"/>
              <w:rPr>
                <w:sz w:val="20"/>
                <w:szCs w:val="20"/>
                <w:color w:val="auto"/>
              </w:rPr>
            </w:pPr>
            <w:r>
              <w:rPr>
                <w:rFonts w:ascii="Arial" w:cs="Arial" w:eastAsia="Arial" w:hAnsi="Arial"/>
                <w:sz w:val="11"/>
                <w:szCs w:val="11"/>
                <w:color w:val="auto"/>
              </w:rPr>
              <w:t>310</w:t>
            </w:r>
          </w:p>
        </w:tc>
      </w:tr>
      <w:tr>
        <w:trPr>
          <w:trHeight w:val="270"/>
        </w:trPr>
        <w:tc>
          <w:tcPr>
            <w:tcW w:w="880" w:type="dxa"/>
            <w:vAlign w:val="bottom"/>
          </w:tcPr>
          <w:p>
            <w:pPr>
              <w:jc w:val="right"/>
              <w:ind w:right="26"/>
              <w:spacing w:after="0"/>
              <w:rPr>
                <w:sz w:val="20"/>
                <w:szCs w:val="20"/>
                <w:color w:val="auto"/>
              </w:rPr>
            </w:pPr>
            <w:r>
              <w:rPr>
                <w:rFonts w:ascii="Arial" w:cs="Arial" w:eastAsia="Arial" w:hAnsi="Arial"/>
                <w:sz w:val="11"/>
                <w:szCs w:val="11"/>
                <w:color w:val="auto"/>
              </w:rPr>
              <w:t>(13,230)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23"/>
                <w:szCs w:val="23"/>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(13,576)</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475</w:t>
            </w:r>
          </w:p>
        </w:tc>
        <w:tc>
          <w:tcPr>
            <w:tcW w:w="120" w:type="dxa"/>
            <w:vAlign w:val="bottom"/>
          </w:tcPr>
          <w:p>
            <w:pPr>
              <w:spacing w:after="0"/>
              <w:rPr>
                <w:sz w:val="23"/>
                <w:szCs w:val="23"/>
                <w:color w:val="auto"/>
              </w:rPr>
            </w:pPr>
          </w:p>
        </w:tc>
        <w:tc>
          <w:tcPr>
            <w:tcW w:w="860" w:type="dxa"/>
            <w:vAlign w:val="bottom"/>
          </w:tcPr>
          <w:p>
            <w:pPr>
              <w:jc w:val="right"/>
              <w:ind w:right="26"/>
              <w:spacing w:after="0"/>
              <w:rPr>
                <w:sz w:val="20"/>
                <w:szCs w:val="20"/>
                <w:color w:val="auto"/>
              </w:rPr>
            </w:pPr>
            <w:r>
              <w:rPr>
                <w:rFonts w:ascii="Arial" w:cs="Arial" w:eastAsia="Arial" w:hAnsi="Arial"/>
                <w:sz w:val="11"/>
                <w:szCs w:val="11"/>
                <w:color w:val="auto"/>
              </w:rPr>
              <w:t>(13,101)</w:t>
            </w:r>
          </w:p>
        </w:tc>
      </w:tr>
      <w:tr>
        <w:trPr>
          <w:trHeight w:val="297"/>
        </w:trPr>
        <w:tc>
          <w:tcPr>
            <w:tcW w:w="880" w:type="dxa"/>
            <w:vAlign w:val="bottom"/>
          </w:tcPr>
          <w:p>
            <w:pPr>
              <w:jc w:val="right"/>
              <w:ind w:right="66"/>
              <w:spacing w:after="0"/>
              <w:rPr>
                <w:sz w:val="20"/>
                <w:szCs w:val="20"/>
                <w:color w:val="auto"/>
              </w:rPr>
            </w:pPr>
            <w:r>
              <w:rPr>
                <w:rFonts w:ascii="Arial" w:cs="Arial" w:eastAsia="Arial" w:hAnsi="Arial"/>
                <w:sz w:val="11"/>
                <w:szCs w:val="11"/>
                <w:color w:val="auto"/>
              </w:rPr>
              <w:t>9,904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24"/>
                <w:szCs w:val="24"/>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8,718</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66"/>
              <w:spacing w:after="0"/>
              <w:rPr>
                <w:sz w:val="20"/>
                <w:szCs w:val="20"/>
                <w:color w:val="auto"/>
              </w:rPr>
            </w:pPr>
            <w:r>
              <w:rPr>
                <w:rFonts w:ascii="Arial" w:cs="Arial" w:eastAsia="Arial" w:hAnsi="Arial"/>
                <w:sz w:val="11"/>
                <w:szCs w:val="11"/>
                <w:color w:val="auto"/>
              </w:rPr>
              <w:t>8,718</w:t>
            </w:r>
          </w:p>
        </w:tc>
      </w:tr>
      <w:tr>
        <w:trPr>
          <w:trHeight w:val="270"/>
        </w:trPr>
        <w:tc>
          <w:tcPr>
            <w:tcW w:w="880" w:type="dxa"/>
            <w:vAlign w:val="bottom"/>
          </w:tcPr>
          <w:p>
            <w:pPr>
              <w:jc w:val="right"/>
              <w:ind w:right="26"/>
              <w:spacing w:after="0"/>
              <w:rPr>
                <w:sz w:val="20"/>
                <w:szCs w:val="20"/>
                <w:color w:val="auto"/>
              </w:rPr>
            </w:pPr>
            <w:r>
              <w:rPr>
                <w:rFonts w:ascii="Arial" w:cs="Arial" w:eastAsia="Arial" w:hAnsi="Arial"/>
                <w:sz w:val="11"/>
                <w:szCs w:val="11"/>
                <w:color w:val="auto"/>
              </w:rPr>
              <w:t>(15,051)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23"/>
                <w:szCs w:val="23"/>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(11,036)</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26"/>
              <w:spacing w:after="0"/>
              <w:rPr>
                <w:sz w:val="20"/>
                <w:szCs w:val="20"/>
                <w:color w:val="auto"/>
              </w:rPr>
            </w:pPr>
            <w:r>
              <w:rPr>
                <w:rFonts w:ascii="Arial" w:cs="Arial" w:eastAsia="Arial" w:hAnsi="Arial"/>
                <w:sz w:val="11"/>
                <w:szCs w:val="11"/>
                <w:color w:val="auto"/>
              </w:rPr>
              <w:t>(11,036)</w:t>
            </w:r>
          </w:p>
        </w:tc>
      </w:tr>
      <w:tr>
        <w:trPr>
          <w:trHeight w:val="270"/>
        </w:trPr>
        <w:tc>
          <w:tcPr>
            <w:tcW w:w="880" w:type="dxa"/>
            <w:vAlign w:val="bottom"/>
          </w:tcPr>
          <w:p>
            <w:pPr>
              <w:jc w:val="right"/>
              <w:ind w:right="66"/>
              <w:spacing w:after="0"/>
              <w:rPr>
                <w:sz w:val="20"/>
                <w:szCs w:val="20"/>
                <w:color w:val="auto"/>
              </w:rPr>
            </w:pPr>
            <w:r>
              <w:rPr>
                <w:rFonts w:ascii="Arial" w:cs="Arial" w:eastAsia="Arial" w:hAnsi="Arial"/>
                <w:sz w:val="11"/>
                <w:szCs w:val="11"/>
                <w:color w:val="auto"/>
              </w:rPr>
              <w:t>1,801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23"/>
                <w:szCs w:val="23"/>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662</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66"/>
              <w:spacing w:after="0"/>
              <w:rPr>
                <w:sz w:val="20"/>
                <w:szCs w:val="20"/>
                <w:color w:val="auto"/>
              </w:rPr>
            </w:pPr>
            <w:r>
              <w:rPr>
                <w:rFonts w:ascii="Arial" w:cs="Arial" w:eastAsia="Arial" w:hAnsi="Arial"/>
                <w:sz w:val="11"/>
                <w:szCs w:val="11"/>
                <w:color w:val="auto"/>
              </w:rPr>
              <w:t>662</w:t>
            </w:r>
          </w:p>
        </w:tc>
      </w:tr>
      <w:tr>
        <w:trPr>
          <w:trHeight w:val="270"/>
        </w:trPr>
        <w:tc>
          <w:tcPr>
            <w:tcW w:w="880" w:type="dxa"/>
            <w:vAlign w:val="bottom"/>
          </w:tcPr>
          <w:p>
            <w:pPr>
              <w:jc w:val="right"/>
              <w:ind w:right="66"/>
              <w:spacing w:after="0"/>
              <w:rPr>
                <w:sz w:val="20"/>
                <w:szCs w:val="20"/>
                <w:color w:val="auto"/>
              </w:rPr>
            </w:pPr>
            <w:r>
              <w:rPr>
                <w:rFonts w:ascii="Arial" w:cs="Arial" w:eastAsia="Arial" w:hAnsi="Arial"/>
                <w:sz w:val="11"/>
                <w:szCs w:val="11"/>
                <w:color w:val="auto"/>
              </w:rPr>
              <w:t>172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65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24</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ind w:right="66"/>
              <w:spacing w:after="0"/>
              <w:rPr>
                <w:sz w:val="20"/>
                <w:szCs w:val="20"/>
                <w:color w:val="auto"/>
              </w:rPr>
            </w:pPr>
            <w:r>
              <w:rPr>
                <w:rFonts w:ascii="Arial" w:cs="Arial" w:eastAsia="Arial" w:hAnsi="Arial"/>
                <w:sz w:val="11"/>
                <w:szCs w:val="11"/>
                <w:color w:val="auto"/>
              </w:rPr>
              <w:t>89</w:t>
            </w:r>
          </w:p>
        </w:tc>
      </w:tr>
      <w:tr>
        <w:trPr>
          <w:trHeight w:val="22"/>
        </w:trPr>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28"/>
        </w:trPr>
        <w:tc>
          <w:tcPr>
            <w:tcW w:w="880" w:type="dxa"/>
            <w:vAlign w:val="bottom"/>
          </w:tcPr>
          <w:p>
            <w:pPr>
              <w:jc w:val="right"/>
              <w:ind w:right="26"/>
              <w:spacing w:after="0"/>
              <w:rPr>
                <w:sz w:val="20"/>
                <w:szCs w:val="20"/>
                <w:color w:val="auto"/>
              </w:rPr>
            </w:pPr>
            <w:r>
              <w:rPr>
                <w:rFonts w:ascii="Arial" w:cs="Arial" w:eastAsia="Arial" w:hAnsi="Arial"/>
                <w:sz w:val="11"/>
                <w:szCs w:val="11"/>
                <w:color w:val="auto"/>
              </w:rPr>
              <w:t>(24,124)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jc w:val="right"/>
              <w:ind w:right="26"/>
              <w:spacing w:after="0"/>
              <w:rPr>
                <w:sz w:val="20"/>
                <w:szCs w:val="20"/>
                <w:color w:val="auto"/>
              </w:rPr>
            </w:pPr>
            <w:r>
              <w:rPr>
                <w:rFonts w:ascii="Arial" w:cs="Arial" w:eastAsia="Arial" w:hAnsi="Arial"/>
                <w:sz w:val="11"/>
                <w:szCs w:val="11"/>
                <w:color w:val="auto"/>
              </w:rPr>
              <w:t>(4,222)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(16,432)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475</w:t>
            </w:r>
          </w:p>
        </w:tc>
        <w:tc>
          <w:tcPr>
            <w:tcW w:w="120" w:type="dxa"/>
            <w:vAlign w:val="bottom"/>
          </w:tcPr>
          <w:p>
            <w:pPr>
              <w:spacing w:after="0"/>
              <w:rPr>
                <w:sz w:val="19"/>
                <w:szCs w:val="19"/>
                <w:color w:val="auto"/>
              </w:rPr>
            </w:pPr>
          </w:p>
        </w:tc>
        <w:tc>
          <w:tcPr>
            <w:tcW w:w="860" w:type="dxa"/>
            <w:vAlign w:val="bottom"/>
          </w:tcPr>
          <w:p>
            <w:pPr>
              <w:jc w:val="right"/>
              <w:ind w:right="26"/>
              <w:spacing w:after="0"/>
              <w:rPr>
                <w:sz w:val="20"/>
                <w:szCs w:val="20"/>
                <w:color w:val="auto"/>
              </w:rPr>
            </w:pPr>
            <w:r>
              <w:rPr>
                <w:rFonts w:ascii="Arial" w:cs="Arial" w:eastAsia="Arial" w:hAnsi="Arial"/>
                <w:sz w:val="11"/>
                <w:szCs w:val="11"/>
                <w:color w:val="auto"/>
              </w:rPr>
              <w:t>(20,179)</w:t>
            </w:r>
          </w:p>
        </w:tc>
      </w:tr>
      <w:tr>
        <w:trPr>
          <w:trHeight w:val="22"/>
        </w:trPr>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sectPr>
          <w:pgSz w:w="11900" w:h="16838" w:orient="portrait"/>
          <w:cols w:equalWidth="0" w:num="2">
            <w:col w:w="5800" w:space="100"/>
            <w:col w:w="5120"/>
          </w:cols>
          <w:pgMar w:left="240" w:top="581" w:right="6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540" w:type="dxa"/>
            <w:vAlign w:val="bottom"/>
          </w:tcPr>
          <w:p>
            <w:pPr>
              <w:ind w:left="180"/>
              <w:spacing w:after="0"/>
              <w:rPr>
                <w:sz w:val="20"/>
                <w:szCs w:val="20"/>
                <w:color w:val="auto"/>
              </w:rPr>
            </w:pPr>
            <w:r>
              <w:rPr>
                <w:rFonts w:ascii="Arial" w:cs="Arial" w:eastAsia="Arial" w:hAnsi="Arial"/>
                <w:sz w:val="11"/>
                <w:szCs w:val="11"/>
                <w:color w:val="auto"/>
              </w:rPr>
              <w:t>Net increase (decrease) in short-term debt</w:t>
            </w:r>
          </w:p>
        </w:tc>
        <w:tc>
          <w:tcPr>
            <w:tcW w:w="220" w:type="dxa"/>
            <w:vAlign w:val="bottom"/>
          </w:tcPr>
          <w:p>
            <w:pPr>
              <w:spacing w:after="0"/>
              <w:rPr>
                <w:sz w:val="11"/>
                <w:szCs w:val="11"/>
                <w:color w:val="auto"/>
              </w:rPr>
            </w:pPr>
          </w:p>
        </w:tc>
        <w:tc>
          <w:tcPr>
            <w:tcW w:w="580" w:type="dxa"/>
            <w:vAlign w:val="bottom"/>
            <w:vMerge w:val="restart"/>
          </w:tcPr>
          <w:p>
            <w:pPr>
              <w:jc w:val="right"/>
              <w:ind w:right="66"/>
              <w:spacing w:after="0"/>
              <w:rPr>
                <w:sz w:val="20"/>
                <w:szCs w:val="20"/>
                <w:color w:val="auto"/>
              </w:rPr>
            </w:pPr>
            <w:r>
              <w:rPr>
                <w:rFonts w:ascii="Arial" w:cs="Arial" w:eastAsia="Arial" w:hAnsi="Arial"/>
                <w:sz w:val="11"/>
                <w:szCs w:val="11"/>
                <w:color w:val="auto"/>
              </w:rPr>
              <w:t>11</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vMerge w:val="restart"/>
          </w:tcPr>
          <w:p>
            <w:pPr>
              <w:jc w:val="right"/>
              <w:ind w:right="66"/>
              <w:spacing w:after="0"/>
              <w:rPr>
                <w:sz w:val="20"/>
                <w:szCs w:val="20"/>
                <w:color w:val="auto"/>
              </w:rPr>
            </w:pPr>
            <w:r>
              <w:rPr>
                <w:rFonts w:ascii="Arial" w:cs="Arial" w:eastAsia="Arial" w:hAnsi="Arial"/>
                <w:sz w:val="11"/>
                <w:szCs w:val="11"/>
                <w:color w:val="auto"/>
              </w:rPr>
              <w:t>497</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gridSpan w:val="2"/>
            <w:vMerge w:val="restart"/>
          </w:tcPr>
          <w:p>
            <w:pPr>
              <w:ind w:left="4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640" w:type="dxa"/>
            <w:vAlign w:val="bottom"/>
            <w:vMerge w:val="restart"/>
          </w:tcPr>
          <w:p>
            <w:pPr>
              <w:jc w:val="right"/>
              <w:ind w:right="66"/>
              <w:spacing w:after="0"/>
              <w:rPr>
                <w:sz w:val="20"/>
                <w:szCs w:val="20"/>
                <w:color w:val="auto"/>
              </w:rPr>
            </w:pPr>
            <w:r>
              <w:rPr>
                <w:rFonts w:ascii="Arial" w:cs="Arial" w:eastAsia="Arial" w:hAnsi="Arial"/>
                <w:sz w:val="11"/>
                <w:szCs w:val="11"/>
                <w:color w:val="auto"/>
              </w:rPr>
              <w:t>508</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vMerge w:val="restart"/>
          </w:tcPr>
          <w:p>
            <w:pPr>
              <w:jc w:val="right"/>
              <w:ind w:right="26"/>
              <w:spacing w:after="0"/>
              <w:rPr>
                <w:sz w:val="20"/>
                <w:szCs w:val="20"/>
                <w:color w:val="auto"/>
              </w:rPr>
            </w:pPr>
            <w:r>
              <w:rPr>
                <w:rFonts w:ascii="Arial" w:cs="Arial" w:eastAsia="Arial" w:hAnsi="Arial"/>
                <w:sz w:val="11"/>
                <w:szCs w:val="11"/>
                <w:color w:val="auto"/>
              </w:rPr>
              <w:t>(52)</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vMerge w:val="restart"/>
          </w:tcPr>
          <w:p>
            <w:pPr>
              <w:jc w:val="right"/>
              <w:ind w:right="66"/>
              <w:spacing w:after="0"/>
              <w:rPr>
                <w:sz w:val="20"/>
                <w:szCs w:val="20"/>
                <w:color w:val="auto"/>
              </w:rPr>
            </w:pPr>
            <w:r>
              <w:rPr>
                <w:rFonts w:ascii="Arial" w:cs="Arial" w:eastAsia="Arial" w:hAnsi="Arial"/>
                <w:sz w:val="11"/>
                <w:szCs w:val="11"/>
                <w:color w:val="auto"/>
              </w:rPr>
              <w:t>539</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gridSpan w:val="2"/>
            <w:vMerge w:val="restart"/>
          </w:tcPr>
          <w:p>
            <w:pPr>
              <w:ind w:left="4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640" w:type="dxa"/>
            <w:vAlign w:val="bottom"/>
            <w:vMerge w:val="restart"/>
          </w:tcPr>
          <w:p>
            <w:pPr>
              <w:jc w:val="right"/>
              <w:ind w:right="66"/>
              <w:spacing w:after="0"/>
              <w:rPr>
                <w:sz w:val="20"/>
                <w:szCs w:val="20"/>
                <w:color w:val="auto"/>
              </w:rPr>
            </w:pPr>
            <w:r>
              <w:rPr>
                <w:rFonts w:ascii="Arial" w:cs="Arial" w:eastAsia="Arial" w:hAnsi="Arial"/>
                <w:sz w:val="11"/>
                <w:szCs w:val="11"/>
                <w:color w:val="auto"/>
              </w:rPr>
              <w:t>487</w:t>
            </w:r>
          </w:p>
        </w:tc>
        <w:tc>
          <w:tcPr>
            <w:tcW w:w="0" w:type="dxa"/>
            <w:vAlign w:val="bottom"/>
          </w:tcPr>
          <w:p>
            <w:pPr>
              <w:spacing w:after="0"/>
              <w:rPr>
                <w:sz w:val="1"/>
                <w:szCs w:val="1"/>
                <w:color w:val="auto"/>
              </w:rPr>
            </w:pPr>
          </w:p>
        </w:tc>
      </w:tr>
      <w:tr>
        <w:trPr>
          <w:trHeight w:val="95"/>
        </w:trPr>
        <w:tc>
          <w:tcPr>
            <w:tcW w:w="2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2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5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Proceeds from issuance of debt (original</w:t>
            </w: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1"/>
                <w:szCs w:val="11"/>
                <w:color w:val="auto"/>
              </w:rPr>
              <w:t>maturities greater than three months)</w:t>
            </w:r>
          </w:p>
        </w:tc>
        <w:tc>
          <w:tcPr>
            <w:tcW w:w="22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2,248</w:t>
            </w:r>
          </w:p>
        </w:tc>
        <w:tc>
          <w:tcPr>
            <w:tcW w:w="12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30,288</w:t>
            </w:r>
          </w:p>
        </w:tc>
        <w:tc>
          <w:tcPr>
            <w:tcW w:w="10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32,536</w:t>
            </w:r>
          </w:p>
        </w:tc>
        <w:tc>
          <w:tcPr>
            <w:tcW w:w="10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162</w:t>
            </w:r>
          </w:p>
        </w:tc>
        <w:tc>
          <w:tcPr>
            <w:tcW w:w="10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24,654</w:t>
            </w:r>
          </w:p>
        </w:tc>
        <w:tc>
          <w:tcPr>
            <w:tcW w:w="10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24,816</w:t>
            </w:r>
          </w:p>
        </w:tc>
        <w:tc>
          <w:tcPr>
            <w:tcW w:w="0" w:type="dxa"/>
            <w:vAlign w:val="bottom"/>
          </w:tcPr>
          <w:p>
            <w:pPr>
              <w:spacing w:after="0"/>
              <w:rPr>
                <w:sz w:val="1"/>
                <w:szCs w:val="1"/>
                <w:color w:val="auto"/>
              </w:rPr>
            </w:pPr>
          </w:p>
        </w:tc>
      </w:tr>
      <w:tr>
        <w:trPr>
          <w:trHeight w:val="145"/>
        </w:trPr>
        <w:tc>
          <w:tcPr>
            <w:tcW w:w="2540" w:type="dxa"/>
            <w:vAlign w:val="bottom"/>
          </w:tcPr>
          <w:p>
            <w:pPr>
              <w:ind w:left="180"/>
              <w:spacing w:after="0"/>
              <w:rPr>
                <w:sz w:val="20"/>
                <w:szCs w:val="20"/>
                <w:color w:val="auto"/>
              </w:rPr>
            </w:pPr>
            <w:r>
              <w:rPr>
                <w:rFonts w:ascii="Arial" w:cs="Arial" w:eastAsia="Arial" w:hAnsi="Arial"/>
                <w:sz w:val="11"/>
                <w:szCs w:val="11"/>
                <w:color w:val="auto"/>
              </w:rPr>
              <w:t>Payments on debt (original maturities greater</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540" w:type="dxa"/>
            <w:vAlign w:val="bottom"/>
          </w:tcPr>
          <w:p>
            <w:pPr>
              <w:ind w:left="340"/>
              <w:spacing w:after="0"/>
              <w:rPr>
                <w:sz w:val="20"/>
                <w:szCs w:val="20"/>
                <w:color w:val="auto"/>
              </w:rPr>
            </w:pPr>
            <w:r>
              <w:rPr>
                <w:rFonts w:ascii="Arial" w:cs="Arial" w:eastAsia="Arial" w:hAnsi="Arial"/>
                <w:sz w:val="11"/>
                <w:szCs w:val="11"/>
                <w:color w:val="auto"/>
              </w:rPr>
              <w:t>than three months)</w:t>
            </w:r>
          </w:p>
        </w:tc>
        <w:tc>
          <w:tcPr>
            <w:tcW w:w="220" w:type="dxa"/>
            <w:vAlign w:val="bottom"/>
          </w:tcPr>
          <w:p>
            <w:pPr>
              <w:spacing w:after="0"/>
              <w:rPr>
                <w:sz w:val="11"/>
                <w:szCs w:val="11"/>
                <w:color w:val="auto"/>
              </w:rPr>
            </w:pP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(452)</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(16,985)</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gridSpan w:val="2"/>
          </w:tcPr>
          <w:p>
            <w:pPr>
              <w:ind w:left="4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640" w:type="dxa"/>
            <w:vAlign w:val="bottom"/>
          </w:tcPr>
          <w:p>
            <w:pPr>
              <w:jc w:val="right"/>
              <w:ind w:right="26"/>
              <w:spacing w:after="0"/>
              <w:rPr>
                <w:sz w:val="20"/>
                <w:szCs w:val="20"/>
                <w:color w:val="auto"/>
              </w:rPr>
            </w:pPr>
            <w:r>
              <w:rPr>
                <w:rFonts w:ascii="Arial" w:cs="Arial" w:eastAsia="Arial" w:hAnsi="Arial"/>
                <w:sz w:val="11"/>
                <w:szCs w:val="11"/>
                <w:color w:val="auto"/>
              </w:rPr>
              <w:t>(17,437)</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(225)</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(12,098)</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gridSpan w:val="2"/>
          </w:tcPr>
          <w:p>
            <w:pPr>
              <w:ind w:left="4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640" w:type="dxa"/>
            <w:vAlign w:val="bottom"/>
          </w:tcPr>
          <w:p>
            <w:pPr>
              <w:jc w:val="right"/>
              <w:ind w:right="26"/>
              <w:spacing w:after="0"/>
              <w:rPr>
                <w:sz w:val="20"/>
                <w:szCs w:val="20"/>
                <w:color w:val="auto"/>
              </w:rPr>
            </w:pPr>
            <w:r>
              <w:rPr>
                <w:rFonts w:ascii="Arial" w:cs="Arial" w:eastAsia="Arial" w:hAnsi="Arial"/>
                <w:sz w:val="11"/>
                <w:szCs w:val="11"/>
                <w:color w:val="auto"/>
              </w:rPr>
              <w:t>(12,323)</w:t>
            </w:r>
          </w:p>
        </w:tc>
        <w:tc>
          <w:tcPr>
            <w:tcW w:w="0" w:type="dxa"/>
            <w:vAlign w:val="bottom"/>
          </w:tcPr>
          <w:p>
            <w:pPr>
              <w:spacing w:after="0"/>
              <w:rPr>
                <w:sz w:val="1"/>
                <w:szCs w:val="1"/>
                <w:color w:val="auto"/>
              </w:rPr>
            </w:pPr>
          </w:p>
        </w:tc>
      </w:tr>
      <w:tr>
        <w:trPr>
          <w:trHeight w:val="22"/>
        </w:trPr>
        <w:tc>
          <w:tcPr>
            <w:tcW w:w="2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5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Payments to purchase common stock</w:t>
            </w:r>
          </w:p>
        </w:tc>
        <w:tc>
          <w:tcPr>
            <w:tcW w:w="22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(1,501)</w:t>
            </w: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ind w:left="44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(1,501)</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(2,888)</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ind w:left="4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(2,888)</w:t>
            </w:r>
          </w:p>
        </w:tc>
        <w:tc>
          <w:tcPr>
            <w:tcW w:w="0" w:type="dxa"/>
            <w:vAlign w:val="bottom"/>
          </w:tcPr>
          <w:p>
            <w:pPr>
              <w:spacing w:after="0"/>
              <w:rPr>
                <w:sz w:val="1"/>
                <w:szCs w:val="1"/>
                <w:color w:val="auto"/>
              </w:rPr>
            </w:pPr>
          </w:p>
        </w:tc>
      </w:tr>
      <w:tr>
        <w:trPr>
          <w:trHeight w:val="97"/>
        </w:trPr>
        <w:tc>
          <w:tcPr>
            <w:tcW w:w="254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CCEEFF"/>
            </w:tcBorders>
            <w:shd w:val="clear" w:color="auto" w:fill="CCEEFF"/>
          </w:tcPr>
          <w:p>
            <w:pPr>
              <w:spacing w:after="0"/>
              <w:rPr>
                <w:sz w:val="8"/>
                <w:szCs w:val="8"/>
                <w:color w:val="auto"/>
              </w:rPr>
            </w:pPr>
          </w:p>
        </w:tc>
        <w:tc>
          <w:tcPr>
            <w:tcW w:w="58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320" w:type="dxa"/>
            <w:vAlign w:val="bottom"/>
            <w:tcBorders>
              <w:bottom w:val="single" w:sz="8" w:color="CCEEFF"/>
            </w:tcBorders>
            <w:shd w:val="clear" w:color="auto" w:fill="CCEEFF"/>
          </w:tcPr>
          <w:p>
            <w:pPr>
              <w:spacing w:after="0"/>
              <w:rPr>
                <w:sz w:val="8"/>
                <w:szCs w:val="8"/>
                <w:color w:val="auto"/>
              </w:rPr>
            </w:pPr>
          </w:p>
        </w:tc>
        <w:tc>
          <w:tcPr>
            <w:tcW w:w="820" w:type="dxa"/>
            <w:vAlign w:val="bottom"/>
            <w:tcBorders>
              <w:bottom w:val="single" w:sz="8" w:color="CCEEFF"/>
            </w:tcBorders>
            <w:gridSpan w:val="2"/>
            <w:vMerge w:val="continue"/>
            <w:shd w:val="clear" w:color="auto" w:fill="CCEEFF"/>
          </w:tcPr>
          <w:p>
            <w:pPr>
              <w:spacing w:after="0"/>
              <w:rPr>
                <w:sz w:val="8"/>
                <w:szCs w:val="8"/>
                <w:color w:val="auto"/>
              </w:rPr>
            </w:pPr>
          </w:p>
        </w:tc>
        <w:tc>
          <w:tcPr>
            <w:tcW w:w="540" w:type="dxa"/>
            <w:vAlign w:val="bottom"/>
            <w:tcBorders>
              <w:bottom w:val="single" w:sz="8" w:color="CCEEFF"/>
            </w:tcBorders>
            <w:shd w:val="clear" w:color="auto" w:fill="CCEEFF"/>
          </w:tcPr>
          <w:p>
            <w:pPr>
              <w:spacing w:after="0"/>
              <w:rPr>
                <w:sz w:val="8"/>
                <w:szCs w:val="8"/>
                <w:color w:val="auto"/>
              </w:rPr>
            </w:pPr>
          </w:p>
        </w:tc>
        <w:tc>
          <w:tcPr>
            <w:tcW w:w="760" w:type="dxa"/>
            <w:vAlign w:val="bottom"/>
            <w:tcBorders>
              <w:bottom w:val="single" w:sz="8" w:color="CCEEFF"/>
            </w:tcBorders>
            <w:gridSpan w:val="2"/>
            <w:vMerge w:val="continue"/>
            <w:shd w:val="clear" w:color="auto" w:fill="CCEEFF"/>
          </w:tcPr>
          <w:p>
            <w:pPr>
              <w:spacing w:after="0"/>
              <w:rPr>
                <w:sz w:val="8"/>
                <w:szCs w:val="8"/>
                <w:color w:val="auto"/>
              </w:rPr>
            </w:pPr>
          </w:p>
        </w:tc>
        <w:tc>
          <w:tcPr>
            <w:tcW w:w="240" w:type="dxa"/>
            <w:vAlign w:val="bottom"/>
            <w:tcBorders>
              <w:bottom w:val="single" w:sz="8" w:color="CCEEFF"/>
            </w:tcBorders>
            <w:shd w:val="clear" w:color="auto" w:fill="CCEEFF"/>
          </w:tcPr>
          <w:p>
            <w:pPr>
              <w:spacing w:after="0"/>
              <w:rPr>
                <w:sz w:val="8"/>
                <w:szCs w:val="8"/>
                <w:color w:val="auto"/>
              </w:rPr>
            </w:pPr>
          </w:p>
        </w:tc>
        <w:tc>
          <w:tcPr>
            <w:tcW w:w="6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spacing w:after="0"/>
              <w:rPr>
                <w:sz w:val="8"/>
                <w:szCs w:val="8"/>
                <w:color w:val="auto"/>
              </w:rPr>
            </w:pPr>
          </w:p>
        </w:tc>
        <w:tc>
          <w:tcPr>
            <w:tcW w:w="56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300" w:type="dxa"/>
            <w:vAlign w:val="bottom"/>
            <w:tcBorders>
              <w:bottom w:val="single" w:sz="8" w:color="CCEEFF"/>
            </w:tcBorders>
            <w:shd w:val="clear" w:color="auto" w:fill="CCEEFF"/>
          </w:tcPr>
          <w:p>
            <w:pPr>
              <w:spacing w:after="0"/>
              <w:rPr>
                <w:sz w:val="8"/>
                <w:szCs w:val="8"/>
                <w:color w:val="auto"/>
              </w:rPr>
            </w:pPr>
          </w:p>
        </w:tc>
        <w:tc>
          <w:tcPr>
            <w:tcW w:w="800" w:type="dxa"/>
            <w:vAlign w:val="bottom"/>
            <w:tcBorders>
              <w:bottom w:val="single" w:sz="8" w:color="CCEEFF"/>
            </w:tcBorders>
            <w:gridSpan w:val="2"/>
            <w:vMerge w:val="continue"/>
            <w:shd w:val="clear" w:color="auto" w:fill="CCEEFF"/>
          </w:tcPr>
          <w:p>
            <w:pPr>
              <w:spacing w:after="0"/>
              <w:rPr>
                <w:sz w:val="8"/>
                <w:szCs w:val="8"/>
                <w:color w:val="auto"/>
              </w:rPr>
            </w:pPr>
          </w:p>
        </w:tc>
        <w:tc>
          <w:tcPr>
            <w:tcW w:w="540" w:type="dxa"/>
            <w:vAlign w:val="bottom"/>
            <w:tcBorders>
              <w:bottom w:val="single" w:sz="8" w:color="CCEEFF"/>
            </w:tcBorders>
            <w:shd w:val="clear" w:color="auto" w:fill="CCEEFF"/>
          </w:tcPr>
          <w:p>
            <w:pPr>
              <w:spacing w:after="0"/>
              <w:rPr>
                <w:sz w:val="8"/>
                <w:szCs w:val="8"/>
                <w:color w:val="auto"/>
              </w:rPr>
            </w:pPr>
          </w:p>
        </w:tc>
        <w:tc>
          <w:tcPr>
            <w:tcW w:w="780" w:type="dxa"/>
            <w:vAlign w:val="bottom"/>
            <w:tcBorders>
              <w:bottom w:val="single" w:sz="8" w:color="CCEEFF"/>
            </w:tcBorders>
            <w:gridSpan w:val="2"/>
            <w:vMerge w:val="continue"/>
            <w:shd w:val="clear" w:color="auto" w:fill="CCEEFF"/>
          </w:tcPr>
          <w:p>
            <w:pPr>
              <w:spacing w:after="0"/>
              <w:rPr>
                <w:sz w:val="8"/>
                <w:szCs w:val="8"/>
                <w:color w:val="auto"/>
              </w:rPr>
            </w:pPr>
          </w:p>
        </w:tc>
        <w:tc>
          <w:tcPr>
            <w:tcW w:w="220" w:type="dxa"/>
            <w:vAlign w:val="bottom"/>
            <w:tcBorders>
              <w:bottom w:val="single" w:sz="8" w:color="CCEEFF"/>
            </w:tcBorders>
            <w:shd w:val="clear" w:color="auto" w:fill="CCEEFF"/>
          </w:tcPr>
          <w:p>
            <w:pPr>
              <w:spacing w:after="0"/>
              <w:rPr>
                <w:sz w:val="8"/>
                <w:szCs w:val="8"/>
                <w:color w:val="auto"/>
              </w:rPr>
            </w:pPr>
          </w:p>
        </w:tc>
        <w:tc>
          <w:tcPr>
            <w:tcW w:w="64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540" w:type="dxa"/>
            <w:vAlign w:val="bottom"/>
          </w:tcPr>
          <w:p>
            <w:pPr>
              <w:ind w:left="180"/>
              <w:spacing w:after="0"/>
              <w:rPr>
                <w:sz w:val="20"/>
                <w:szCs w:val="20"/>
                <w:color w:val="auto"/>
              </w:rPr>
            </w:pPr>
            <w:r>
              <w:rPr>
                <w:rFonts w:ascii="Arial" w:cs="Arial" w:eastAsia="Arial" w:hAnsi="Arial"/>
                <w:sz w:val="11"/>
                <w:szCs w:val="11"/>
                <w:color w:val="auto"/>
              </w:rPr>
              <w:t>Dividends paid</w:t>
            </w:r>
          </w:p>
        </w:tc>
        <w:tc>
          <w:tcPr>
            <w:tcW w:w="220" w:type="dxa"/>
            <w:vAlign w:val="bottom"/>
          </w:tcPr>
          <w:p>
            <w:pPr>
              <w:spacing w:after="0"/>
              <w:rPr>
                <w:sz w:val="13"/>
                <w:szCs w:val="13"/>
                <w:color w:val="auto"/>
              </w:rPr>
            </w:pPr>
          </w:p>
        </w:tc>
        <w:tc>
          <w:tcPr>
            <w:tcW w:w="580" w:type="dxa"/>
            <w:vAlign w:val="bottom"/>
            <w:vMerge w:val="restart"/>
          </w:tcPr>
          <w:p>
            <w:pPr>
              <w:jc w:val="right"/>
              <w:ind w:right="26"/>
              <w:spacing w:after="0"/>
              <w:rPr>
                <w:sz w:val="20"/>
                <w:szCs w:val="20"/>
                <w:color w:val="auto"/>
              </w:rPr>
            </w:pPr>
            <w:r>
              <w:rPr>
                <w:rFonts w:ascii="Arial" w:cs="Arial" w:eastAsia="Arial" w:hAnsi="Arial"/>
                <w:sz w:val="11"/>
                <w:szCs w:val="11"/>
                <w:color w:val="auto"/>
              </w:rPr>
              <w:t>(1,782)</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3"/>
                <w:szCs w:val="13"/>
                <w:color w:val="auto"/>
              </w:rPr>
            </w:pPr>
          </w:p>
        </w:tc>
        <w:tc>
          <w:tcPr>
            <w:tcW w:w="760" w:type="dxa"/>
            <w:vAlign w:val="bottom"/>
            <w:gridSpan w:val="2"/>
            <w:vMerge w:val="restart"/>
          </w:tcPr>
          <w:p>
            <w:pPr>
              <w:ind w:left="4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640" w:type="dxa"/>
            <w:vAlign w:val="bottom"/>
            <w:vMerge w:val="restart"/>
          </w:tcPr>
          <w:p>
            <w:pPr>
              <w:jc w:val="right"/>
              <w:ind w:right="26"/>
              <w:spacing w:after="0"/>
              <w:rPr>
                <w:sz w:val="20"/>
                <w:szCs w:val="20"/>
                <w:color w:val="auto"/>
              </w:rPr>
            </w:pPr>
            <w:r>
              <w:rPr>
                <w:rFonts w:ascii="Arial" w:cs="Arial" w:eastAsia="Arial" w:hAnsi="Arial"/>
                <w:sz w:val="11"/>
                <w:szCs w:val="11"/>
                <w:color w:val="auto"/>
              </w:rPr>
              <w:t>(1,782)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vMerge w:val="restart"/>
          </w:tcPr>
          <w:p>
            <w:pPr>
              <w:jc w:val="right"/>
              <w:ind w:right="26"/>
              <w:spacing w:after="0"/>
              <w:rPr>
                <w:sz w:val="20"/>
                <w:szCs w:val="20"/>
                <w:color w:val="auto"/>
              </w:rPr>
            </w:pPr>
            <w:r>
              <w:rPr>
                <w:rFonts w:ascii="Arial" w:cs="Arial" w:eastAsia="Arial" w:hAnsi="Arial"/>
                <w:sz w:val="11"/>
                <w:szCs w:val="11"/>
                <w:color w:val="auto"/>
              </w:rPr>
              <w:t>(1,678)</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3"/>
                <w:szCs w:val="13"/>
                <w:color w:val="auto"/>
              </w:rPr>
            </w:pPr>
          </w:p>
        </w:tc>
        <w:tc>
          <w:tcPr>
            <w:tcW w:w="780" w:type="dxa"/>
            <w:vAlign w:val="bottom"/>
            <w:gridSpan w:val="2"/>
            <w:vMerge w:val="restart"/>
          </w:tcPr>
          <w:p>
            <w:pPr>
              <w:ind w:left="4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640" w:type="dxa"/>
            <w:vAlign w:val="bottom"/>
            <w:vMerge w:val="restart"/>
          </w:tcPr>
          <w:p>
            <w:pPr>
              <w:jc w:val="right"/>
              <w:ind w:right="26"/>
              <w:spacing w:after="0"/>
              <w:rPr>
                <w:sz w:val="20"/>
                <w:szCs w:val="20"/>
                <w:color w:val="auto"/>
              </w:rPr>
            </w:pPr>
            <w:r>
              <w:rPr>
                <w:rFonts w:ascii="Arial" w:cs="Arial" w:eastAsia="Arial" w:hAnsi="Arial"/>
                <w:sz w:val="11"/>
                <w:szCs w:val="11"/>
                <w:color w:val="auto"/>
              </w:rPr>
              <w:t>(1,678)</w:t>
            </w:r>
          </w:p>
        </w:tc>
        <w:tc>
          <w:tcPr>
            <w:tcW w:w="0" w:type="dxa"/>
            <w:vAlign w:val="bottom"/>
          </w:tcPr>
          <w:p>
            <w:pPr>
              <w:spacing w:after="0"/>
              <w:rPr>
                <w:sz w:val="1"/>
                <w:szCs w:val="1"/>
                <w:color w:val="auto"/>
              </w:rPr>
            </w:pPr>
          </w:p>
        </w:tc>
      </w:tr>
      <w:tr>
        <w:trPr>
          <w:trHeight w:val="95"/>
        </w:trPr>
        <w:tc>
          <w:tcPr>
            <w:tcW w:w="2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54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2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5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Other financing activities</w:t>
            </w:r>
          </w:p>
        </w:tc>
        <w:tc>
          <w:tcPr>
            <w:tcW w:w="22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(119)</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ind w:left="44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(119)</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54</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(124)</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ind w:left="4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(70)</w:t>
            </w:r>
          </w:p>
        </w:tc>
        <w:tc>
          <w:tcPr>
            <w:tcW w:w="0" w:type="dxa"/>
            <w:vAlign w:val="bottom"/>
          </w:tcPr>
          <w:p>
            <w:pPr>
              <w:spacing w:after="0"/>
              <w:rPr>
                <w:sz w:val="1"/>
                <w:szCs w:val="1"/>
                <w:color w:val="auto"/>
              </w:rPr>
            </w:pPr>
          </w:p>
        </w:tc>
      </w:tr>
      <w:tr>
        <w:trPr>
          <w:trHeight w:val="117"/>
        </w:trPr>
        <w:tc>
          <w:tcPr>
            <w:tcW w:w="254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gridSpan w:val="2"/>
            <w:vMerge w:val="continue"/>
            <w:shd w:val="clear" w:color="auto" w:fill="CCEEFF"/>
          </w:tcPr>
          <w:p>
            <w:pPr>
              <w:spacing w:after="0"/>
              <w:rPr>
                <w:sz w:val="10"/>
                <w:szCs w:val="10"/>
                <w:color w:val="auto"/>
              </w:rPr>
            </w:pPr>
          </w:p>
        </w:tc>
        <w:tc>
          <w:tcPr>
            <w:tcW w:w="320" w:type="dxa"/>
            <w:vAlign w:val="bottom"/>
            <w:tcBorders>
              <w:bottom w:val="single" w:sz="8" w:color="CCEEFF"/>
            </w:tcBorders>
            <w:shd w:val="clear" w:color="auto" w:fill="CCEEFF"/>
          </w:tcPr>
          <w:p>
            <w:pPr>
              <w:spacing w:after="0"/>
              <w:rPr>
                <w:sz w:val="10"/>
                <w:szCs w:val="10"/>
                <w:color w:val="auto"/>
              </w:rPr>
            </w:pPr>
          </w:p>
        </w:tc>
        <w:tc>
          <w:tcPr>
            <w:tcW w:w="72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CCEEFF"/>
            </w:tcBorders>
            <w:shd w:val="clear" w:color="auto" w:fill="CCEEFF"/>
          </w:tcPr>
          <w:p>
            <w:pPr>
              <w:spacing w:after="0"/>
              <w:rPr>
                <w:sz w:val="10"/>
                <w:szCs w:val="10"/>
                <w:color w:val="auto"/>
              </w:rPr>
            </w:pPr>
          </w:p>
        </w:tc>
        <w:tc>
          <w:tcPr>
            <w:tcW w:w="760" w:type="dxa"/>
            <w:vAlign w:val="bottom"/>
            <w:tcBorders>
              <w:bottom w:val="single" w:sz="8" w:color="CCEEFF"/>
            </w:tcBorders>
            <w:gridSpan w:val="2"/>
            <w:vMerge w:val="continue"/>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56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30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gridSpan w:val="2"/>
            <w:vMerge w:val="continue"/>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540" w:type="dxa"/>
            <w:vAlign w:val="bottom"/>
          </w:tcPr>
          <w:p>
            <w:pPr>
              <w:ind w:left="40"/>
              <w:spacing w:after="0" w:line="114" w:lineRule="exact"/>
              <w:rPr>
                <w:sz w:val="20"/>
                <w:szCs w:val="20"/>
                <w:color w:val="auto"/>
              </w:rPr>
            </w:pPr>
            <w:r>
              <w:rPr>
                <w:rFonts w:ascii="Arial" w:cs="Arial" w:eastAsia="Arial" w:hAnsi="Arial"/>
                <w:sz w:val="11"/>
                <w:szCs w:val="11"/>
                <w:b w:val="1"/>
                <w:bCs w:val="1"/>
                <w:color w:val="auto"/>
              </w:rPr>
              <w:t>Net cash provided by (used in) financing</w:t>
            </w:r>
          </w:p>
        </w:tc>
        <w:tc>
          <w:tcPr>
            <w:tcW w:w="22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540" w:type="dxa"/>
            <w:vAlign w:val="bottom"/>
          </w:tcPr>
          <w:p>
            <w:pPr>
              <w:ind w:left="200"/>
              <w:spacing w:after="0"/>
              <w:rPr>
                <w:sz w:val="20"/>
                <w:szCs w:val="20"/>
                <w:color w:val="auto"/>
              </w:rPr>
            </w:pPr>
            <w:r>
              <w:rPr>
                <w:rFonts w:ascii="Arial" w:cs="Arial" w:eastAsia="Arial" w:hAnsi="Arial"/>
                <w:sz w:val="11"/>
                <w:szCs w:val="11"/>
                <w:b w:val="1"/>
                <w:bCs w:val="1"/>
                <w:color w:val="auto"/>
              </w:rPr>
              <w:t>activities</w:t>
            </w:r>
          </w:p>
        </w:tc>
        <w:tc>
          <w:tcPr>
            <w:tcW w:w="220" w:type="dxa"/>
            <w:vAlign w:val="bottom"/>
          </w:tcPr>
          <w:p>
            <w:pPr>
              <w:spacing w:after="0"/>
              <w:rPr>
                <w:sz w:val="12"/>
                <w:szCs w:val="12"/>
                <w:color w:val="auto"/>
              </w:rPr>
            </w:pP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(1,476)</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13,681</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gridSpan w:val="2"/>
          </w:tcPr>
          <w:p>
            <w:pPr>
              <w:ind w:left="4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12,205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(4,627)</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12,971</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gridSpan w:val="2"/>
          </w:tcPr>
          <w:p>
            <w:pPr>
              <w:ind w:left="4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8,344</w:t>
            </w:r>
          </w:p>
        </w:tc>
        <w:tc>
          <w:tcPr>
            <w:tcW w:w="0" w:type="dxa"/>
            <w:vAlign w:val="bottom"/>
          </w:tcPr>
          <w:p>
            <w:pPr>
              <w:spacing w:after="0"/>
              <w:rPr>
                <w:sz w:val="1"/>
                <w:szCs w:val="1"/>
                <w:color w:val="auto"/>
              </w:rPr>
            </w:pPr>
          </w:p>
        </w:tc>
      </w:tr>
      <w:tr>
        <w:trPr>
          <w:trHeight w:val="22"/>
        </w:trPr>
        <w:tc>
          <w:tcPr>
            <w:tcW w:w="25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5"/>
        </w:trPr>
        <w:tc>
          <w:tcPr>
            <w:tcW w:w="2540" w:type="dxa"/>
            <w:vAlign w:val="bottom"/>
            <w:shd w:val="clear" w:color="auto" w:fill="CCEEFF"/>
          </w:tcPr>
          <w:p>
            <w:pPr>
              <w:ind w:left="180"/>
              <w:spacing w:after="0" w:line="125" w:lineRule="exact"/>
              <w:rPr>
                <w:sz w:val="20"/>
                <w:szCs w:val="20"/>
                <w:color w:val="auto"/>
              </w:rPr>
            </w:pPr>
            <w:r>
              <w:rPr>
                <w:rFonts w:ascii="Arial" w:cs="Arial" w:eastAsia="Arial" w:hAnsi="Arial"/>
                <w:sz w:val="11"/>
                <w:szCs w:val="11"/>
                <w:color w:val="auto"/>
              </w:rPr>
              <w:t>Effect of exchange rate changes on cash and</w:t>
            </w:r>
          </w:p>
        </w:tc>
        <w:tc>
          <w:tcPr>
            <w:tcW w:w="2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1"/>
                <w:szCs w:val="11"/>
                <w:color w:val="auto"/>
              </w:rPr>
              <w:t>cash equivalents</w:t>
            </w:r>
          </w:p>
        </w:tc>
        <w:tc>
          <w:tcPr>
            <w:tcW w:w="22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53</w:t>
            </w:r>
          </w:p>
        </w:tc>
        <w:tc>
          <w:tcPr>
            <w:tcW w:w="12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31</w:t>
            </w:r>
          </w:p>
        </w:tc>
        <w:tc>
          <w:tcPr>
            <w:tcW w:w="10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84</w:t>
            </w:r>
          </w:p>
        </w:tc>
        <w:tc>
          <w:tcPr>
            <w:tcW w:w="10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(1,001)</w:t>
            </w:r>
          </w:p>
        </w:tc>
        <w:tc>
          <w:tcPr>
            <w:tcW w:w="10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(154)</w:t>
            </w:r>
          </w:p>
        </w:tc>
        <w:tc>
          <w:tcPr>
            <w:tcW w:w="10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(1,155)</w:t>
            </w:r>
          </w:p>
        </w:tc>
        <w:tc>
          <w:tcPr>
            <w:tcW w:w="0" w:type="dxa"/>
            <w:vAlign w:val="bottom"/>
          </w:tcPr>
          <w:p>
            <w:pPr>
              <w:spacing w:after="0"/>
              <w:rPr>
                <w:sz w:val="1"/>
                <w:szCs w:val="1"/>
                <w:color w:val="auto"/>
              </w:rPr>
            </w:pPr>
          </w:p>
        </w:tc>
      </w:tr>
      <w:tr>
        <w:trPr>
          <w:trHeight w:val="145"/>
        </w:trPr>
        <w:tc>
          <w:tcPr>
            <w:tcW w:w="2540" w:type="dxa"/>
            <w:vAlign w:val="bottom"/>
          </w:tcPr>
          <w:p>
            <w:pPr>
              <w:ind w:left="180"/>
              <w:spacing w:after="0"/>
              <w:rPr>
                <w:sz w:val="20"/>
                <w:szCs w:val="20"/>
                <w:color w:val="auto"/>
              </w:rPr>
            </w:pPr>
            <w:r>
              <w:rPr>
                <w:rFonts w:ascii="Arial" w:cs="Arial" w:eastAsia="Arial" w:hAnsi="Arial"/>
                <w:sz w:val="11"/>
                <w:szCs w:val="11"/>
                <w:color w:val="auto"/>
              </w:rPr>
              <w:t>Net transactions with Automotive/GM</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540" w:type="dxa"/>
            <w:vAlign w:val="bottom"/>
          </w:tcPr>
          <w:p>
            <w:pPr>
              <w:ind w:left="340"/>
              <w:spacing w:after="0"/>
              <w:rPr>
                <w:sz w:val="20"/>
                <w:szCs w:val="20"/>
                <w:color w:val="auto"/>
              </w:rPr>
            </w:pPr>
            <w:r>
              <w:rPr>
                <w:rFonts w:ascii="Arial" w:cs="Arial" w:eastAsia="Arial" w:hAnsi="Arial"/>
                <w:sz w:val="11"/>
                <w:szCs w:val="11"/>
                <w:color w:val="auto"/>
              </w:rPr>
              <w:t>Financial(b)</w:t>
            </w:r>
          </w:p>
        </w:tc>
        <w:tc>
          <w:tcPr>
            <w:tcW w:w="220" w:type="dxa"/>
            <w:vAlign w:val="bottom"/>
          </w:tcPr>
          <w:p>
            <w:pPr>
              <w:spacing w:after="0"/>
              <w:rPr>
                <w:sz w:val="11"/>
                <w:szCs w:val="11"/>
                <w:color w:val="auto"/>
              </w:rPr>
            </w:pP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(80)</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80</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gridSpan w:val="2"/>
          </w:tcPr>
          <w:p>
            <w:pPr>
              <w:ind w:left="4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(59)</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59</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gridSpan w:val="2"/>
          </w:tcPr>
          <w:p>
            <w:pPr>
              <w:ind w:left="4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25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5"/>
        </w:trPr>
        <w:tc>
          <w:tcPr>
            <w:tcW w:w="2540" w:type="dxa"/>
            <w:vAlign w:val="bottom"/>
            <w:shd w:val="clear" w:color="auto" w:fill="CCEEFF"/>
          </w:tcPr>
          <w:p>
            <w:pPr>
              <w:ind w:left="180"/>
              <w:spacing w:after="0" w:line="125" w:lineRule="exact"/>
              <w:rPr>
                <w:sz w:val="20"/>
                <w:szCs w:val="20"/>
                <w:color w:val="auto"/>
              </w:rPr>
            </w:pPr>
            <w:r>
              <w:rPr>
                <w:rFonts w:ascii="Arial" w:cs="Arial" w:eastAsia="Arial" w:hAnsi="Arial"/>
                <w:sz w:val="11"/>
                <w:szCs w:val="11"/>
                <w:color w:val="auto"/>
              </w:rPr>
              <w:t>Net increase (decrease) in cash and cash</w:t>
            </w:r>
          </w:p>
        </w:tc>
        <w:tc>
          <w:tcPr>
            <w:tcW w:w="2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1"/>
                <w:szCs w:val="11"/>
                <w:color w:val="auto"/>
              </w:rPr>
              <w:t>equivalents</w:t>
            </w:r>
          </w:p>
        </w:tc>
        <w:tc>
          <w:tcPr>
            <w:tcW w:w="22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1,167</w:t>
            </w:r>
          </w:p>
        </w:tc>
        <w:tc>
          <w:tcPr>
            <w:tcW w:w="12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(473)</w:t>
            </w:r>
          </w:p>
        </w:tc>
        <w:tc>
          <w:tcPr>
            <w:tcW w:w="10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694</w:t>
            </w:r>
          </w:p>
        </w:tc>
        <w:tc>
          <w:tcPr>
            <w:tcW w:w="10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(2,149)</w:t>
            </w:r>
          </w:p>
        </w:tc>
        <w:tc>
          <w:tcPr>
            <w:tcW w:w="10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(1,372)</w:t>
            </w:r>
          </w:p>
        </w:tc>
        <w:tc>
          <w:tcPr>
            <w:tcW w:w="10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(3,521)</w:t>
            </w:r>
          </w:p>
        </w:tc>
        <w:tc>
          <w:tcPr>
            <w:tcW w:w="0" w:type="dxa"/>
            <w:vAlign w:val="bottom"/>
          </w:tcPr>
          <w:p>
            <w:pPr>
              <w:spacing w:after="0"/>
              <w:rPr>
                <w:sz w:val="1"/>
                <w:szCs w:val="1"/>
                <w:color w:val="auto"/>
              </w:rPr>
            </w:pPr>
          </w:p>
        </w:tc>
      </w:tr>
      <w:tr>
        <w:trPr>
          <w:trHeight w:val="154"/>
        </w:trPr>
        <w:tc>
          <w:tcPr>
            <w:tcW w:w="2540" w:type="dxa"/>
            <w:vAlign w:val="bottom"/>
          </w:tcPr>
          <w:p>
            <w:pPr>
              <w:ind w:left="40"/>
              <w:spacing w:after="0"/>
              <w:rPr>
                <w:sz w:val="20"/>
                <w:szCs w:val="20"/>
                <w:color w:val="auto"/>
              </w:rPr>
            </w:pPr>
            <w:r>
              <w:rPr>
                <w:rFonts w:ascii="Arial" w:cs="Arial" w:eastAsia="Arial" w:hAnsi="Arial"/>
                <w:sz w:val="11"/>
                <w:szCs w:val="11"/>
                <w:color w:val="auto"/>
              </w:rPr>
              <w:t>Cash and cash equivalents at beginning of period</w:t>
            </w:r>
          </w:p>
        </w:tc>
        <w:tc>
          <w:tcPr>
            <w:tcW w:w="220" w:type="dxa"/>
            <w:vAlign w:val="bottom"/>
          </w:tcPr>
          <w:p>
            <w:pPr>
              <w:spacing w:after="0"/>
              <w:rPr>
                <w:sz w:val="13"/>
                <w:szCs w:val="13"/>
                <w:color w:val="auto"/>
              </w:rPr>
            </w:pPr>
          </w:p>
        </w:tc>
        <w:tc>
          <w:tcPr>
            <w:tcW w:w="580" w:type="dxa"/>
            <w:vAlign w:val="bottom"/>
            <w:vMerge w:val="restart"/>
          </w:tcPr>
          <w:p>
            <w:pPr>
              <w:jc w:val="right"/>
              <w:ind w:right="66"/>
              <w:spacing w:after="0"/>
              <w:rPr>
                <w:sz w:val="20"/>
                <w:szCs w:val="20"/>
                <w:color w:val="auto"/>
              </w:rPr>
            </w:pPr>
            <w:r>
              <w:rPr>
                <w:rFonts w:ascii="Arial" w:cs="Arial" w:eastAsia="Arial" w:hAnsi="Arial"/>
                <w:sz w:val="11"/>
                <w:szCs w:val="11"/>
                <w:color w:val="auto"/>
              </w:rPr>
              <w:t>12,177</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vMerge w:val="restart"/>
          </w:tcPr>
          <w:p>
            <w:pPr>
              <w:jc w:val="right"/>
              <w:ind w:right="66"/>
              <w:spacing w:after="0"/>
              <w:rPr>
                <w:sz w:val="20"/>
                <w:szCs w:val="20"/>
                <w:color w:val="auto"/>
              </w:rPr>
            </w:pPr>
            <w:r>
              <w:rPr>
                <w:rFonts w:ascii="Arial" w:cs="Arial" w:eastAsia="Arial" w:hAnsi="Arial"/>
                <w:sz w:val="11"/>
                <w:szCs w:val="11"/>
                <w:color w:val="auto"/>
              </w:rPr>
              <w:t>3,061</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60" w:type="dxa"/>
            <w:vAlign w:val="bottom"/>
            <w:gridSpan w:val="2"/>
            <w:vMerge w:val="restart"/>
          </w:tcPr>
          <w:p>
            <w:pPr>
              <w:ind w:left="4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640" w:type="dxa"/>
            <w:vAlign w:val="bottom"/>
            <w:vMerge w:val="restart"/>
          </w:tcPr>
          <w:p>
            <w:pPr>
              <w:jc w:val="right"/>
              <w:ind w:right="66"/>
              <w:spacing w:after="0"/>
              <w:rPr>
                <w:sz w:val="20"/>
                <w:szCs w:val="20"/>
                <w:color w:val="auto"/>
              </w:rPr>
            </w:pPr>
            <w:r>
              <w:rPr>
                <w:rFonts w:ascii="Arial" w:cs="Arial" w:eastAsia="Arial" w:hAnsi="Arial"/>
                <w:sz w:val="11"/>
                <w:szCs w:val="11"/>
                <w:color w:val="auto"/>
              </w:rPr>
              <w:t>15,238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vMerge w:val="restart"/>
          </w:tcPr>
          <w:p>
            <w:pPr>
              <w:jc w:val="right"/>
              <w:ind w:right="46"/>
              <w:spacing w:after="0"/>
              <w:rPr>
                <w:sz w:val="20"/>
                <w:szCs w:val="20"/>
                <w:color w:val="auto"/>
              </w:rPr>
            </w:pPr>
            <w:r>
              <w:rPr>
                <w:rFonts w:ascii="Arial" w:cs="Arial" w:eastAsia="Arial" w:hAnsi="Arial"/>
                <w:sz w:val="11"/>
                <w:szCs w:val="11"/>
                <w:color w:val="auto"/>
              </w:rPr>
              <w:t>15,980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vMerge w:val="restart"/>
          </w:tcPr>
          <w:p>
            <w:pPr>
              <w:jc w:val="right"/>
              <w:ind w:right="66"/>
              <w:spacing w:after="0"/>
              <w:rPr>
                <w:sz w:val="20"/>
                <w:szCs w:val="20"/>
                <w:color w:val="auto"/>
              </w:rPr>
            </w:pPr>
            <w:r>
              <w:rPr>
                <w:rFonts w:ascii="Arial" w:cs="Arial" w:eastAsia="Arial" w:hAnsi="Arial"/>
                <w:sz w:val="11"/>
                <w:szCs w:val="11"/>
                <w:color w:val="auto"/>
              </w:rPr>
              <w:t>2,974</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gridSpan w:val="2"/>
            <w:vMerge w:val="restart"/>
          </w:tcPr>
          <w:p>
            <w:pPr>
              <w:ind w:left="4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640" w:type="dxa"/>
            <w:vAlign w:val="bottom"/>
            <w:vMerge w:val="restart"/>
          </w:tcPr>
          <w:p>
            <w:pPr>
              <w:jc w:val="right"/>
              <w:ind w:right="66"/>
              <w:spacing w:after="0"/>
              <w:rPr>
                <w:sz w:val="20"/>
                <w:szCs w:val="20"/>
                <w:color w:val="auto"/>
              </w:rPr>
            </w:pPr>
            <w:r>
              <w:rPr>
                <w:rFonts w:ascii="Arial" w:cs="Arial" w:eastAsia="Arial" w:hAnsi="Arial"/>
                <w:sz w:val="11"/>
                <w:szCs w:val="11"/>
                <w:color w:val="auto"/>
              </w:rPr>
              <w:t>18,954</w:t>
            </w:r>
          </w:p>
        </w:tc>
        <w:tc>
          <w:tcPr>
            <w:tcW w:w="0" w:type="dxa"/>
            <w:vAlign w:val="bottom"/>
          </w:tcPr>
          <w:p>
            <w:pPr>
              <w:spacing w:after="0"/>
              <w:rPr>
                <w:sz w:val="1"/>
                <w:szCs w:val="1"/>
                <w:color w:val="auto"/>
              </w:rPr>
            </w:pPr>
          </w:p>
        </w:tc>
      </w:tr>
      <w:tr>
        <w:trPr>
          <w:trHeight w:val="95"/>
        </w:trPr>
        <w:tc>
          <w:tcPr>
            <w:tcW w:w="2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25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254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auto"/>
              </w:rPr>
              <w:t>Cash and cash equivalents at end of period</w:t>
            </w:r>
          </w:p>
        </w:tc>
        <w:tc>
          <w:tcPr>
            <w:tcW w:w="22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58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13,344</w:t>
            </w:r>
          </w:p>
        </w:tc>
        <w:tc>
          <w:tcPr>
            <w:tcW w:w="120" w:type="dxa"/>
            <w:vAlign w:val="bottom"/>
            <w:shd w:val="clear" w:color="auto" w:fill="CCEEFF"/>
          </w:tcPr>
          <w:p>
            <w:pPr>
              <w:spacing w:after="0"/>
              <w:rPr>
                <w:sz w:val="11"/>
                <w:szCs w:val="11"/>
                <w:color w:val="auto"/>
              </w:rPr>
            </w:pPr>
          </w:p>
        </w:tc>
        <w:tc>
          <w:tcPr>
            <w:tcW w:w="320" w:type="dxa"/>
            <w:vAlign w:val="bottom"/>
            <w:vMerge w:val="restart"/>
            <w:shd w:val="clear" w:color="auto" w:fill="CCEEFF"/>
          </w:tcPr>
          <w:p>
            <w:pPr>
              <w:jc w:val="right"/>
              <w:ind w:right="166"/>
              <w:spacing w:after="0"/>
              <w:rPr>
                <w:sz w:val="20"/>
                <w:szCs w:val="20"/>
                <w:color w:val="auto"/>
              </w:rPr>
            </w:pPr>
            <w:r>
              <w:rPr>
                <w:rFonts w:ascii="Arial" w:cs="Arial" w:eastAsia="Arial" w:hAnsi="Arial"/>
                <w:sz w:val="11"/>
                <w:szCs w:val="11"/>
                <w:color w:val="auto"/>
              </w:rPr>
              <w:t>$</w:t>
            </w:r>
          </w:p>
        </w:tc>
        <w:tc>
          <w:tcPr>
            <w:tcW w:w="72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2,588</w:t>
            </w:r>
          </w:p>
        </w:tc>
        <w:tc>
          <w:tcPr>
            <w:tcW w:w="10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ind w:right="406"/>
              <w:spacing w:after="0"/>
              <w:rPr>
                <w:sz w:val="20"/>
                <w:szCs w:val="20"/>
                <w:color w:val="auto"/>
              </w:rPr>
            </w:pPr>
            <w:r>
              <w:rPr>
                <w:rFonts w:ascii="Arial" w:cs="Arial" w:eastAsia="Arial" w:hAnsi="Arial"/>
                <w:sz w:val="11"/>
                <w:szCs w:val="11"/>
                <w:color w:val="auto"/>
                <w:w w:val="97"/>
              </w:rPr>
              <w:t>$</w:t>
            </w:r>
          </w:p>
        </w:tc>
        <w:tc>
          <w:tcPr>
            <w:tcW w:w="760" w:type="dxa"/>
            <w:vAlign w:val="bottom"/>
            <w:gridSpan w:val="2"/>
            <w:vMerge w:val="restart"/>
            <w:shd w:val="clear" w:color="auto" w:fill="CCEEFF"/>
          </w:tcPr>
          <w:p>
            <w:pPr>
              <w:ind w:left="440"/>
              <w:spacing w:after="0"/>
              <w:rPr>
                <w:sz w:val="20"/>
                <w:szCs w:val="20"/>
                <w:color w:val="auto"/>
              </w:rPr>
            </w:pPr>
            <w:r>
              <w:rPr>
                <w:rFonts w:ascii="Arial" w:cs="Arial" w:eastAsia="Arial" w:hAnsi="Arial"/>
                <w:sz w:val="11"/>
                <w:szCs w:val="11"/>
                <w:color w:val="auto"/>
              </w:rPr>
              <w:t>—</w:t>
            </w:r>
          </w:p>
        </w:tc>
        <w:tc>
          <w:tcPr>
            <w:tcW w:w="24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64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15,932</w:t>
            </w:r>
          </w:p>
        </w:tc>
        <w:tc>
          <w:tcPr>
            <w:tcW w:w="10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56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13,831</w:t>
            </w:r>
          </w:p>
        </w:tc>
        <w:tc>
          <w:tcPr>
            <w:tcW w:w="100" w:type="dxa"/>
            <w:vAlign w:val="bottom"/>
            <w:shd w:val="clear" w:color="auto" w:fill="CCEEFF"/>
          </w:tcPr>
          <w:p>
            <w:pPr>
              <w:spacing w:after="0"/>
              <w:rPr>
                <w:sz w:val="11"/>
                <w:szCs w:val="11"/>
                <w:color w:val="auto"/>
              </w:rPr>
            </w:pPr>
          </w:p>
        </w:tc>
        <w:tc>
          <w:tcPr>
            <w:tcW w:w="300" w:type="dxa"/>
            <w:vAlign w:val="bottom"/>
            <w:vMerge w:val="restart"/>
            <w:shd w:val="clear" w:color="auto" w:fill="CCEEFF"/>
          </w:tcPr>
          <w:p>
            <w:pPr>
              <w:jc w:val="right"/>
              <w:ind w:right="146"/>
              <w:spacing w:after="0"/>
              <w:rPr>
                <w:sz w:val="20"/>
                <w:szCs w:val="20"/>
                <w:color w:val="auto"/>
              </w:rPr>
            </w:pPr>
            <w:r>
              <w:rPr>
                <w:rFonts w:ascii="Arial" w:cs="Arial" w:eastAsia="Arial" w:hAnsi="Arial"/>
                <w:sz w:val="11"/>
                <w:szCs w:val="11"/>
                <w:color w:val="auto"/>
              </w:rPr>
              <w:t>$</w:t>
            </w:r>
          </w:p>
        </w:tc>
        <w:tc>
          <w:tcPr>
            <w:tcW w:w="70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1,602</w:t>
            </w:r>
          </w:p>
        </w:tc>
        <w:tc>
          <w:tcPr>
            <w:tcW w:w="10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ind w:right="406"/>
              <w:spacing w:after="0"/>
              <w:rPr>
                <w:sz w:val="20"/>
                <w:szCs w:val="20"/>
                <w:color w:val="auto"/>
              </w:rPr>
            </w:pPr>
            <w:r>
              <w:rPr>
                <w:rFonts w:ascii="Arial" w:cs="Arial" w:eastAsia="Arial" w:hAnsi="Arial"/>
                <w:sz w:val="11"/>
                <w:szCs w:val="11"/>
                <w:color w:val="auto"/>
                <w:w w:val="97"/>
              </w:rPr>
              <w:t>$</w:t>
            </w:r>
          </w:p>
        </w:tc>
        <w:tc>
          <w:tcPr>
            <w:tcW w:w="780" w:type="dxa"/>
            <w:vAlign w:val="bottom"/>
            <w:gridSpan w:val="2"/>
            <w:vMerge w:val="restart"/>
            <w:shd w:val="clear" w:color="auto" w:fill="CCEEFF"/>
          </w:tcPr>
          <w:p>
            <w:pPr>
              <w:ind w:left="440"/>
              <w:spacing w:after="0"/>
              <w:rPr>
                <w:sz w:val="20"/>
                <w:szCs w:val="20"/>
                <w:color w:val="auto"/>
              </w:rPr>
            </w:pPr>
            <w:r>
              <w:rPr>
                <w:rFonts w:ascii="Arial" w:cs="Arial" w:eastAsia="Arial" w:hAnsi="Arial"/>
                <w:sz w:val="11"/>
                <w:szCs w:val="11"/>
                <w:color w:val="auto"/>
              </w:rPr>
              <w:t>—</w:t>
            </w:r>
          </w:p>
        </w:tc>
        <w:tc>
          <w:tcPr>
            <w:tcW w:w="22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64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15,433</w:t>
            </w:r>
          </w:p>
        </w:tc>
        <w:tc>
          <w:tcPr>
            <w:tcW w:w="0" w:type="dxa"/>
            <w:vAlign w:val="bottom"/>
          </w:tcPr>
          <w:p>
            <w:pPr>
              <w:spacing w:after="0"/>
              <w:rPr>
                <w:sz w:val="1"/>
                <w:szCs w:val="1"/>
                <w:color w:val="auto"/>
              </w:rPr>
            </w:pPr>
          </w:p>
        </w:tc>
      </w:tr>
      <w:tr>
        <w:trPr>
          <w:trHeight w:val="103"/>
        </w:trPr>
        <w:tc>
          <w:tcPr>
            <w:tcW w:w="254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CCEEFF"/>
            </w:tcBorders>
            <w:vMerge w:val="continue"/>
            <w:shd w:val="clear" w:color="auto" w:fill="CCEEFF"/>
          </w:tcPr>
          <w:p>
            <w:pPr>
              <w:spacing w:after="0"/>
              <w:rPr>
                <w:sz w:val="8"/>
                <w:szCs w:val="8"/>
                <w:color w:val="auto"/>
              </w:rPr>
            </w:pPr>
          </w:p>
        </w:tc>
        <w:tc>
          <w:tcPr>
            <w:tcW w:w="58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320" w:type="dxa"/>
            <w:vAlign w:val="bottom"/>
            <w:tcBorders>
              <w:bottom w:val="single" w:sz="8" w:color="CCEEFF"/>
            </w:tcBorders>
            <w:vMerge w:val="continue"/>
            <w:shd w:val="clear" w:color="auto" w:fill="CCEEFF"/>
          </w:tcPr>
          <w:p>
            <w:pPr>
              <w:spacing w:after="0"/>
              <w:rPr>
                <w:sz w:val="8"/>
                <w:szCs w:val="8"/>
                <w:color w:val="auto"/>
              </w:rPr>
            </w:pPr>
          </w:p>
        </w:tc>
        <w:tc>
          <w:tcPr>
            <w:tcW w:w="72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760" w:type="dxa"/>
            <w:vAlign w:val="bottom"/>
            <w:tcBorders>
              <w:bottom w:val="single" w:sz="8" w:color="CCEEFF"/>
            </w:tcBorders>
            <w:gridSpan w:val="2"/>
            <w:vMerge w:val="continue"/>
            <w:shd w:val="clear" w:color="auto" w:fill="CCEEFF"/>
          </w:tcPr>
          <w:p>
            <w:pPr>
              <w:spacing w:after="0"/>
              <w:rPr>
                <w:sz w:val="8"/>
                <w:szCs w:val="8"/>
                <w:color w:val="auto"/>
              </w:rPr>
            </w:pPr>
          </w:p>
        </w:tc>
        <w:tc>
          <w:tcPr>
            <w:tcW w:w="240" w:type="dxa"/>
            <w:vAlign w:val="bottom"/>
            <w:tcBorders>
              <w:bottom w:val="single" w:sz="8" w:color="CCEEFF"/>
            </w:tcBorders>
            <w:vMerge w:val="continue"/>
            <w:shd w:val="clear" w:color="auto" w:fill="CCEEFF"/>
          </w:tcPr>
          <w:p>
            <w:pPr>
              <w:spacing w:after="0"/>
              <w:rPr>
                <w:sz w:val="8"/>
                <w:szCs w:val="8"/>
                <w:color w:val="auto"/>
              </w:rPr>
            </w:pPr>
          </w:p>
        </w:tc>
        <w:tc>
          <w:tcPr>
            <w:tcW w:w="6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CCEEFF"/>
            </w:tcBorders>
            <w:vMerge w:val="continue"/>
            <w:shd w:val="clear" w:color="auto" w:fill="CCEEFF"/>
          </w:tcPr>
          <w:p>
            <w:pPr>
              <w:spacing w:after="0"/>
              <w:rPr>
                <w:sz w:val="8"/>
                <w:szCs w:val="8"/>
                <w:color w:val="auto"/>
              </w:rPr>
            </w:pPr>
          </w:p>
        </w:tc>
        <w:tc>
          <w:tcPr>
            <w:tcW w:w="56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300" w:type="dxa"/>
            <w:vAlign w:val="bottom"/>
            <w:tcBorders>
              <w:bottom w:val="single" w:sz="8" w:color="CCEEFF"/>
            </w:tcBorders>
            <w:vMerge w:val="continue"/>
            <w:shd w:val="clear" w:color="auto" w:fill="CCEEFF"/>
          </w:tcPr>
          <w:p>
            <w:pPr>
              <w:spacing w:after="0"/>
              <w:rPr>
                <w:sz w:val="8"/>
                <w:szCs w:val="8"/>
                <w:color w:val="auto"/>
              </w:rPr>
            </w:pPr>
          </w:p>
        </w:tc>
        <w:tc>
          <w:tcPr>
            <w:tcW w:w="70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780" w:type="dxa"/>
            <w:vAlign w:val="bottom"/>
            <w:tcBorders>
              <w:bottom w:val="single" w:sz="8" w:color="CCEEFF"/>
            </w:tcBorders>
            <w:gridSpan w:val="2"/>
            <w:vMerge w:val="continue"/>
            <w:shd w:val="clear" w:color="auto" w:fill="CCEEFF"/>
          </w:tcPr>
          <w:p>
            <w:pPr>
              <w:spacing w:after="0"/>
              <w:rPr>
                <w:sz w:val="8"/>
                <w:szCs w:val="8"/>
                <w:color w:val="auto"/>
              </w:rPr>
            </w:pPr>
          </w:p>
        </w:tc>
        <w:tc>
          <w:tcPr>
            <w:tcW w:w="220" w:type="dxa"/>
            <w:vAlign w:val="bottom"/>
            <w:tcBorders>
              <w:bottom w:val="single" w:sz="8" w:color="CCEEFF"/>
            </w:tcBorders>
            <w:vMerge w:val="continue"/>
            <w:shd w:val="clear" w:color="auto" w:fill="CCEEFF"/>
          </w:tcPr>
          <w:p>
            <w:pPr>
              <w:spacing w:after="0"/>
              <w:rPr>
                <w:sz w:val="8"/>
                <w:szCs w:val="8"/>
                <w:color w:val="auto"/>
              </w:rPr>
            </w:pPr>
          </w:p>
        </w:tc>
        <w:tc>
          <w:tcPr>
            <w:tcW w:w="64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_________</w:t>
      </w:r>
    </w:p>
    <w:p>
      <w:pPr>
        <w:spacing w:after="0" w:line="15"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1"/>
          <w:szCs w:val="11"/>
          <w:color w:val="auto"/>
        </w:rPr>
      </w:pPr>
      <w:r>
        <w:rPr>
          <w:rFonts w:ascii="Arial" w:cs="Arial" w:eastAsia="Arial" w:hAnsi="Arial"/>
          <w:sz w:val="11"/>
          <w:szCs w:val="11"/>
          <w:color w:val="auto"/>
        </w:rPr>
        <w:t>Reclassification of purchases/collections of wholesale finance receivables resulting from vehicles sold by GM to dealers that have arranged their inventory floor plan financing through GM Financial.</w:t>
      </w:r>
    </w:p>
    <w:p>
      <w:pPr>
        <w:ind w:left="340" w:hanging="332"/>
        <w:spacing w:after="0"/>
        <w:tabs>
          <w:tab w:leader="none" w:pos="340" w:val="left"/>
        </w:tabs>
        <w:numPr>
          <w:ilvl w:val="0"/>
          <w:numId w:val="8"/>
        </w:numPr>
        <w:rPr>
          <w:rFonts w:ascii="Arial" w:cs="Arial" w:eastAsia="Arial" w:hAnsi="Arial"/>
          <w:sz w:val="11"/>
          <w:szCs w:val="11"/>
          <w:color w:val="auto"/>
        </w:rPr>
      </w:pPr>
      <w:r>
        <w:rPr>
          <w:rFonts w:ascii="Arial" w:cs="Arial" w:eastAsia="Arial" w:hAnsi="Arial"/>
          <w:sz w:val="11"/>
          <w:szCs w:val="11"/>
          <w:color w:val="auto"/>
        </w:rPr>
        <w:t>Amounts loaned from GM Financial to Automotive used to fund company vehicles and for commercial loans to dealers we consolidate.</w:t>
      </w:r>
    </w:p>
    <w:p>
      <w:pPr>
        <w:spacing w:after="0" w:line="243"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12</w:t>
      </w:r>
    </w:p>
    <w:sectPr>
      <w:pgSz w:w="11900" w:h="16838" w:orient="portrait"/>
      <w:cols w:equalWidth="0" w:num="1">
        <w:col w:w="11020"/>
      </w:cols>
      <w:pgMar w:left="240" w:top="581" w:right="6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2019-12-08T19:53:16Z</dcterms:created>
  <dcterms:modified xsi:type="dcterms:W3CDTF">2019-12-08T19:53:16Z</dcterms:modified>
</cp:coreProperties>
</file>