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21, 2015</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364"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On April 21, 2015, General Motors Company issued a news release announcing 2015 first quarter global sales. The release and charts are attached as Exhibit 99.1.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2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14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7480" w:type="dxa"/>
            <w:vAlign w:val="bottom"/>
            <w:gridSpan w:val="5"/>
          </w:tcPr>
          <w:p>
            <w:pPr>
              <w:ind w:left="520"/>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15"/>
        </w:trPr>
        <w:tc>
          <w:tcPr>
            <w:tcW w:w="142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7480" w:type="dxa"/>
            <w:vAlign w:val="bottom"/>
            <w:gridSpan w:val="5"/>
          </w:tcPr>
          <w:p>
            <w:pPr>
              <w:ind w:left="520"/>
              <w:spacing w:after="0"/>
              <w:rPr>
                <w:sz w:val="20"/>
                <w:szCs w:val="20"/>
                <w:color w:val="auto"/>
              </w:rPr>
            </w:pPr>
            <w:r>
              <w:rPr>
                <w:rFonts w:ascii="Arial" w:cs="Arial" w:eastAsia="Arial" w:hAnsi="Arial"/>
                <w:sz w:val="18"/>
                <w:szCs w:val="18"/>
                <w:color w:val="auto"/>
              </w:rPr>
              <w:t>Q1 Global Sales Release and Charts Dated April 21, 2015</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0900"/>
          </w:cols>
          <w:pgMar w:left="240" w:top="796" w:right="7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92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80" w:type="dxa"/>
            <w:vAlign w:val="bottom"/>
            <w:vMerge w:val="restart"/>
          </w:tcPr>
          <w:p>
            <w:pPr>
              <w:spacing w:after="0"/>
              <w:rPr>
                <w:sz w:val="20"/>
                <w:szCs w:val="20"/>
                <w:color w:val="auto"/>
              </w:rPr>
            </w:pPr>
            <w:r>
              <w:rPr>
                <w:rFonts w:ascii="Arial" w:cs="Arial" w:eastAsia="Arial" w:hAnsi="Arial"/>
                <w:sz w:val="18"/>
                <w:szCs w:val="18"/>
                <w:color w:val="auto"/>
              </w:rPr>
              <w:t>Date: April 21, 2015</w:t>
            </w:r>
          </w:p>
        </w:tc>
        <w:tc>
          <w:tcPr>
            <w:tcW w:w="2660" w:type="dxa"/>
            <w:vAlign w:val="bottom"/>
            <w:vMerge w:val="restart"/>
          </w:tcPr>
          <w:p>
            <w:pPr>
              <w:ind w:left="200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80" w:type="dxa"/>
            <w:vAlign w:val="bottom"/>
            <w:vMerge w:val="continue"/>
          </w:tcPr>
          <w:p>
            <w:pPr>
              <w:spacing w:after="0"/>
              <w:rPr>
                <w:sz w:val="19"/>
                <w:szCs w:val="19"/>
                <w:color w:val="auto"/>
              </w:rPr>
            </w:pPr>
          </w:p>
        </w:tc>
        <w:tc>
          <w:tcPr>
            <w:tcW w:w="26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color w:val="auto"/>
        </w:rPr>
        <w:t>For Immediate Release: Tuesday, April 21, 2015</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Sold 2.4 Million Vehicles Globally in First Quarter</w:t>
      </w:r>
    </w:p>
    <w:p>
      <w:pPr>
        <w:spacing w:after="0" w:line="226"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sold 2.4 million vehicles globally in the first quarter of 2015, up 2 percent compared to a year</w:t>
      </w:r>
      <w:r>
        <w:rPr>
          <w:rFonts w:ascii="Arial" w:cs="Arial" w:eastAsia="Arial" w:hAnsi="Arial"/>
          <w:sz w:val="20"/>
          <w:szCs w:val="20"/>
          <w:b w:val="1"/>
          <w:bCs w:val="1"/>
          <w:color w:val="auto"/>
        </w:rPr>
        <w:t xml:space="preserve"> </w:t>
      </w:r>
      <w:r>
        <w:rPr>
          <w:rFonts w:ascii="Arial" w:cs="Arial" w:eastAsia="Arial" w:hAnsi="Arial"/>
          <w:sz w:val="20"/>
          <w:szCs w:val="20"/>
          <w:color w:val="auto"/>
        </w:rPr>
        <w:t>ago. Sales in China increased 9 percent and deliveries in North America were up 6 percent. Opel/Vauxhall increased its sales by 3 percent in Europe.</w:t>
      </w:r>
    </w:p>
    <w:p>
      <w:pPr>
        <w:spacing w:after="0" w:line="184"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“The momentum our brands are building in China, the U.S. and Western Europe more than offset difficult conditions in some other large markets like Russia and Brazil,” said GM CEO Mary Barra.</w:t>
      </w:r>
    </w:p>
    <w:p>
      <w:pPr>
        <w:spacing w:after="0" w:line="17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“We are in the early days of a very aggressive onslaught of new products and customer-driven innovation,” she said. “Already, the Chevrolet Trax and Colorado are redefining segments in the United States, Cadillac is growing rapidly in China and establishing a new formula for prestige sedans with the CT6 and Opel’s revitalization is accelerating across Europe. At the same time, we are deploying OnStar with 4G LTE in North America, Europe and China to give our customers the best connectivity experience in the industry.”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Other first quarter global sales highlights:</w:t>
      </w:r>
    </w:p>
    <w:p>
      <w:pPr>
        <w:spacing w:after="0" w:line="1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Cadillac was up 2.5 percent, driven by a 23 percent increase in China.</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Opel/Vauxhall’s sales increase outpaced the European region’s growth by 0.2 percentage points.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Buick was up 8 percent.</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GMC was up 15 percent, for its best first quarter sales since 2005.</w:t>
      </w:r>
    </w:p>
    <w:p>
      <w:pPr>
        <w:ind w:left="660" w:right="520" w:hanging="328"/>
        <w:spacing w:after="0" w:line="24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Chevrolet deliveries in the United States increased 5 percent on the strength of a 19 percent increase in crossover deliveries and a 31 percent increase in truck sales. Deliveries in China were up 7 percent.</w:t>
      </w:r>
    </w:p>
    <w:p>
      <w:pPr>
        <w:spacing w:after="0" w:line="192" w:lineRule="exact"/>
        <w:rPr>
          <w:sz w:val="20"/>
          <w:szCs w:val="20"/>
          <w:color w:val="auto"/>
        </w:rPr>
      </w:pPr>
    </w:p>
    <w:p>
      <w:pPr>
        <w:ind w:right="620"/>
        <w:spacing w:after="0" w:line="260" w:lineRule="auto"/>
        <w:rPr>
          <w:sz w:val="20"/>
          <w:szCs w:val="20"/>
          <w:color w:val="auto"/>
        </w:rPr>
      </w:pPr>
      <w:r>
        <w:rPr>
          <w:rFonts w:ascii="Arial" w:cs="Arial" w:eastAsia="Arial" w:hAnsi="Arial"/>
          <w:sz w:val="20"/>
          <w:szCs w:val="20"/>
          <w:color w:val="auto"/>
        </w:rPr>
        <w:t>In prior quarters, GM reported wholesale deliveries in China, which are vehicles sold to dealers. Beginning this quarter, GM is reporting deliveries to customers.</w:t>
      </w:r>
    </w:p>
    <w:p>
      <w:pPr>
        <w:spacing w:after="0" w:line="180" w:lineRule="exact"/>
        <w:rPr>
          <w:sz w:val="20"/>
          <w:szCs w:val="20"/>
          <w:color w:val="auto"/>
        </w:rPr>
      </w:pPr>
    </w:p>
    <w:p>
      <w:pPr>
        <w:jc w:val="both"/>
        <w:ind w:right="100"/>
        <w:spacing w:after="0" w:line="258" w:lineRule="auto"/>
        <w:rPr>
          <w:sz w:val="20"/>
          <w:szCs w:val="20"/>
          <w:color w:val="auto"/>
        </w:rPr>
      </w:pPr>
      <w:r>
        <w:rPr>
          <w:rFonts w:ascii="Arial" w:cs="Arial" w:eastAsia="Arial" w:hAnsi="Arial"/>
          <w:sz w:val="16"/>
          <w:szCs w:val="16"/>
          <w:b w:val="1"/>
          <w:bCs w:val="1"/>
          <w:color w:val="auto"/>
        </w:rPr>
        <w:t xml:space="preserve">General Motors Co. </w:t>
      </w:r>
      <w:r>
        <w:rPr>
          <w:rFonts w:ascii="Arial" w:cs="Arial" w:eastAsia="Arial" w:hAnsi="Arial"/>
          <w:sz w:val="16"/>
          <w:szCs w:val="16"/>
          <w:color w:val="auto"/>
        </w:rPr>
        <w:t xml:space="preserve">(NYSE:GM, TSX: GMM) and its partners produce vehicles in 30 countries, and the company has leadership positions in the world's 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6"/>
          <w:szCs w:val="16"/>
          <w:u w:val="single" w:color="auto"/>
          <w:color w:val="0000FF"/>
        </w:rPr>
        <w:t>http://www.gm.com</w:t>
      </w:r>
      <w:r>
        <w:rPr>
          <w:rFonts w:ascii="Arial" w:cs="Arial" w:eastAsia="Arial" w:hAnsi="Arial"/>
          <w:sz w:val="16"/>
          <w:szCs w:val="16"/>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32" w:lineRule="exact"/>
        <w:rPr>
          <w:sz w:val="20"/>
          <w:szCs w:val="20"/>
          <w:color w:val="auto"/>
        </w:rPr>
      </w:pPr>
    </w:p>
    <w:p>
      <w:pPr>
        <w:ind w:right="40"/>
        <w:spacing w:after="0" w:line="267" w:lineRule="auto"/>
        <w:rPr>
          <w:sz w:val="20"/>
          <w:szCs w:val="20"/>
          <w:color w:val="auto"/>
        </w:rPr>
      </w:pPr>
      <w:r>
        <w:rPr>
          <w:rFonts w:ascii="Arial" w:cs="Arial" w:eastAsia="Arial" w:hAnsi="Arial"/>
          <w:sz w:val="13"/>
          <w:szCs w:val="13"/>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420"/>
          </w:cols>
          <w:pgMar w:left="240" w:top="568" w:right="239" w:bottom="1440" w:gutter="0" w:footer="0" w:header="0"/>
        </w:sectPr>
      </w:pPr>
    </w:p>
    <w:bookmarkStart w:id="4" w:name="page5"/>
    <w:bookmarkEnd w:id="4"/>
    <w:p>
      <w:pPr>
        <w:spacing w:after="0"/>
        <w:rPr>
          <w:sz w:val="20"/>
          <w:szCs w:val="20"/>
          <w:color w:val="auto"/>
        </w:rPr>
      </w:pPr>
      <w:r>
        <w:rPr>
          <w:rFonts w:ascii="Arial" w:cs="Arial" w:eastAsia="Arial" w:hAnsi="Arial"/>
          <w:sz w:val="27"/>
          <w:szCs w:val="27"/>
          <w:b w:val="1"/>
          <w:bCs w:val="1"/>
          <w:color w:val="auto"/>
        </w:rPr>
        <w:t>GM Global Sales: January - March 2015</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2540" w:type="dxa"/>
            <w:vAlign w:val="bottom"/>
            <w:tcBorders>
              <w:top w:val="single" w:sz="8" w:color="auto"/>
              <w:left w:val="single" w:sz="8" w:color="auto"/>
              <w:right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Q1 2015</w:t>
            </w:r>
          </w:p>
        </w:tc>
        <w:tc>
          <w:tcPr>
            <w:tcW w:w="1240" w:type="dxa"/>
            <w:vAlign w:val="bottom"/>
            <w:tcBorders>
              <w:top w:val="single" w:sz="8" w:color="auto"/>
              <w:bottom w:val="single" w:sz="8" w:color="auto"/>
              <w:right w:val="single" w:sz="8" w:color="auto"/>
            </w:tcBorders>
          </w:tcPr>
          <w:p>
            <w:pPr>
              <w:spacing w:after="0"/>
              <w:rPr>
                <w:sz w:val="24"/>
                <w:szCs w:val="24"/>
                <w:color w:val="auto"/>
              </w:rPr>
            </w:pPr>
          </w:p>
        </w:tc>
      </w:tr>
      <w:tr>
        <w:trPr>
          <w:trHeight w:val="250"/>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Region</w:t>
            </w: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Total Sales</w:t>
            </w: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YOY Change</w:t>
            </w:r>
          </w:p>
        </w:tc>
        <w:tc>
          <w:tcPr>
            <w:tcW w:w="12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Pct Change</w:t>
            </w:r>
          </w:p>
        </w:tc>
      </w:tr>
      <w:tr>
        <w:trPr>
          <w:trHeight w:val="243"/>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GM North America</w:t>
            </w:r>
          </w:p>
        </w:tc>
        <w:tc>
          <w:tcPr>
            <w:tcW w:w="1240" w:type="dxa"/>
            <w:vAlign w:val="bottom"/>
          </w:tcPr>
          <w:p>
            <w:pPr>
              <w:jc w:val="center"/>
              <w:spacing w:after="0"/>
              <w:rPr>
                <w:sz w:val="20"/>
                <w:szCs w:val="20"/>
                <w:color w:val="auto"/>
              </w:rPr>
            </w:pPr>
            <w:r>
              <w:rPr>
                <w:rFonts w:ascii="Arial" w:cs="Arial" w:eastAsia="Arial" w:hAnsi="Arial"/>
                <w:sz w:val="18"/>
                <w:szCs w:val="18"/>
                <w:color w:val="auto"/>
              </w:rPr>
              <w:t>789,780</w:t>
            </w:r>
          </w:p>
        </w:tc>
        <w:tc>
          <w:tcPr>
            <w:tcW w:w="1280" w:type="dxa"/>
            <w:vAlign w:val="bottom"/>
          </w:tcPr>
          <w:p>
            <w:pPr>
              <w:jc w:val="center"/>
              <w:spacing w:after="0"/>
              <w:rPr>
                <w:sz w:val="20"/>
                <w:szCs w:val="20"/>
                <w:color w:val="auto"/>
              </w:rPr>
            </w:pPr>
            <w:r>
              <w:rPr>
                <w:rFonts w:ascii="Arial" w:cs="Arial" w:eastAsia="Arial" w:hAnsi="Arial"/>
                <w:sz w:val="18"/>
                <w:szCs w:val="18"/>
                <w:color w:val="auto"/>
              </w:rPr>
              <w:t>45,105</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6.1%</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GM Europe</w:t>
            </w:r>
          </w:p>
        </w:tc>
        <w:tc>
          <w:tcPr>
            <w:tcW w:w="1240" w:type="dxa"/>
            <w:vAlign w:val="bottom"/>
          </w:tcPr>
          <w:p>
            <w:pPr>
              <w:jc w:val="center"/>
              <w:spacing w:after="0"/>
              <w:rPr>
                <w:sz w:val="20"/>
                <w:szCs w:val="20"/>
                <w:color w:val="auto"/>
              </w:rPr>
            </w:pPr>
            <w:r>
              <w:rPr>
                <w:rFonts w:ascii="Arial" w:cs="Arial" w:eastAsia="Arial" w:hAnsi="Arial"/>
                <w:sz w:val="18"/>
                <w:szCs w:val="18"/>
                <w:color w:val="auto"/>
              </w:rPr>
              <w:t>291,582</w:t>
            </w:r>
          </w:p>
        </w:tc>
        <w:tc>
          <w:tcPr>
            <w:tcW w:w="1280" w:type="dxa"/>
            <w:vAlign w:val="bottom"/>
          </w:tcPr>
          <w:p>
            <w:pPr>
              <w:jc w:val="center"/>
              <w:spacing w:after="0"/>
              <w:rPr>
                <w:sz w:val="20"/>
                <w:szCs w:val="20"/>
                <w:color w:val="auto"/>
              </w:rPr>
            </w:pPr>
            <w:r>
              <w:rPr>
                <w:rFonts w:ascii="Arial" w:cs="Arial" w:eastAsia="Arial" w:hAnsi="Arial"/>
                <w:sz w:val="18"/>
                <w:szCs w:val="18"/>
                <w:color w:val="auto"/>
              </w:rPr>
              <w:t>(45,844)</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(13.6)%</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GM South America</w:t>
            </w:r>
          </w:p>
        </w:tc>
        <w:tc>
          <w:tcPr>
            <w:tcW w:w="1240" w:type="dxa"/>
            <w:vAlign w:val="bottom"/>
          </w:tcPr>
          <w:p>
            <w:pPr>
              <w:jc w:val="center"/>
              <w:spacing w:after="0"/>
              <w:rPr>
                <w:sz w:val="20"/>
                <w:szCs w:val="20"/>
                <w:color w:val="auto"/>
              </w:rPr>
            </w:pPr>
            <w:r>
              <w:rPr>
                <w:rFonts w:ascii="Arial" w:cs="Arial" w:eastAsia="Arial" w:hAnsi="Arial"/>
                <w:sz w:val="18"/>
                <w:szCs w:val="18"/>
                <w:color w:val="auto"/>
              </w:rPr>
              <w:t>179,492</w:t>
            </w:r>
          </w:p>
        </w:tc>
        <w:tc>
          <w:tcPr>
            <w:tcW w:w="1280" w:type="dxa"/>
            <w:vAlign w:val="bottom"/>
          </w:tcPr>
          <w:p>
            <w:pPr>
              <w:jc w:val="center"/>
              <w:spacing w:after="0"/>
              <w:rPr>
                <w:sz w:val="20"/>
                <w:szCs w:val="20"/>
                <w:color w:val="auto"/>
              </w:rPr>
            </w:pPr>
            <w:r>
              <w:rPr>
                <w:rFonts w:ascii="Arial" w:cs="Arial" w:eastAsia="Arial" w:hAnsi="Arial"/>
                <w:sz w:val="18"/>
                <w:szCs w:val="18"/>
                <w:color w:val="auto"/>
              </w:rPr>
              <w:t>(31,767)</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(15)%</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GM International</w:t>
            </w:r>
          </w:p>
        </w:tc>
        <w:tc>
          <w:tcPr>
            <w:tcW w:w="1240" w:type="dxa"/>
            <w:vAlign w:val="bottom"/>
          </w:tcPr>
          <w:p>
            <w:pPr>
              <w:jc w:val="center"/>
              <w:spacing w:after="0"/>
              <w:rPr>
                <w:sz w:val="20"/>
                <w:szCs w:val="20"/>
                <w:color w:val="auto"/>
              </w:rPr>
            </w:pPr>
            <w:r>
              <w:rPr>
                <w:rFonts w:ascii="Arial" w:cs="Arial" w:eastAsia="Arial" w:hAnsi="Arial"/>
                <w:sz w:val="18"/>
                <w:szCs w:val="18"/>
                <w:color w:val="auto"/>
              </w:rPr>
              <w:t>199,134</w:t>
            </w:r>
          </w:p>
        </w:tc>
        <w:tc>
          <w:tcPr>
            <w:tcW w:w="1280" w:type="dxa"/>
            <w:vAlign w:val="bottom"/>
          </w:tcPr>
          <w:p>
            <w:pPr>
              <w:jc w:val="center"/>
              <w:spacing w:after="0"/>
              <w:rPr>
                <w:sz w:val="20"/>
                <w:szCs w:val="20"/>
                <w:color w:val="auto"/>
              </w:rPr>
            </w:pPr>
            <w:r>
              <w:rPr>
                <w:rFonts w:ascii="Arial" w:cs="Arial" w:eastAsia="Arial" w:hAnsi="Arial"/>
                <w:sz w:val="18"/>
                <w:szCs w:val="18"/>
                <w:color w:val="auto"/>
                <w:w w:val="98"/>
              </w:rPr>
              <w:t>(4,743)</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(2.3)%</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China</w:t>
            </w:r>
          </w:p>
        </w:tc>
        <w:tc>
          <w:tcPr>
            <w:tcW w:w="1240" w:type="dxa"/>
            <w:vAlign w:val="bottom"/>
          </w:tcPr>
          <w:p>
            <w:pPr>
              <w:jc w:val="center"/>
              <w:spacing w:after="0"/>
              <w:rPr>
                <w:sz w:val="20"/>
                <w:szCs w:val="20"/>
                <w:color w:val="auto"/>
              </w:rPr>
            </w:pPr>
            <w:r>
              <w:rPr>
                <w:rFonts w:ascii="Arial" w:cs="Arial" w:eastAsia="Arial" w:hAnsi="Arial"/>
                <w:sz w:val="18"/>
                <w:szCs w:val="18"/>
                <w:color w:val="auto"/>
              </w:rPr>
              <w:t>961,135</w:t>
            </w:r>
          </w:p>
        </w:tc>
        <w:tc>
          <w:tcPr>
            <w:tcW w:w="1280" w:type="dxa"/>
            <w:vAlign w:val="bottom"/>
          </w:tcPr>
          <w:p>
            <w:pPr>
              <w:jc w:val="center"/>
              <w:spacing w:after="0"/>
              <w:rPr>
                <w:sz w:val="20"/>
                <w:szCs w:val="20"/>
                <w:color w:val="auto"/>
              </w:rPr>
            </w:pPr>
            <w:r>
              <w:rPr>
                <w:rFonts w:ascii="Arial" w:cs="Arial" w:eastAsia="Arial" w:hAnsi="Arial"/>
                <w:sz w:val="18"/>
                <w:szCs w:val="18"/>
                <w:color w:val="auto"/>
              </w:rPr>
              <w:t>82,318</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9.4%</w:t>
            </w:r>
          </w:p>
        </w:tc>
      </w:tr>
      <w:tr>
        <w:trPr>
          <w:trHeight w:val="277"/>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2,421,123</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45,069</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1.9%</w:t>
            </w:r>
          </w:p>
        </w:tc>
      </w:tr>
      <w:tr>
        <w:trPr>
          <w:trHeight w:val="277"/>
        </w:trPr>
        <w:tc>
          <w:tcPr>
            <w:tcW w:w="25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64"/>
        </w:trPr>
        <w:tc>
          <w:tcPr>
            <w:tcW w:w="2540" w:type="dxa"/>
            <w:vAlign w:val="bottom"/>
            <w:tcBorders>
              <w:left w:val="single" w:sz="8" w:color="auto"/>
              <w:right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Q1 2015</w:t>
            </w:r>
          </w:p>
        </w:tc>
        <w:tc>
          <w:tcPr>
            <w:tcW w:w="1240" w:type="dxa"/>
            <w:vAlign w:val="bottom"/>
            <w:tcBorders>
              <w:bottom w:val="single" w:sz="8" w:color="auto"/>
              <w:right w:val="single" w:sz="8" w:color="auto"/>
            </w:tcBorders>
          </w:tcPr>
          <w:p>
            <w:pPr>
              <w:spacing w:after="0"/>
              <w:rPr>
                <w:sz w:val="22"/>
                <w:szCs w:val="22"/>
                <w:color w:val="auto"/>
              </w:rPr>
            </w:pPr>
          </w:p>
        </w:tc>
      </w:tr>
      <w:tr>
        <w:trPr>
          <w:trHeight w:val="250"/>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Top Five Markets</w:t>
            </w: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Total Sales</w:t>
            </w: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YOY Change</w:t>
            </w:r>
          </w:p>
        </w:tc>
        <w:tc>
          <w:tcPr>
            <w:tcW w:w="12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Pct Change</w:t>
            </w:r>
          </w:p>
        </w:tc>
      </w:tr>
      <w:tr>
        <w:trPr>
          <w:trHeight w:val="243"/>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China</w:t>
            </w:r>
          </w:p>
        </w:tc>
        <w:tc>
          <w:tcPr>
            <w:tcW w:w="1240" w:type="dxa"/>
            <w:vAlign w:val="bottom"/>
          </w:tcPr>
          <w:p>
            <w:pPr>
              <w:jc w:val="center"/>
              <w:spacing w:after="0"/>
              <w:rPr>
                <w:sz w:val="20"/>
                <w:szCs w:val="20"/>
                <w:color w:val="auto"/>
              </w:rPr>
            </w:pPr>
            <w:r>
              <w:rPr>
                <w:rFonts w:ascii="Arial" w:cs="Arial" w:eastAsia="Arial" w:hAnsi="Arial"/>
                <w:sz w:val="18"/>
                <w:szCs w:val="18"/>
                <w:color w:val="auto"/>
              </w:rPr>
              <w:t>961,135</w:t>
            </w:r>
          </w:p>
        </w:tc>
        <w:tc>
          <w:tcPr>
            <w:tcW w:w="1280" w:type="dxa"/>
            <w:vAlign w:val="bottom"/>
          </w:tcPr>
          <w:p>
            <w:pPr>
              <w:jc w:val="center"/>
              <w:spacing w:after="0"/>
              <w:rPr>
                <w:sz w:val="20"/>
                <w:szCs w:val="20"/>
                <w:color w:val="auto"/>
              </w:rPr>
            </w:pPr>
            <w:r>
              <w:rPr>
                <w:rFonts w:ascii="Arial" w:cs="Arial" w:eastAsia="Arial" w:hAnsi="Arial"/>
                <w:sz w:val="18"/>
                <w:szCs w:val="18"/>
                <w:color w:val="auto"/>
              </w:rPr>
              <w:t>82,318</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9.4%</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United States</w:t>
            </w:r>
          </w:p>
        </w:tc>
        <w:tc>
          <w:tcPr>
            <w:tcW w:w="1240" w:type="dxa"/>
            <w:vAlign w:val="bottom"/>
          </w:tcPr>
          <w:p>
            <w:pPr>
              <w:jc w:val="center"/>
              <w:spacing w:after="0"/>
              <w:rPr>
                <w:sz w:val="20"/>
                <w:szCs w:val="20"/>
                <w:color w:val="auto"/>
              </w:rPr>
            </w:pPr>
            <w:r>
              <w:rPr>
                <w:rFonts w:ascii="Arial" w:cs="Arial" w:eastAsia="Arial" w:hAnsi="Arial"/>
                <w:sz w:val="18"/>
                <w:szCs w:val="18"/>
                <w:color w:val="auto"/>
              </w:rPr>
              <w:t>684,039</w:t>
            </w:r>
          </w:p>
        </w:tc>
        <w:tc>
          <w:tcPr>
            <w:tcW w:w="1280" w:type="dxa"/>
            <w:vAlign w:val="bottom"/>
          </w:tcPr>
          <w:p>
            <w:pPr>
              <w:jc w:val="center"/>
              <w:spacing w:after="0"/>
              <w:rPr>
                <w:sz w:val="20"/>
                <w:szCs w:val="20"/>
                <w:color w:val="auto"/>
              </w:rPr>
            </w:pPr>
            <w:r>
              <w:rPr>
                <w:rFonts w:ascii="Arial" w:cs="Arial" w:eastAsia="Arial" w:hAnsi="Arial"/>
                <w:sz w:val="18"/>
                <w:szCs w:val="18"/>
                <w:color w:val="auto"/>
              </w:rPr>
              <w:t>34,402</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5.3%</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Brazil</w:t>
            </w:r>
          </w:p>
        </w:tc>
        <w:tc>
          <w:tcPr>
            <w:tcW w:w="1240" w:type="dxa"/>
            <w:vAlign w:val="bottom"/>
          </w:tcPr>
          <w:p>
            <w:pPr>
              <w:jc w:val="center"/>
              <w:spacing w:after="0"/>
              <w:rPr>
                <w:sz w:val="20"/>
                <w:szCs w:val="20"/>
                <w:color w:val="auto"/>
              </w:rPr>
            </w:pPr>
            <w:r>
              <w:rPr>
                <w:rFonts w:ascii="Arial" w:cs="Arial" w:eastAsia="Arial" w:hAnsi="Arial"/>
                <w:sz w:val="18"/>
                <w:szCs w:val="18"/>
                <w:color w:val="auto"/>
              </w:rPr>
              <w:t>111,924</w:t>
            </w:r>
          </w:p>
        </w:tc>
        <w:tc>
          <w:tcPr>
            <w:tcW w:w="1280" w:type="dxa"/>
            <w:vAlign w:val="bottom"/>
          </w:tcPr>
          <w:p>
            <w:pPr>
              <w:jc w:val="center"/>
              <w:spacing w:after="0"/>
              <w:rPr>
                <w:sz w:val="20"/>
                <w:szCs w:val="20"/>
                <w:color w:val="auto"/>
              </w:rPr>
            </w:pPr>
            <w:r>
              <w:rPr>
                <w:rFonts w:ascii="Arial" w:cs="Arial" w:eastAsia="Arial" w:hAnsi="Arial"/>
                <w:sz w:val="18"/>
                <w:szCs w:val="18"/>
                <w:color w:val="auto"/>
              </w:rPr>
              <w:t>(24,985)</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(18.2)%</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United Kingdom</w:t>
            </w:r>
          </w:p>
        </w:tc>
        <w:tc>
          <w:tcPr>
            <w:tcW w:w="1240" w:type="dxa"/>
            <w:vAlign w:val="bottom"/>
          </w:tcPr>
          <w:p>
            <w:pPr>
              <w:jc w:val="center"/>
              <w:spacing w:after="0"/>
              <w:rPr>
                <w:sz w:val="20"/>
                <w:szCs w:val="20"/>
                <w:color w:val="auto"/>
              </w:rPr>
            </w:pPr>
            <w:r>
              <w:rPr>
                <w:rFonts w:ascii="Arial" w:cs="Arial" w:eastAsia="Arial" w:hAnsi="Arial"/>
                <w:sz w:val="18"/>
                <w:szCs w:val="18"/>
                <w:color w:val="auto"/>
              </w:rPr>
              <w:t>86,275</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997</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1.2%</w:t>
            </w:r>
          </w:p>
        </w:tc>
      </w:tr>
      <w:tr>
        <w:trPr>
          <w:trHeight w:val="277"/>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Germany</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55,094</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(1,525)</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(2.7)%</w:t>
            </w:r>
          </w:p>
        </w:tc>
      </w:tr>
      <w:tr>
        <w:trPr>
          <w:trHeight w:val="277"/>
        </w:trPr>
        <w:tc>
          <w:tcPr>
            <w:tcW w:w="25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64"/>
        </w:trPr>
        <w:tc>
          <w:tcPr>
            <w:tcW w:w="2540" w:type="dxa"/>
            <w:vAlign w:val="bottom"/>
            <w:tcBorders>
              <w:left w:val="single" w:sz="8" w:color="auto"/>
              <w:right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Q1 2015</w:t>
            </w:r>
          </w:p>
        </w:tc>
        <w:tc>
          <w:tcPr>
            <w:tcW w:w="1240" w:type="dxa"/>
            <w:vAlign w:val="bottom"/>
            <w:tcBorders>
              <w:bottom w:val="single" w:sz="8" w:color="auto"/>
              <w:right w:val="single" w:sz="8" w:color="auto"/>
            </w:tcBorders>
          </w:tcPr>
          <w:p>
            <w:pPr>
              <w:spacing w:after="0"/>
              <w:rPr>
                <w:sz w:val="22"/>
                <w:szCs w:val="22"/>
                <w:color w:val="auto"/>
              </w:rPr>
            </w:pPr>
          </w:p>
        </w:tc>
      </w:tr>
      <w:tr>
        <w:trPr>
          <w:trHeight w:val="250"/>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Sales by Brand</w:t>
            </w: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Total Sales</w:t>
            </w: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YOY Change</w:t>
            </w:r>
          </w:p>
        </w:tc>
        <w:tc>
          <w:tcPr>
            <w:tcW w:w="12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Pct Change</w:t>
            </w:r>
          </w:p>
        </w:tc>
      </w:tr>
      <w:tr>
        <w:trPr>
          <w:trHeight w:val="243"/>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Chevrolet</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1,066,123</w:t>
            </w:r>
          </w:p>
        </w:tc>
        <w:tc>
          <w:tcPr>
            <w:tcW w:w="1280" w:type="dxa"/>
            <w:vAlign w:val="bottom"/>
          </w:tcPr>
          <w:p>
            <w:pPr>
              <w:jc w:val="center"/>
              <w:spacing w:after="0"/>
              <w:rPr>
                <w:sz w:val="20"/>
                <w:szCs w:val="20"/>
                <w:color w:val="auto"/>
              </w:rPr>
            </w:pPr>
            <w:r>
              <w:rPr>
                <w:rFonts w:ascii="Arial" w:cs="Arial" w:eastAsia="Arial" w:hAnsi="Arial"/>
                <w:sz w:val="18"/>
                <w:szCs w:val="18"/>
                <w:color w:val="auto"/>
              </w:rPr>
              <w:t>(47,884)</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(4.3)%</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Opel/Vauxhall</w:t>
            </w:r>
          </w:p>
        </w:tc>
        <w:tc>
          <w:tcPr>
            <w:tcW w:w="1240" w:type="dxa"/>
            <w:vAlign w:val="bottom"/>
          </w:tcPr>
          <w:p>
            <w:pPr>
              <w:jc w:val="center"/>
              <w:spacing w:after="0"/>
              <w:rPr>
                <w:sz w:val="20"/>
                <w:szCs w:val="20"/>
                <w:color w:val="auto"/>
              </w:rPr>
            </w:pPr>
            <w:r>
              <w:rPr>
                <w:rFonts w:ascii="Arial" w:cs="Arial" w:eastAsia="Arial" w:hAnsi="Arial"/>
                <w:sz w:val="18"/>
                <w:szCs w:val="18"/>
                <w:color w:val="auto"/>
              </w:rPr>
              <w:t>284,392</w:t>
            </w: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8,217</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Buick</w:t>
            </w:r>
          </w:p>
        </w:tc>
        <w:tc>
          <w:tcPr>
            <w:tcW w:w="1240" w:type="dxa"/>
            <w:vAlign w:val="bottom"/>
          </w:tcPr>
          <w:p>
            <w:pPr>
              <w:jc w:val="center"/>
              <w:spacing w:after="0"/>
              <w:rPr>
                <w:sz w:val="20"/>
                <w:szCs w:val="20"/>
                <w:color w:val="auto"/>
              </w:rPr>
            </w:pPr>
            <w:r>
              <w:rPr>
                <w:rFonts w:ascii="Arial" w:cs="Arial" w:eastAsia="Arial" w:hAnsi="Arial"/>
                <w:sz w:val="18"/>
                <w:szCs w:val="18"/>
                <w:color w:val="auto"/>
              </w:rPr>
              <w:t>285,860</w:t>
            </w:r>
          </w:p>
        </w:tc>
        <w:tc>
          <w:tcPr>
            <w:tcW w:w="1280" w:type="dxa"/>
            <w:vAlign w:val="bottom"/>
          </w:tcPr>
          <w:p>
            <w:pPr>
              <w:jc w:val="center"/>
              <w:spacing w:after="0"/>
              <w:rPr>
                <w:sz w:val="20"/>
                <w:szCs w:val="20"/>
                <w:color w:val="auto"/>
              </w:rPr>
            </w:pPr>
            <w:r>
              <w:rPr>
                <w:rFonts w:ascii="Arial" w:cs="Arial" w:eastAsia="Arial" w:hAnsi="Arial"/>
                <w:sz w:val="18"/>
                <w:szCs w:val="18"/>
                <w:color w:val="auto"/>
              </w:rPr>
              <w:t>20,118</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7.6%</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Cadillac</w:t>
            </w:r>
          </w:p>
        </w:tc>
        <w:tc>
          <w:tcPr>
            <w:tcW w:w="1240" w:type="dxa"/>
            <w:vAlign w:val="bottom"/>
          </w:tcPr>
          <w:p>
            <w:pPr>
              <w:jc w:val="center"/>
              <w:spacing w:after="0"/>
              <w:rPr>
                <w:sz w:val="20"/>
                <w:szCs w:val="20"/>
                <w:color w:val="auto"/>
              </w:rPr>
            </w:pPr>
            <w:r>
              <w:rPr>
                <w:rFonts w:ascii="Arial" w:cs="Arial" w:eastAsia="Arial" w:hAnsi="Arial"/>
                <w:sz w:val="18"/>
                <w:szCs w:val="18"/>
                <w:color w:val="auto"/>
              </w:rPr>
              <w:t>60,963</w:t>
            </w: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1,470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2.5%</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GMC</w:t>
            </w:r>
          </w:p>
        </w:tc>
        <w:tc>
          <w:tcPr>
            <w:tcW w:w="1240" w:type="dxa"/>
            <w:vAlign w:val="bottom"/>
          </w:tcPr>
          <w:p>
            <w:pPr>
              <w:jc w:val="center"/>
              <w:spacing w:after="0"/>
              <w:rPr>
                <w:sz w:val="20"/>
                <w:szCs w:val="20"/>
                <w:color w:val="auto"/>
              </w:rPr>
            </w:pPr>
            <w:r>
              <w:rPr>
                <w:rFonts w:ascii="Arial" w:cs="Arial" w:eastAsia="Arial" w:hAnsi="Arial"/>
                <w:sz w:val="18"/>
                <w:szCs w:val="18"/>
                <w:color w:val="auto"/>
              </w:rPr>
              <w:t>144,695</w:t>
            </w:r>
          </w:p>
        </w:tc>
        <w:tc>
          <w:tcPr>
            <w:tcW w:w="1280" w:type="dxa"/>
            <w:vAlign w:val="bottom"/>
          </w:tcPr>
          <w:p>
            <w:pPr>
              <w:jc w:val="center"/>
              <w:spacing w:after="0"/>
              <w:rPr>
                <w:sz w:val="20"/>
                <w:szCs w:val="20"/>
                <w:color w:val="auto"/>
              </w:rPr>
            </w:pPr>
            <w:r>
              <w:rPr>
                <w:rFonts w:ascii="Arial" w:cs="Arial" w:eastAsia="Arial" w:hAnsi="Arial"/>
                <w:sz w:val="18"/>
                <w:szCs w:val="18"/>
                <w:color w:val="auto"/>
              </w:rPr>
              <w:t>18,277</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14.5%</w:t>
            </w:r>
          </w:p>
        </w:tc>
      </w:tr>
      <w:tr>
        <w:trPr>
          <w:trHeight w:val="277"/>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All Others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579,090</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44,871</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8.4%</w:t>
            </w:r>
          </w:p>
        </w:tc>
      </w:tr>
    </w:tbl>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20"/>
          <w:szCs w:val="20"/>
          <w:color w:val="auto"/>
        </w:rPr>
        <w:t>GM North America = United States, Canada, Mexico, and other North American markets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color w:val="auto"/>
        </w:rPr>
        <w:t>GM Europe = Western, Central and Eastern Europe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color w:val="auto"/>
        </w:rPr>
        <w:t>GM International = Asia-Pacific, Africa and the Middle East*</w:t>
      </w:r>
    </w:p>
    <w:p>
      <w:pPr>
        <w:spacing w:after="0" w:line="310" w:lineRule="exact"/>
        <w:rPr>
          <w:sz w:val="20"/>
          <w:szCs w:val="20"/>
          <w:color w:val="auto"/>
        </w:rPr>
      </w:pPr>
    </w:p>
    <w:p>
      <w:pPr>
        <w:ind w:left="40"/>
        <w:spacing w:after="0" w:line="236" w:lineRule="auto"/>
        <w:rPr>
          <w:sz w:val="20"/>
          <w:szCs w:val="20"/>
          <w:color w:val="auto"/>
        </w:rPr>
      </w:pPr>
      <w:r>
        <w:rPr>
          <w:rFonts w:ascii="Arial" w:cs="Arial" w:eastAsia="Arial" w:hAnsi="Arial"/>
          <w:sz w:val="20"/>
          <w:szCs w:val="20"/>
          <w:color w:val="auto"/>
        </w:rPr>
        <w:t>*We do not export vehicles to Cuba, Iran, North Korea, Syria and Sudan, therefore they are excluded from sales volume calculations.</w:t>
      </w:r>
    </w:p>
    <w:sectPr>
      <w:pgSz w:w="11900" w:h="16838" w:orient="portrait"/>
      <w:cols w:equalWidth="0" w:num="1">
        <w:col w:w="10520"/>
      </w:cols>
      <w:pgMar w:left="240" w:top="666"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2019-12-08T22:20:19Z</dcterms:created>
  <dcterms:modified xsi:type="dcterms:W3CDTF">2019-12-08T22:20:19Z</dcterms:modified>
</cp:coreProperties>
</file>