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23,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3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8"/>
              </w:rPr>
              <w:t>DELAWARE</w:t>
            </w:r>
          </w:p>
        </w:tc>
        <w:tc>
          <w:tcPr>
            <w:tcW w:w="250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70"/>
              <w:spacing w:after="0"/>
              <w:rPr>
                <w:sz w:val="20"/>
                <w:szCs w:val="20"/>
                <w:color w:val="auto"/>
              </w:rPr>
            </w:pPr>
            <w:r>
              <w:rPr>
                <w:rFonts w:ascii="Arial" w:cs="Arial" w:eastAsia="Arial" w:hAnsi="Arial"/>
                <w:sz w:val="18"/>
                <w:szCs w:val="18"/>
                <w:color w:val="auto"/>
                <w:w w:val="92"/>
              </w:rPr>
              <w:t>(State or other jurisdiction of</w:t>
            </w:r>
          </w:p>
        </w:tc>
        <w:tc>
          <w:tcPr>
            <w:tcW w:w="250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70"/>
              <w:spacing w:after="0"/>
              <w:rPr>
                <w:sz w:val="20"/>
                <w:szCs w:val="20"/>
                <w:color w:val="auto"/>
              </w:rPr>
            </w:pPr>
            <w:r>
              <w:rPr>
                <w:rFonts w:ascii="Arial" w:cs="Arial" w:eastAsia="Arial" w:hAnsi="Arial"/>
                <w:sz w:val="18"/>
                <w:szCs w:val="18"/>
                <w:color w:val="auto"/>
                <w:w w:val="94"/>
              </w:rPr>
              <w:t>incorporation)</w:t>
            </w:r>
          </w:p>
        </w:tc>
        <w:tc>
          <w:tcPr>
            <w:tcW w:w="250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40" w:type="dxa"/>
            <w:vAlign w:val="bottom"/>
            <w:gridSpan w:val="2"/>
          </w:tcPr>
          <w:p>
            <w:pPr>
              <w:jc w:val="center"/>
              <w:ind w:right="203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460" w:type="dxa"/>
            <w:vAlign w:val="bottom"/>
          </w:tcPr>
          <w:p>
            <w:pPr>
              <w:jc w:val="right"/>
              <w:ind w:right="97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10"/>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spacing w:after="0"/>
              <w:rPr>
                <w:sz w:val="20"/>
                <w:szCs w:val="20"/>
                <w:color w:val="auto"/>
              </w:rPr>
            </w:pPr>
          </w:p>
        </w:tc>
        <w:tc>
          <w:tcPr>
            <w:tcW w:w="2460" w:type="dxa"/>
            <w:vAlign w:val="bottom"/>
          </w:tcPr>
          <w:p>
            <w:pPr>
              <w:jc w:val="center"/>
              <w:ind w:right="45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On October 23, 2014 a news release was issued on the subject of 2014 third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 xml:space="preserve">Charts furnished to securities analysts in connection with GM's 2014 third quarter earnings release are available on GM's website at </w:t>
      </w:r>
      <w:r>
        <w:rPr>
          <w:rFonts w:ascii="Arial" w:cs="Arial" w:eastAsia="Arial" w:hAnsi="Arial"/>
          <w:sz w:val="18"/>
          <w:szCs w:val="18"/>
          <w:u w:val="single" w:color="auto"/>
          <w:color w:val="0563C1"/>
        </w:rPr>
        <w:t>www.gm.com/company/investors/earning-releases.html</w:t>
      </w:r>
      <w:r>
        <w:rPr>
          <w:rFonts w:ascii="Arial" w:cs="Arial" w:eastAsia="Arial" w:hAnsi="Arial"/>
          <w:sz w:val="18"/>
          <w:szCs w:val="18"/>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480" w:type="dxa"/>
            <w:vAlign w:val="bottom"/>
            <w:gridSpan w:val="3"/>
          </w:tcPr>
          <w:p>
            <w:pPr>
              <w:ind w:left="1540"/>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3"/>
        </w:trPr>
        <w:tc>
          <w:tcPr>
            <w:tcW w:w="24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480" w:type="dxa"/>
            <w:vAlign w:val="bottom"/>
            <w:gridSpan w:val="3"/>
          </w:tcPr>
          <w:p>
            <w:pPr>
              <w:ind w:left="1540"/>
              <w:spacing w:after="0"/>
              <w:rPr>
                <w:sz w:val="20"/>
                <w:szCs w:val="20"/>
                <w:color w:val="auto"/>
              </w:rPr>
            </w:pPr>
            <w:r>
              <w:rPr>
                <w:rFonts w:ascii="Arial" w:cs="Arial" w:eastAsia="Arial" w:hAnsi="Arial"/>
                <w:sz w:val="18"/>
                <w:szCs w:val="18"/>
                <w:color w:val="auto"/>
                <w:w w:val="92"/>
              </w:rPr>
              <w:t>News Release Dated October 23, 2014 and Financial</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480" w:type="dxa"/>
            <w:vAlign w:val="bottom"/>
            <w:gridSpan w:val="3"/>
          </w:tcPr>
          <w:p>
            <w:pPr>
              <w:ind w:left="1540"/>
              <w:spacing w:after="0"/>
              <w:rPr>
                <w:sz w:val="20"/>
                <w:szCs w:val="20"/>
                <w:color w:val="auto"/>
              </w:rPr>
            </w:pPr>
            <w:r>
              <w:rPr>
                <w:rFonts w:ascii="Arial" w:cs="Arial" w:eastAsia="Arial" w:hAnsi="Arial"/>
                <w:sz w:val="18"/>
                <w:szCs w:val="18"/>
                <w:color w:val="auto"/>
              </w:rPr>
              <w:t>Statements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Date: October 23, 2014</w:t>
            </w:r>
          </w:p>
        </w:tc>
        <w:tc>
          <w:tcPr>
            <w:tcW w:w="2180" w:type="dxa"/>
            <w:vAlign w:val="bottom"/>
            <w:vMerge w:val="restart"/>
          </w:tcPr>
          <w:p>
            <w:pPr>
              <w:ind w:left="15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Oct. 23, 7:30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Third Quarter Net Income of $1.4 Billion</w:t>
      </w:r>
    </w:p>
    <w:p>
      <w:pPr>
        <w:spacing w:after="0" w:line="24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EPS of $0.81 including net loss from special items of $(0.16) per share</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EBIT-adjusted of $2.3 billion</w:t>
      </w:r>
    </w:p>
    <w:p>
      <w:pPr>
        <w:spacing w:after="0" w:line="236" w:lineRule="exact"/>
        <w:rPr>
          <w:sz w:val="20"/>
          <w:szCs w:val="20"/>
          <w:color w:val="auto"/>
        </w:rPr>
      </w:pPr>
    </w:p>
    <w:p>
      <w:pPr>
        <w:ind w:right="180"/>
        <w:spacing w:after="0" w:line="256" w:lineRule="auto"/>
        <w:rPr>
          <w:sz w:val="20"/>
          <w:szCs w:val="20"/>
          <w:color w:val="auto"/>
        </w:rPr>
      </w:pPr>
      <w:r>
        <w:rPr>
          <w:rFonts w:ascii="Arial" w:cs="Arial" w:eastAsia="Arial" w:hAnsi="Arial"/>
          <w:sz w:val="22"/>
          <w:szCs w:val="22"/>
          <w:b w:val="1"/>
          <w:bCs w:val="1"/>
          <w:color w:val="auto"/>
        </w:rPr>
        <w:t xml:space="preserve">DETROIT </w:t>
      </w:r>
      <w:r>
        <w:rPr>
          <w:rFonts w:ascii="Arial" w:cs="Arial" w:eastAsia="Arial" w:hAnsi="Arial"/>
          <w:sz w:val="22"/>
          <w:szCs w:val="22"/>
          <w:color w:val="auto"/>
        </w:rPr>
        <w:t>- General Motors Co. (NYSE: GM) today announced third quarter net income attributable to common stockholders of</w:t>
      </w:r>
      <w:r>
        <w:rPr>
          <w:rFonts w:ascii="Arial" w:cs="Arial" w:eastAsia="Arial" w:hAnsi="Arial"/>
          <w:sz w:val="22"/>
          <w:szCs w:val="22"/>
          <w:b w:val="1"/>
          <w:bCs w:val="1"/>
          <w:color w:val="auto"/>
        </w:rPr>
        <w:t xml:space="preserve"> </w:t>
      </w:r>
      <w:r>
        <w:rPr>
          <w:rFonts w:ascii="Arial" w:cs="Arial" w:eastAsia="Arial" w:hAnsi="Arial"/>
          <w:sz w:val="22"/>
          <w:szCs w:val="22"/>
          <w:color w:val="auto"/>
        </w:rPr>
        <w:t>$1.4 billion, or $0.81 per diluted share. A net loss from special items reduced net income by $0.3 billion, or $(0.16) per diluted share.</w:t>
      </w:r>
    </w:p>
    <w:p>
      <w:pPr>
        <w:spacing w:after="0" w:line="223"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Special items were primarily related to flood damage sustained at the GM Technical Center in Michigan and long-lived asset impairments in Russia.</w:t>
      </w:r>
    </w:p>
    <w:p>
      <w:pPr>
        <w:spacing w:after="0" w:line="215" w:lineRule="exact"/>
        <w:rPr>
          <w:sz w:val="20"/>
          <w:szCs w:val="20"/>
          <w:color w:val="auto"/>
        </w:rPr>
      </w:pPr>
    </w:p>
    <w:p>
      <w:pPr>
        <w:jc w:val="both"/>
        <w:ind w:right="380"/>
        <w:spacing w:after="0" w:line="253" w:lineRule="auto"/>
        <w:rPr>
          <w:sz w:val="20"/>
          <w:szCs w:val="20"/>
          <w:color w:val="auto"/>
        </w:rPr>
      </w:pPr>
      <w:r>
        <w:rPr>
          <w:rFonts w:ascii="Arial" w:cs="Arial" w:eastAsia="Arial" w:hAnsi="Arial"/>
          <w:sz w:val="22"/>
          <w:szCs w:val="22"/>
          <w:color w:val="auto"/>
        </w:rPr>
        <w:t>“Strong global sales and growing margins in North America and China helped GM deliver very solid third quarter results,” said GM CEO Mary Barra. “Despite industry challenges in Russia and South America, our earnings were on plan as we continue to execute our customer-focused strategy.”</w:t>
      </w:r>
    </w:p>
    <w:p>
      <w:pPr>
        <w:spacing w:after="0" w:line="226" w:lineRule="exact"/>
        <w:rPr>
          <w:sz w:val="20"/>
          <w:szCs w:val="20"/>
          <w:color w:val="auto"/>
        </w:rPr>
      </w:pPr>
    </w:p>
    <w:p>
      <w:pPr>
        <w:ind w:right="420"/>
        <w:spacing w:after="0" w:line="253" w:lineRule="auto"/>
        <w:rPr>
          <w:sz w:val="20"/>
          <w:szCs w:val="20"/>
          <w:color w:val="auto"/>
        </w:rPr>
      </w:pPr>
      <w:r>
        <w:rPr>
          <w:rFonts w:ascii="Arial" w:cs="Arial" w:eastAsia="Arial" w:hAnsi="Arial"/>
          <w:sz w:val="22"/>
          <w:szCs w:val="22"/>
          <w:color w:val="auto"/>
        </w:rPr>
        <w:t>In the third quarter of 2013, GM’s net income attributable to common stockholders was $0.7 billion, or $0.45 per diluted share, which included a net loss from special items that reduced net income attributable to common stockholders by $0.9 billion, or $(0.51) per diluted share.</w:t>
      </w:r>
    </w:p>
    <w:p>
      <w:pPr>
        <w:spacing w:after="0" w:line="226"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Earnings before interest and tax (EBIT) adjusted was $2.3 billion and included the impact of $0.2 billion in restructuring costs for actions taken in GM Europe. This compares to the third quarter of 2013, when the company recorded EBIT-adjusted of $2.6 billion, which included $0.1 billion in restructuring costs.</w:t>
      </w:r>
    </w:p>
    <w:p>
      <w:pPr>
        <w:spacing w:after="0" w:line="226"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Net revenue in the third quarter of 2014 was $39.3 billion, compared to $39.0 billion in the third quarter of 2013. In the first nine months of 2014, revenue rose to $116.3 billion, up from $114.9 billion in the same period a year ago.</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GM Results Overview </w:t>
      </w:r>
      <w:r>
        <w:rPr>
          <w:rFonts w:ascii="Arial" w:cs="Arial" w:eastAsia="Arial" w:hAnsi="Arial"/>
          <w:sz w:val="22"/>
          <w:szCs w:val="22"/>
          <w:color w:val="auto"/>
        </w:rPr>
        <w:t>(in billions except for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680" w:type="dxa"/>
            <w:vAlign w:val="bottom"/>
          </w:tcPr>
          <w:p>
            <w:pPr>
              <w:spacing w:after="0"/>
              <w:rPr>
                <w:sz w:val="24"/>
                <w:szCs w:val="24"/>
                <w:color w:val="auto"/>
              </w:rPr>
            </w:pPr>
          </w:p>
        </w:tc>
        <w:tc>
          <w:tcPr>
            <w:tcW w:w="3180" w:type="dxa"/>
            <w:vAlign w:val="bottom"/>
          </w:tcPr>
          <w:p>
            <w:pPr>
              <w:jc w:val="center"/>
              <w:ind w:left="1512"/>
              <w:spacing w:after="0"/>
              <w:rPr>
                <w:sz w:val="20"/>
                <w:szCs w:val="20"/>
                <w:color w:val="auto"/>
              </w:rPr>
            </w:pPr>
            <w:r>
              <w:rPr>
                <w:rFonts w:ascii="Arial" w:cs="Arial" w:eastAsia="Arial" w:hAnsi="Arial"/>
                <w:sz w:val="22"/>
                <w:szCs w:val="22"/>
                <w:b w:val="1"/>
                <w:bCs w:val="1"/>
                <w:color w:val="auto"/>
                <w:w w:val="89"/>
              </w:rPr>
              <w:t>Q3 2014</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auto"/>
              </w:rPr>
              <w:t>Q3 2013</w:t>
            </w:r>
          </w:p>
        </w:tc>
      </w:tr>
      <w:tr>
        <w:trPr>
          <w:trHeight w:val="297"/>
        </w:trPr>
        <w:tc>
          <w:tcPr>
            <w:tcW w:w="6680" w:type="dxa"/>
            <w:vAlign w:val="bottom"/>
          </w:tcPr>
          <w:p>
            <w:pPr>
              <w:spacing w:after="0"/>
              <w:rPr>
                <w:sz w:val="20"/>
                <w:szCs w:val="20"/>
                <w:color w:val="auto"/>
              </w:rPr>
            </w:pPr>
            <w:r>
              <w:rPr>
                <w:rFonts w:ascii="Arial" w:cs="Arial" w:eastAsia="Arial" w:hAnsi="Arial"/>
                <w:sz w:val="22"/>
                <w:szCs w:val="22"/>
                <w:b w:val="1"/>
                <w:bCs w:val="1"/>
                <w:color w:val="auto"/>
              </w:rPr>
              <w:t>Revenue</w:t>
            </w:r>
          </w:p>
        </w:tc>
        <w:tc>
          <w:tcPr>
            <w:tcW w:w="3180" w:type="dxa"/>
            <w:vAlign w:val="bottom"/>
          </w:tcPr>
          <w:p>
            <w:pPr>
              <w:jc w:val="center"/>
              <w:ind w:left="1512"/>
              <w:spacing w:after="0"/>
              <w:rPr>
                <w:sz w:val="20"/>
                <w:szCs w:val="20"/>
                <w:color w:val="auto"/>
              </w:rPr>
            </w:pPr>
            <w:r>
              <w:rPr>
                <w:rFonts w:ascii="Arial" w:cs="Arial" w:eastAsia="Arial" w:hAnsi="Arial"/>
                <w:sz w:val="22"/>
                <w:szCs w:val="22"/>
                <w:color w:val="auto"/>
                <w:w w:val="87"/>
              </w:rPr>
              <w:t>$39.3</w:t>
            </w:r>
          </w:p>
        </w:tc>
        <w:tc>
          <w:tcPr>
            <w:tcW w:w="1160" w:type="dxa"/>
            <w:vAlign w:val="bottom"/>
          </w:tcPr>
          <w:p>
            <w:pPr>
              <w:jc w:val="center"/>
              <w:ind w:left="452"/>
              <w:spacing w:after="0"/>
              <w:rPr>
                <w:sz w:val="20"/>
                <w:szCs w:val="20"/>
                <w:color w:val="auto"/>
              </w:rPr>
            </w:pPr>
            <w:r>
              <w:rPr>
                <w:rFonts w:ascii="Arial" w:cs="Arial" w:eastAsia="Arial" w:hAnsi="Arial"/>
                <w:sz w:val="22"/>
                <w:szCs w:val="22"/>
                <w:color w:val="auto"/>
                <w:w w:val="87"/>
              </w:rPr>
              <w:t>$39.0</w:t>
            </w:r>
          </w:p>
        </w:tc>
      </w:tr>
      <w:tr>
        <w:trPr>
          <w:trHeight w:val="297"/>
        </w:trPr>
        <w:tc>
          <w:tcPr>
            <w:tcW w:w="6680" w:type="dxa"/>
            <w:vAlign w:val="bottom"/>
          </w:tcPr>
          <w:p>
            <w:pPr>
              <w:spacing w:after="0"/>
              <w:rPr>
                <w:sz w:val="20"/>
                <w:szCs w:val="20"/>
                <w:color w:val="auto"/>
              </w:rPr>
            </w:pPr>
            <w:r>
              <w:rPr>
                <w:rFonts w:ascii="Arial" w:cs="Arial" w:eastAsia="Arial" w:hAnsi="Arial"/>
                <w:sz w:val="22"/>
                <w:szCs w:val="22"/>
                <w:b w:val="1"/>
                <w:bCs w:val="1"/>
                <w:color w:val="auto"/>
              </w:rPr>
              <w:t>Net income attributable to common stockholders</w:t>
            </w:r>
          </w:p>
        </w:tc>
        <w:tc>
          <w:tcPr>
            <w:tcW w:w="3180" w:type="dxa"/>
            <w:vAlign w:val="bottom"/>
          </w:tcPr>
          <w:p>
            <w:pPr>
              <w:jc w:val="center"/>
              <w:ind w:left="1532"/>
              <w:spacing w:after="0"/>
              <w:rPr>
                <w:sz w:val="20"/>
                <w:szCs w:val="20"/>
                <w:color w:val="auto"/>
              </w:rPr>
            </w:pPr>
            <w:r>
              <w:rPr>
                <w:rFonts w:ascii="Arial" w:cs="Arial" w:eastAsia="Arial" w:hAnsi="Arial"/>
                <w:sz w:val="22"/>
                <w:szCs w:val="22"/>
                <w:color w:val="auto"/>
                <w:w w:val="88"/>
              </w:rPr>
              <w:t>$1.4</w:t>
            </w:r>
          </w:p>
        </w:tc>
        <w:tc>
          <w:tcPr>
            <w:tcW w:w="1160" w:type="dxa"/>
            <w:vAlign w:val="bottom"/>
          </w:tcPr>
          <w:p>
            <w:pPr>
              <w:jc w:val="center"/>
              <w:ind w:left="472"/>
              <w:spacing w:after="0"/>
              <w:rPr>
                <w:sz w:val="20"/>
                <w:szCs w:val="20"/>
                <w:color w:val="auto"/>
              </w:rPr>
            </w:pPr>
            <w:r>
              <w:rPr>
                <w:rFonts w:ascii="Arial" w:cs="Arial" w:eastAsia="Arial" w:hAnsi="Arial"/>
                <w:sz w:val="22"/>
                <w:szCs w:val="22"/>
                <w:color w:val="auto"/>
                <w:w w:val="88"/>
              </w:rPr>
              <w:t>$0.7</w:t>
            </w:r>
          </w:p>
        </w:tc>
      </w:tr>
      <w:tr>
        <w:trPr>
          <w:trHeight w:val="297"/>
        </w:trPr>
        <w:tc>
          <w:tcPr>
            <w:tcW w:w="6680" w:type="dxa"/>
            <w:vAlign w:val="bottom"/>
          </w:tcPr>
          <w:p>
            <w:pPr>
              <w:spacing w:after="0"/>
              <w:rPr>
                <w:sz w:val="20"/>
                <w:szCs w:val="20"/>
                <w:color w:val="auto"/>
              </w:rPr>
            </w:pPr>
            <w:r>
              <w:rPr>
                <w:rFonts w:ascii="Arial" w:cs="Arial" w:eastAsia="Arial" w:hAnsi="Arial"/>
                <w:sz w:val="22"/>
                <w:szCs w:val="22"/>
                <w:b w:val="1"/>
                <w:bCs w:val="1"/>
                <w:color w:val="auto"/>
              </w:rPr>
              <w:t>Earnings per share (EPS) diluted</w:t>
            </w:r>
          </w:p>
        </w:tc>
        <w:tc>
          <w:tcPr>
            <w:tcW w:w="3180" w:type="dxa"/>
            <w:vAlign w:val="bottom"/>
          </w:tcPr>
          <w:p>
            <w:pPr>
              <w:jc w:val="center"/>
              <w:ind w:left="1512"/>
              <w:spacing w:after="0"/>
              <w:rPr>
                <w:sz w:val="20"/>
                <w:szCs w:val="20"/>
                <w:color w:val="auto"/>
              </w:rPr>
            </w:pPr>
            <w:r>
              <w:rPr>
                <w:rFonts w:ascii="Arial" w:cs="Arial" w:eastAsia="Arial" w:hAnsi="Arial"/>
                <w:sz w:val="22"/>
                <w:szCs w:val="22"/>
                <w:color w:val="auto"/>
                <w:w w:val="87"/>
              </w:rPr>
              <w:t>$0.81</w:t>
            </w:r>
          </w:p>
        </w:tc>
        <w:tc>
          <w:tcPr>
            <w:tcW w:w="1160" w:type="dxa"/>
            <w:vAlign w:val="bottom"/>
          </w:tcPr>
          <w:p>
            <w:pPr>
              <w:jc w:val="center"/>
              <w:ind w:left="452"/>
              <w:spacing w:after="0"/>
              <w:rPr>
                <w:sz w:val="20"/>
                <w:szCs w:val="20"/>
                <w:color w:val="auto"/>
              </w:rPr>
            </w:pPr>
            <w:r>
              <w:rPr>
                <w:rFonts w:ascii="Arial" w:cs="Arial" w:eastAsia="Arial" w:hAnsi="Arial"/>
                <w:sz w:val="22"/>
                <w:szCs w:val="22"/>
                <w:color w:val="auto"/>
                <w:w w:val="87"/>
              </w:rPr>
              <w:t>$0.45</w:t>
            </w:r>
          </w:p>
        </w:tc>
      </w:tr>
      <w:tr>
        <w:trPr>
          <w:trHeight w:val="297"/>
        </w:trPr>
        <w:tc>
          <w:tcPr>
            <w:tcW w:w="6680" w:type="dxa"/>
            <w:vAlign w:val="bottom"/>
          </w:tcPr>
          <w:p>
            <w:pPr>
              <w:spacing w:after="0"/>
              <w:rPr>
                <w:sz w:val="20"/>
                <w:szCs w:val="20"/>
                <w:color w:val="auto"/>
              </w:rPr>
            </w:pPr>
            <w:r>
              <w:rPr>
                <w:rFonts w:ascii="Arial" w:cs="Arial" w:eastAsia="Arial" w:hAnsi="Arial"/>
                <w:sz w:val="22"/>
                <w:szCs w:val="22"/>
                <w:b w:val="1"/>
                <w:bCs w:val="1"/>
                <w:color w:val="auto"/>
              </w:rPr>
              <w:t>Impact of special items on EPS diluted</w:t>
            </w:r>
          </w:p>
        </w:tc>
        <w:tc>
          <w:tcPr>
            <w:tcW w:w="3180" w:type="dxa"/>
            <w:vAlign w:val="bottom"/>
          </w:tcPr>
          <w:p>
            <w:pPr>
              <w:jc w:val="center"/>
              <w:ind w:left="1512"/>
              <w:spacing w:after="0"/>
              <w:rPr>
                <w:sz w:val="20"/>
                <w:szCs w:val="20"/>
                <w:color w:val="auto"/>
              </w:rPr>
            </w:pPr>
            <w:r>
              <w:rPr>
                <w:rFonts w:ascii="Arial" w:cs="Arial" w:eastAsia="Arial" w:hAnsi="Arial"/>
                <w:sz w:val="22"/>
                <w:szCs w:val="22"/>
                <w:color w:val="auto"/>
                <w:w w:val="91"/>
              </w:rPr>
              <w:t>$(0.16)</w:t>
            </w:r>
          </w:p>
        </w:tc>
        <w:tc>
          <w:tcPr>
            <w:tcW w:w="1160" w:type="dxa"/>
            <w:vAlign w:val="bottom"/>
          </w:tcPr>
          <w:p>
            <w:pPr>
              <w:jc w:val="right"/>
              <w:spacing w:after="0"/>
              <w:rPr>
                <w:sz w:val="20"/>
                <w:szCs w:val="20"/>
                <w:color w:val="auto"/>
              </w:rPr>
            </w:pPr>
            <w:r>
              <w:rPr>
                <w:rFonts w:ascii="Arial" w:cs="Arial" w:eastAsia="Arial" w:hAnsi="Arial"/>
                <w:sz w:val="22"/>
                <w:szCs w:val="22"/>
                <w:color w:val="auto"/>
              </w:rPr>
              <w:t>$(0.51)</w:t>
            </w:r>
          </w:p>
        </w:tc>
      </w:tr>
      <w:tr>
        <w:trPr>
          <w:trHeight w:val="297"/>
        </w:trPr>
        <w:tc>
          <w:tcPr>
            <w:tcW w:w="6680" w:type="dxa"/>
            <w:vAlign w:val="bottom"/>
          </w:tcPr>
          <w:p>
            <w:pPr>
              <w:spacing w:after="0"/>
              <w:rPr>
                <w:sz w:val="20"/>
                <w:szCs w:val="20"/>
                <w:color w:val="auto"/>
              </w:rPr>
            </w:pPr>
            <w:r>
              <w:rPr>
                <w:rFonts w:ascii="Arial" w:cs="Arial" w:eastAsia="Arial" w:hAnsi="Arial"/>
                <w:sz w:val="22"/>
                <w:szCs w:val="22"/>
                <w:b w:val="1"/>
                <w:bCs w:val="1"/>
                <w:color w:val="auto"/>
              </w:rPr>
              <w:t>EBIT-adjusted</w:t>
            </w:r>
          </w:p>
        </w:tc>
        <w:tc>
          <w:tcPr>
            <w:tcW w:w="3180" w:type="dxa"/>
            <w:vAlign w:val="bottom"/>
          </w:tcPr>
          <w:p>
            <w:pPr>
              <w:jc w:val="center"/>
              <w:ind w:left="1532"/>
              <w:spacing w:after="0"/>
              <w:rPr>
                <w:sz w:val="20"/>
                <w:szCs w:val="20"/>
                <w:color w:val="auto"/>
              </w:rPr>
            </w:pPr>
            <w:r>
              <w:rPr>
                <w:rFonts w:ascii="Arial" w:cs="Arial" w:eastAsia="Arial" w:hAnsi="Arial"/>
                <w:sz w:val="22"/>
                <w:szCs w:val="22"/>
                <w:color w:val="auto"/>
                <w:w w:val="88"/>
              </w:rPr>
              <w:t>$2.3</w:t>
            </w:r>
          </w:p>
        </w:tc>
        <w:tc>
          <w:tcPr>
            <w:tcW w:w="1160" w:type="dxa"/>
            <w:vAlign w:val="bottom"/>
          </w:tcPr>
          <w:p>
            <w:pPr>
              <w:jc w:val="center"/>
              <w:ind w:left="472"/>
              <w:spacing w:after="0"/>
              <w:rPr>
                <w:sz w:val="20"/>
                <w:szCs w:val="20"/>
                <w:color w:val="auto"/>
              </w:rPr>
            </w:pPr>
            <w:r>
              <w:rPr>
                <w:rFonts w:ascii="Arial" w:cs="Arial" w:eastAsia="Arial" w:hAnsi="Arial"/>
                <w:sz w:val="22"/>
                <w:szCs w:val="22"/>
                <w:color w:val="auto"/>
                <w:w w:val="88"/>
              </w:rPr>
              <w:t>$2.6</w:t>
            </w:r>
          </w:p>
        </w:tc>
      </w:tr>
      <w:tr>
        <w:trPr>
          <w:trHeight w:val="297"/>
        </w:trPr>
        <w:tc>
          <w:tcPr>
            <w:tcW w:w="6680" w:type="dxa"/>
            <w:vAlign w:val="bottom"/>
          </w:tcPr>
          <w:p>
            <w:pPr>
              <w:spacing w:after="0"/>
              <w:rPr>
                <w:sz w:val="20"/>
                <w:szCs w:val="20"/>
                <w:color w:val="auto"/>
              </w:rPr>
            </w:pPr>
            <w:r>
              <w:rPr>
                <w:rFonts w:ascii="Arial" w:cs="Arial" w:eastAsia="Arial" w:hAnsi="Arial"/>
                <w:sz w:val="22"/>
                <w:szCs w:val="22"/>
                <w:b w:val="1"/>
                <w:bCs w:val="1"/>
                <w:color w:val="auto"/>
              </w:rPr>
              <w:t>Automotive net cash flow from operating activities</w:t>
            </w:r>
          </w:p>
        </w:tc>
        <w:tc>
          <w:tcPr>
            <w:tcW w:w="3180" w:type="dxa"/>
            <w:vAlign w:val="bottom"/>
          </w:tcPr>
          <w:p>
            <w:pPr>
              <w:jc w:val="center"/>
              <w:ind w:left="1532"/>
              <w:spacing w:after="0"/>
              <w:rPr>
                <w:sz w:val="20"/>
                <w:szCs w:val="20"/>
                <w:color w:val="auto"/>
              </w:rPr>
            </w:pPr>
            <w:r>
              <w:rPr>
                <w:rFonts w:ascii="Arial" w:cs="Arial" w:eastAsia="Arial" w:hAnsi="Arial"/>
                <w:sz w:val="22"/>
                <w:szCs w:val="22"/>
                <w:color w:val="auto"/>
                <w:w w:val="88"/>
              </w:rPr>
              <w:t>$0.7</w:t>
            </w:r>
          </w:p>
        </w:tc>
        <w:tc>
          <w:tcPr>
            <w:tcW w:w="1160" w:type="dxa"/>
            <w:vAlign w:val="bottom"/>
          </w:tcPr>
          <w:p>
            <w:pPr>
              <w:jc w:val="center"/>
              <w:ind w:left="472"/>
              <w:spacing w:after="0"/>
              <w:rPr>
                <w:sz w:val="20"/>
                <w:szCs w:val="20"/>
                <w:color w:val="auto"/>
              </w:rPr>
            </w:pPr>
            <w:r>
              <w:rPr>
                <w:rFonts w:ascii="Arial" w:cs="Arial" w:eastAsia="Arial" w:hAnsi="Arial"/>
                <w:sz w:val="22"/>
                <w:szCs w:val="22"/>
                <w:color w:val="auto"/>
                <w:w w:val="88"/>
              </w:rPr>
              <w:t>$3.3</w:t>
            </w:r>
          </w:p>
        </w:tc>
      </w:tr>
      <w:tr>
        <w:trPr>
          <w:trHeight w:val="297"/>
        </w:trPr>
        <w:tc>
          <w:tcPr>
            <w:tcW w:w="6680" w:type="dxa"/>
            <w:vAlign w:val="bottom"/>
          </w:tcPr>
          <w:p>
            <w:pPr>
              <w:spacing w:after="0"/>
              <w:rPr>
                <w:sz w:val="20"/>
                <w:szCs w:val="20"/>
                <w:color w:val="auto"/>
              </w:rPr>
            </w:pPr>
            <w:r>
              <w:rPr>
                <w:rFonts w:ascii="Arial" w:cs="Arial" w:eastAsia="Arial" w:hAnsi="Arial"/>
                <w:sz w:val="22"/>
                <w:szCs w:val="22"/>
                <w:b w:val="1"/>
                <w:bCs w:val="1"/>
                <w:color w:val="auto"/>
              </w:rPr>
              <w:t>Adjusted automotive free cash flow</w:t>
            </w:r>
          </w:p>
        </w:tc>
        <w:tc>
          <w:tcPr>
            <w:tcW w:w="3180" w:type="dxa"/>
            <w:vAlign w:val="bottom"/>
          </w:tcPr>
          <w:p>
            <w:pPr>
              <w:jc w:val="center"/>
              <w:ind w:left="1512"/>
              <w:spacing w:after="0"/>
              <w:rPr>
                <w:sz w:val="20"/>
                <w:szCs w:val="20"/>
                <w:color w:val="auto"/>
              </w:rPr>
            </w:pPr>
            <w:r>
              <w:rPr>
                <w:rFonts w:ascii="Arial" w:cs="Arial" w:eastAsia="Arial" w:hAnsi="Arial"/>
                <w:sz w:val="22"/>
                <w:szCs w:val="22"/>
                <w:color w:val="auto"/>
                <w:w w:val="90"/>
              </w:rPr>
              <w:t>$(0.8)</w:t>
            </w:r>
          </w:p>
        </w:tc>
        <w:tc>
          <w:tcPr>
            <w:tcW w:w="1160" w:type="dxa"/>
            <w:vAlign w:val="bottom"/>
          </w:tcPr>
          <w:p>
            <w:pPr>
              <w:jc w:val="center"/>
              <w:ind w:left="472"/>
              <w:spacing w:after="0"/>
              <w:rPr>
                <w:sz w:val="20"/>
                <w:szCs w:val="20"/>
                <w:color w:val="auto"/>
              </w:rPr>
            </w:pPr>
            <w:r>
              <w:rPr>
                <w:rFonts w:ascii="Arial" w:cs="Arial" w:eastAsia="Arial" w:hAnsi="Arial"/>
                <w:sz w:val="22"/>
                <w:szCs w:val="22"/>
                <w:color w:val="auto"/>
                <w:w w:val="88"/>
              </w:rPr>
              <w:t>$1.3</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Results</w:t>
      </w:r>
    </w:p>
    <w:p>
      <w:pPr>
        <w:sectPr>
          <w:pgSz w:w="11900" w:h="16838" w:orient="portrait"/>
          <w:cols w:equalWidth="0" w:num="1">
            <w:col w:w="11420"/>
          </w:cols>
          <w:pgMar w:left="240" w:top="576"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76" w:right="239" w:bottom="1440" w:gutter="0" w:footer="0" w:header="0"/>
          <w:type w:val="continuous"/>
        </w:sectPr>
      </w:pPr>
    </w:p>
    <w:bookmarkStart w:id="4" w:name="page5"/>
    <w:bookmarkEnd w:id="4"/>
    <w:p>
      <w:pPr>
        <w:ind w:left="660" w:right="40" w:hanging="328"/>
        <w:spacing w:after="0" w:line="25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GM North America reported EBIT-adjusted of $2.5 billion, compared with EBIT-adjusted of $2.2 billion in the third quarter of 2013.</w:t>
      </w:r>
    </w:p>
    <w:p>
      <w:pPr>
        <w:spacing w:after="0" w:line="2" w:lineRule="exact"/>
        <w:rPr>
          <w:rFonts w:ascii="Arial" w:cs="Arial" w:eastAsia="Arial" w:hAnsi="Arial"/>
          <w:sz w:val="22"/>
          <w:szCs w:val="22"/>
          <w:color w:val="auto"/>
        </w:rPr>
      </w:pPr>
    </w:p>
    <w:p>
      <w:pPr>
        <w:ind w:left="660" w:right="400" w:hanging="328"/>
        <w:spacing w:after="0" w:line="24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GM Europe reported EBIT-adjusted of $(0.4) billion which includes restructuring costs of $(0.2) billion, compared with EBIT-adjusted of $(0.2) billion in the third quarter of 2013.</w:t>
      </w:r>
    </w:p>
    <w:p>
      <w:pPr>
        <w:ind w:left="660" w:right="360" w:hanging="328"/>
        <w:spacing w:after="0" w:line="24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GM International Operations reported EBIT-adjusted of $0.3 billion, compared with EBIT-adjusted of $0.3 billion in the third quarter of 2013.</w:t>
      </w: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GM South America reported break-even results, compared with EBIT-adjusted of $0.3 billion in the third quarter of 2013.</w:t>
      </w:r>
    </w:p>
    <w:p>
      <w:pPr>
        <w:spacing w:after="0" w:line="38"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GM Financial reported earnings before tax of $0.2 billion, compared to $0.2 billion in the third quarter of 2013.</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 and Liquidity</w:t>
      </w:r>
    </w:p>
    <w:p>
      <w:pPr>
        <w:spacing w:after="0" w:line="266" w:lineRule="exact"/>
        <w:rPr>
          <w:sz w:val="20"/>
          <w:szCs w:val="20"/>
          <w:color w:val="auto"/>
        </w:rPr>
      </w:pPr>
    </w:p>
    <w:p>
      <w:pPr>
        <w:ind w:right="140"/>
        <w:spacing w:after="0" w:line="265" w:lineRule="auto"/>
        <w:rPr>
          <w:sz w:val="20"/>
          <w:szCs w:val="20"/>
          <w:color w:val="auto"/>
        </w:rPr>
      </w:pPr>
      <w:r>
        <w:rPr>
          <w:rFonts w:ascii="Arial" w:cs="Arial" w:eastAsia="Arial" w:hAnsi="Arial"/>
          <w:sz w:val="21"/>
          <w:szCs w:val="21"/>
          <w:color w:val="auto"/>
        </w:rPr>
        <w:t>For the quarter, automotive cash flow from operating activities was $0.7 billion and automotive free cash flow adjusted was $(0.8) billion, which was down from $1.3 billion a year ago. The decline in automotive free cash flow adjusted was primarily related to one extra weekly payment cycle to suppliers during the quarter compared with the same quarter a year ago, and cash payments related to repairing recalled vehicles, including costs to expedite parts to dealers.</w:t>
      </w:r>
    </w:p>
    <w:p>
      <w:pPr>
        <w:spacing w:after="0" w:line="216"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GM ended the quarter with total automotive liquidity of $36.6 billion. Automotive cash and marketable securities was $26.1 billion compared with $28.4 billion for the second quarter of 2014.</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“Strong performance in North America, where we achieved a 9.5 percent margin, anchored our overall results,” said Chuck Stevens, GM executive vice president and chief financial officer. “We remain focused on flawlessly launching key vehicles globally in the coming months, while delivering a positive experience for our customers.”</w:t>
      </w:r>
    </w:p>
    <w:p>
      <w:pPr>
        <w:spacing w:after="0" w:line="226"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Key vehicle launches taking place in the fourth quarter include the recently introduced GMC Canyon and Chevrolet Colorado mid-sized pickups in the U.S., the Cadillac ATS-L, Buick Envision and Chevrolet Cruze in China, and the Opel Corsa and ADAM ROCKS in Europe. The company also has introduced 4G LTE high-speed mobile broadband in 33 vehicles this year, more than the rest of the industry combined, and plans to introduce it on more than a dozen additional models by the end of 2015.</w:t>
      </w:r>
    </w:p>
    <w:p>
      <w:pPr>
        <w:spacing w:after="0" w:line="1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00" w:type="dxa"/>
            <w:vAlign w:val="bottom"/>
            <w:gridSpan w:val="2"/>
          </w:tcPr>
          <w:p>
            <w:pPr>
              <w:jc w:val="right"/>
              <w:ind w:right="1530"/>
              <w:spacing w:after="0"/>
              <w:rPr>
                <w:sz w:val="20"/>
                <w:szCs w:val="20"/>
                <w:color w:val="auto"/>
              </w:rPr>
            </w:pPr>
            <w:r>
              <w:rPr>
                <w:rFonts w:ascii="Arial" w:cs="Arial" w:eastAsia="Arial" w:hAnsi="Arial"/>
                <w:sz w:val="18"/>
                <w:szCs w:val="18"/>
                <w:color w:val="auto"/>
              </w:rPr>
              <w:t># # #</w:t>
            </w:r>
          </w:p>
        </w:tc>
      </w:tr>
      <w:tr>
        <w:trPr>
          <w:trHeight w:val="432"/>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80"/>
        </w:trPr>
        <w:tc>
          <w:tcPr>
            <w:tcW w:w="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17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Randy Arickx</w:t>
            </w:r>
          </w:p>
        </w:tc>
      </w:tr>
      <w:tr>
        <w:trPr>
          <w:trHeight w:val="216"/>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313-410-2704</w:t>
            </w:r>
          </w:p>
        </w:tc>
        <w:tc>
          <w:tcPr>
            <w:tcW w:w="2040" w:type="dxa"/>
            <w:vAlign w:val="bottom"/>
          </w:tcPr>
          <w:p>
            <w:pPr>
              <w:spacing w:after="0"/>
              <w:rPr>
                <w:sz w:val="18"/>
                <w:szCs w:val="18"/>
                <w:color w:val="auto"/>
              </w:rPr>
            </w:pPr>
          </w:p>
        </w:tc>
        <w:tc>
          <w:tcPr>
            <w:tcW w:w="3500" w:type="dxa"/>
            <w:vAlign w:val="bottom"/>
            <w:gridSpan w:val="2"/>
          </w:tcPr>
          <w:p>
            <w:pPr>
              <w:ind w:left="1720"/>
              <w:spacing w:after="0"/>
              <w:rPr>
                <w:sz w:val="20"/>
                <w:szCs w:val="20"/>
                <w:color w:val="auto"/>
              </w:rPr>
            </w:pPr>
            <w:r>
              <w:rPr>
                <w:rFonts w:ascii="Arial" w:cs="Arial" w:eastAsia="Arial" w:hAnsi="Arial"/>
                <w:sz w:val="18"/>
                <w:szCs w:val="18"/>
                <w:color w:val="auto"/>
              </w:rPr>
              <w:t>313-268-7070</w:t>
            </w:r>
          </w:p>
        </w:tc>
      </w:tr>
      <w:tr>
        <w:trPr>
          <w:trHeight w:val="216"/>
        </w:trPr>
        <w:tc>
          <w:tcPr>
            <w:tcW w:w="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Global Financial Communications</w:t>
            </w:r>
          </w:p>
        </w:tc>
        <w:tc>
          <w:tcPr>
            <w:tcW w:w="17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190"/>
        </w:trPr>
        <w:tc>
          <w:tcPr>
            <w:tcW w:w="40" w:type="dxa"/>
            <w:vAlign w:val="bottom"/>
          </w:tcPr>
          <w:p>
            <w:pPr>
              <w:spacing w:after="0"/>
              <w:rPr>
                <w:sz w:val="16"/>
                <w:szCs w:val="16"/>
                <w:color w:val="auto"/>
              </w:rPr>
            </w:pPr>
          </w:p>
        </w:tc>
        <w:tc>
          <w:tcPr>
            <w:tcW w:w="194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tom.e.henderson@gm.com</w:t>
            </w:r>
          </w:p>
        </w:tc>
        <w:tc>
          <w:tcPr>
            <w:tcW w:w="2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1"/>
              </w:rPr>
              <w:t>randy.c.arickx@gm.com</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 this press release and in related comments by our management, our use of the words “plans,” “expect,” “anticipate,” “possible,” “potential,” “target,” “believe,” “commit,” “intend,” “continue,” “may,” “would,” “could,” “should,” “project,”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7" w:right="2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t>“appears,” “projected,” “potential,” “positioned,” “outlook,” “upside”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our ability to remain competitive in Korea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6" w:name="page7"/>
    <w:bookmarkEnd w:id="6"/>
    <w:p>
      <w:pPr>
        <w:jc w:val="center"/>
        <w:ind w:left="980"/>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The accompanying tables and charts include earnings before interest and taxes adjusted for special items, presented net of noncontrolling interests (EBIT-adjusted) and Automotive adjusted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87" w:lineRule="exact"/>
        <w:rPr>
          <w:sz w:val="20"/>
          <w:szCs w:val="20"/>
          <w:color w:val="auto"/>
        </w:rPr>
      </w:pPr>
    </w:p>
    <w:p>
      <w:pPr>
        <w:ind w:right="100" w:firstLine="162"/>
        <w:spacing w:after="0" w:line="297" w:lineRule="auto"/>
        <w:rPr>
          <w:sz w:val="20"/>
          <w:szCs w:val="20"/>
          <w:color w:val="auto"/>
        </w:rPr>
      </w:pPr>
      <w:r>
        <w:rPr>
          <w:rFonts w:ascii="Arial" w:cs="Arial" w:eastAsia="Arial" w:hAnsi="Arial"/>
          <w:sz w:val="16"/>
          <w:szCs w:val="16"/>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58" w:lineRule="exact"/>
        <w:rPr>
          <w:sz w:val="20"/>
          <w:szCs w:val="20"/>
          <w:color w:val="auto"/>
        </w:rPr>
      </w:pPr>
    </w:p>
    <w:p>
      <w:pPr>
        <w:jc w:val="both"/>
        <w:ind w:right="120" w:firstLine="162"/>
        <w:spacing w:after="0" w:line="302" w:lineRule="auto"/>
        <w:rPr>
          <w:sz w:val="20"/>
          <w:szCs w:val="20"/>
          <w:color w:val="auto"/>
        </w:rPr>
      </w:pPr>
      <w:r>
        <w:rPr>
          <w:rFonts w:ascii="Arial" w:cs="Arial" w:eastAsia="Arial" w:hAnsi="Arial"/>
          <w:sz w:val="16"/>
          <w:szCs w:val="16"/>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related U.S. GAAP measures.</w:t>
      </w:r>
    </w:p>
    <w:p>
      <w:pPr>
        <w:spacing w:after="0" w:line="154"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The following table summarizes the reconciliation of EBIT-adjusted to its most comparable U.S. GAAP measure, Income before income taxes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8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Operating segments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GM North America (GMNA)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GM Europe (GME)(a)</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GM International Operations (GMIO)(a)</w:t>
            </w:r>
          </w:p>
        </w:tc>
        <w:tc>
          <w:tcPr>
            <w:tcW w:w="1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GM South America (GMSA)</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General Motors Financial Company, Inc. (GM Financial)(b)</w:t>
            </w:r>
          </w:p>
        </w:tc>
        <w:tc>
          <w:tcPr>
            <w:tcW w:w="1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Total operating segments(c)</w:t>
            </w:r>
          </w:p>
        </w:tc>
        <w:tc>
          <w:tcPr>
            <w:tcW w:w="14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EBIT-adjusted(c)</w:t>
            </w:r>
          </w:p>
        </w:tc>
        <w:tc>
          <w:tcPr>
            <w:tcW w:w="14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2,263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2,637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4,080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6,679</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Automotive interest income</w:t>
            </w:r>
          </w:p>
        </w:tc>
        <w:tc>
          <w:tcPr>
            <w:tcW w:w="1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Gain (loss) on extinguishment of debt</w:t>
            </w:r>
          </w:p>
        </w:tc>
        <w:tc>
          <w:tcPr>
            <w:tcW w:w="1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1,869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2,547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1,958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6,271</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right="280" w:hanging="252"/>
        <w:spacing w:after="0" w:line="246"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our Russian subsidiaries previously reported in our GMIO segment to our GME segment. Prior year segment results have been reclassified so all information is shown on a comparable basis. Consolidated results are unaffected by this change.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right="540" w:hanging="252"/>
        <w:spacing w:after="0" w:line="257"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and interest expense are recorded centrally in Corporate; therefore, there are no reconciling items for GM's automotive operating segments between EBIT-adjusted and Income before income taxes.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2014 special items consisted of charges related to flood damage of $132 million in GMNA; property and intangible asset impairment charges of $194 million related to our Russian subsidiaries in GME; and other of $5 million.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2014 special items consisted of a catch-up adjustment related to the change in estimate for recall campaigns of $874 million and charges related to flood damage of $132 million in GMNA; property and intangible asset impairment charges of $194 million related to our Russian subsidiaries in GME; Venezuela currency devaluation of $419 million in GMSA; a charge related to the ignition switch recall compensation program of $400 million in Corporate; and other of $8 million.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2013 special items consisted of Goodwill impairment charges of $48 million in GMIO, which is presented net of noncontrolling interests.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2013 special items consisted of the acquisition of GM Korea preferred shares of $67 million and Goodwill impairment charges of $48 million in GMIO, which is presented net of noncontrolling interests; Venezuela currency devaluation of $162 million in GMSA; and other of $29 million.</w:t>
      </w:r>
    </w:p>
    <w:p>
      <w:pPr>
        <w:spacing w:after="0" w:line="181"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Automotive adjusted free cash flow to Automotive net cash provided by operating activities (dollars in millions):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2"/>
              </w:rPr>
              <w:t>Three Months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Borders>
              <w:bottom w:val="single" w:sz="8" w:color="auto"/>
            </w:tcBorders>
          </w:tcPr>
          <w:p>
            <w:pPr>
              <w:spacing w:after="0"/>
              <w:rPr>
                <w:sz w:val="15"/>
                <w:szCs w:val="15"/>
                <w:color w:val="auto"/>
              </w:rPr>
            </w:pPr>
          </w:p>
        </w:tc>
      </w:tr>
      <w:tr>
        <w:trPr>
          <w:trHeight w:val="264"/>
        </w:trPr>
        <w:tc>
          <w:tcPr>
            <w:tcW w:w="6200" w:type="dxa"/>
            <w:vAlign w:val="bottom"/>
          </w:tcPr>
          <w:p>
            <w:pPr>
              <w:spacing w:after="0"/>
              <w:rPr>
                <w:sz w:val="22"/>
                <w:szCs w:val="22"/>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September 30, 2014</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September 30, 2013</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September 30, 2014</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September 30, 2013</w:t>
            </w:r>
          </w:p>
        </w:tc>
      </w:tr>
      <w:tr>
        <w:trPr>
          <w:trHeight w:val="226"/>
        </w:trPr>
        <w:tc>
          <w:tcPr>
            <w:tcW w:w="6200" w:type="dxa"/>
            <w:vAlign w:val="bottom"/>
          </w:tcPr>
          <w:p>
            <w:pPr>
              <w:spacing w:after="0"/>
              <w:rPr>
                <w:sz w:val="20"/>
                <w:szCs w:val="20"/>
                <w:color w:val="auto"/>
              </w:rPr>
            </w:pPr>
            <w:r>
              <w:rPr>
                <w:rFonts w:ascii="Arial" w:cs="Arial" w:eastAsia="Arial" w:hAnsi="Arial"/>
                <w:sz w:val="17"/>
                <w:szCs w:val="17"/>
                <w:color w:val="auto"/>
              </w:rPr>
              <w:t>Automotive adjusted free cash flow</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Pr>
          <w:p>
            <w:pPr>
              <w:spacing w:after="0"/>
              <w:rPr>
                <w:sz w:val="19"/>
                <w:szCs w:val="19"/>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19"/>
                <w:szCs w:val="19"/>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1,347</w:t>
            </w:r>
          </w:p>
        </w:tc>
        <w:tc>
          <w:tcPr>
            <w:tcW w:w="100" w:type="dxa"/>
            <w:vAlign w:val="bottom"/>
          </w:tcPr>
          <w:p>
            <w:pPr>
              <w:spacing w:after="0"/>
              <w:rPr>
                <w:sz w:val="19"/>
                <w:szCs w:val="19"/>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2,570</w:t>
            </w:r>
          </w:p>
        </w:tc>
      </w:tr>
      <w:tr>
        <w:trPr>
          <w:trHeight w:val="270"/>
        </w:trPr>
        <w:tc>
          <w:tcPr>
            <w:tcW w:w="6200" w:type="dxa"/>
            <w:vAlign w:val="bottom"/>
          </w:tcPr>
          <w:p>
            <w:pPr>
              <w:spacing w:after="0"/>
              <w:rPr>
                <w:sz w:val="20"/>
                <w:szCs w:val="20"/>
                <w:color w:val="auto"/>
              </w:rPr>
            </w:pPr>
            <w:r>
              <w:rPr>
                <w:rFonts w:ascii="Arial" w:cs="Arial" w:eastAsia="Arial" w:hAnsi="Arial"/>
                <w:sz w:val="17"/>
                <w:szCs w:val="17"/>
                <w:color w:val="auto"/>
              </w:rPr>
              <w:t>Less: Adjustments</w:t>
            </w:r>
          </w:p>
        </w:tc>
        <w:tc>
          <w:tcPr>
            <w:tcW w:w="380" w:type="dxa"/>
            <w:vAlign w:val="bottom"/>
          </w:tcPr>
          <w:p>
            <w:pPr>
              <w:spacing w:after="0"/>
              <w:rPr>
                <w:sz w:val="23"/>
                <w:szCs w:val="23"/>
                <w:color w:val="auto"/>
              </w:rPr>
            </w:pP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3"/>
                <w:szCs w:val="23"/>
                <w:color w:val="auto"/>
              </w:rPr>
            </w:pPr>
          </w:p>
        </w:tc>
        <w:tc>
          <w:tcPr>
            <w:tcW w:w="820" w:type="dxa"/>
            <w:vAlign w:val="bottom"/>
          </w:tcPr>
          <w:p>
            <w:pPr>
              <w:jc w:val="right"/>
              <w:ind w:right="38"/>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71</w:t>
            </w:r>
          </w:p>
        </w:tc>
      </w:tr>
      <w:tr>
        <w:trPr>
          <w:trHeight w:val="31"/>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9"/>
        </w:trPr>
        <w:tc>
          <w:tcPr>
            <w:tcW w:w="6200" w:type="dxa"/>
            <w:vAlign w:val="bottom"/>
          </w:tcPr>
          <w:p>
            <w:pPr>
              <w:spacing w:after="0"/>
              <w:rPr>
                <w:sz w:val="20"/>
                <w:szCs w:val="20"/>
                <w:color w:val="auto"/>
              </w:rPr>
            </w:pPr>
            <w:r>
              <w:rPr>
                <w:rFonts w:ascii="Arial" w:cs="Arial" w:eastAsia="Arial" w:hAnsi="Arial"/>
                <w:sz w:val="17"/>
                <w:szCs w:val="17"/>
                <w:color w:val="auto"/>
              </w:rPr>
              <w:t>Automotive free cash flow</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2,499</w:t>
            </w:r>
          </w:p>
        </w:tc>
      </w:tr>
      <w:tr>
        <w:trPr>
          <w:trHeight w:val="270"/>
        </w:trPr>
        <w:tc>
          <w:tcPr>
            <w:tcW w:w="6200" w:type="dxa"/>
            <w:vAlign w:val="bottom"/>
          </w:tcPr>
          <w:p>
            <w:pPr>
              <w:spacing w:after="0"/>
              <w:rPr>
                <w:sz w:val="20"/>
                <w:szCs w:val="20"/>
                <w:color w:val="auto"/>
              </w:rPr>
            </w:pPr>
            <w:r>
              <w:rPr>
                <w:rFonts w:ascii="Arial" w:cs="Arial" w:eastAsia="Arial" w:hAnsi="Arial"/>
                <w:sz w:val="17"/>
                <w:szCs w:val="17"/>
                <w:color w:val="auto"/>
              </w:rPr>
              <w:t>Capital expenditures</w:t>
            </w:r>
          </w:p>
        </w:tc>
        <w:tc>
          <w:tcPr>
            <w:tcW w:w="380" w:type="dxa"/>
            <w:vAlign w:val="bottom"/>
          </w:tcPr>
          <w:p>
            <w:pPr>
              <w:spacing w:after="0"/>
              <w:rPr>
                <w:sz w:val="23"/>
                <w:szCs w:val="23"/>
                <w:color w:val="auto"/>
              </w:rPr>
            </w:pP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1,642</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1,941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38"/>
              <w:spacing w:after="0"/>
              <w:rPr>
                <w:sz w:val="20"/>
                <w:szCs w:val="20"/>
                <w:color w:val="auto"/>
              </w:rPr>
            </w:pPr>
            <w:r>
              <w:rPr>
                <w:rFonts w:ascii="Arial" w:cs="Arial" w:eastAsia="Arial" w:hAnsi="Arial"/>
                <w:sz w:val="17"/>
                <w:szCs w:val="17"/>
                <w:color w:val="auto"/>
              </w:rPr>
              <w:t>5,052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5,770</w:t>
            </w:r>
          </w:p>
        </w:tc>
      </w:tr>
      <w:tr>
        <w:trPr>
          <w:trHeight w:val="31"/>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6200" w:type="dxa"/>
            <w:vAlign w:val="bottom"/>
          </w:tcPr>
          <w:p>
            <w:pPr>
              <w:spacing w:after="0"/>
              <w:rPr>
                <w:sz w:val="20"/>
                <w:szCs w:val="20"/>
                <w:color w:val="auto"/>
              </w:rPr>
            </w:pPr>
            <w:r>
              <w:rPr>
                <w:rFonts w:ascii="Arial" w:cs="Arial" w:eastAsia="Arial" w:hAnsi="Arial"/>
                <w:sz w:val="17"/>
                <w:szCs w:val="17"/>
                <w:b w:val="1"/>
                <w:bCs w:val="1"/>
                <w:color w:val="auto"/>
              </w:rPr>
              <w:t>Automotive net cash provided by operating activities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744</w:t>
            </w:r>
          </w:p>
        </w:tc>
        <w:tc>
          <w:tcPr>
            <w:tcW w:w="120" w:type="dxa"/>
            <w:vAlign w:val="bottom"/>
          </w:tcPr>
          <w:p>
            <w:pPr>
              <w:spacing w:after="0"/>
              <w:rPr>
                <w:sz w:val="21"/>
                <w:szCs w:val="21"/>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3,271</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6,346</w:t>
            </w:r>
          </w:p>
        </w:tc>
        <w:tc>
          <w:tcPr>
            <w:tcW w:w="100" w:type="dxa"/>
            <w:vAlign w:val="bottom"/>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8,269</w:t>
            </w:r>
          </w:p>
        </w:tc>
      </w:tr>
      <w:tr>
        <w:trPr>
          <w:trHeight w:val="20"/>
        </w:trPr>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free cash flow included pension contributions of $53 million and $71 million related to the previously announced annuitization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salaried pension plan in the nine months ended September 30, 2014 and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GMIO</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130"/>
        </w:trPr>
        <w:tc>
          <w:tcPr>
            <w:tcW w:w="256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64"/>
        </w:trPr>
        <w:tc>
          <w:tcPr>
            <w:tcW w:w="2560" w:type="dxa"/>
            <w:vAlign w:val="bottom"/>
          </w:tcPr>
          <w:p>
            <w:pPr>
              <w:ind w:left="40"/>
              <w:spacing w:after="0"/>
              <w:rPr>
                <w:sz w:val="20"/>
                <w:szCs w:val="20"/>
                <w:color w:val="auto"/>
              </w:rPr>
            </w:pPr>
            <w:r>
              <w:rPr>
                <w:rFonts w:ascii="Arial" w:cs="Arial" w:eastAsia="Arial" w:hAnsi="Arial"/>
                <w:sz w:val="13"/>
                <w:szCs w:val="13"/>
                <w:b w:val="1"/>
                <w:bCs w:val="1"/>
                <w:color w:val="auto"/>
              </w:rPr>
              <w:t>September 30, 2014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25,816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5,226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3,716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3,202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37,999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1,261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39,255</w:t>
            </w:r>
          </w:p>
        </w:tc>
      </w:tr>
      <w:tr>
        <w:trPr>
          <w:trHeight w:val="392"/>
        </w:trPr>
        <w:tc>
          <w:tcPr>
            <w:tcW w:w="256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1,219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1,642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1,664</w:t>
            </w:r>
          </w:p>
        </w:tc>
      </w:tr>
      <w:tr>
        <w:trPr>
          <w:trHeight w:val="285"/>
        </w:trPr>
        <w:tc>
          <w:tcPr>
            <w:tcW w:w="2560" w:type="dxa"/>
            <w:vAlign w:val="bottom"/>
          </w:tcPr>
          <w:p>
            <w:pPr>
              <w:ind w:left="40"/>
              <w:spacing w:after="0"/>
              <w:rPr>
                <w:sz w:val="20"/>
                <w:szCs w:val="20"/>
                <w:color w:val="auto"/>
              </w:rPr>
            </w:pPr>
            <w:r>
              <w:rPr>
                <w:rFonts w:ascii="Arial" w:cs="Arial" w:eastAsia="Arial" w:hAnsi="Arial"/>
                <w:sz w:val="13"/>
                <w:szCs w:val="13"/>
                <w:color w:val="auto"/>
                <w:w w:val="96"/>
              </w:rPr>
              <w:t>Depreciation, amortization and impairment of</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5"/>
        </w:trPr>
        <w:tc>
          <w:tcPr>
            <w:tcW w:w="2560" w:type="dxa"/>
            <w:vAlign w:val="bottom"/>
          </w:tcPr>
          <w:p>
            <w:pPr>
              <w:ind w:left="200"/>
              <w:spacing w:after="0" w:line="135" w:lineRule="exact"/>
              <w:rPr>
                <w:sz w:val="20"/>
                <w:szCs w:val="20"/>
                <w:color w:val="auto"/>
              </w:rPr>
            </w:pPr>
            <w:r>
              <w:rPr>
                <w:rFonts w:ascii="Arial" w:cs="Arial" w:eastAsia="Arial" w:hAnsi="Arial"/>
                <w:sz w:val="13"/>
                <w:szCs w:val="13"/>
                <w:color w:val="auto"/>
                <w:w w:val="96"/>
              </w:rPr>
              <w:t>long-lived assets and finite-lived intangible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0"/>
        </w:trPr>
        <w:tc>
          <w:tcPr>
            <w:tcW w:w="2560" w:type="dxa"/>
            <w:vAlign w:val="bottom"/>
          </w:tcPr>
          <w:p>
            <w:pPr>
              <w:ind w:left="200"/>
              <w:spacing w:after="0"/>
              <w:rPr>
                <w:sz w:val="20"/>
                <w:szCs w:val="20"/>
                <w:color w:val="auto"/>
              </w:rPr>
            </w:pPr>
            <w:r>
              <w:rPr>
                <w:rFonts w:ascii="Arial" w:cs="Arial" w:eastAsia="Arial" w:hAnsi="Arial"/>
                <w:sz w:val="13"/>
                <w:szCs w:val="13"/>
                <w:color w:val="auto"/>
              </w:rPr>
              <w:t>assets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1,023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1,622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1,870</w:t>
            </w:r>
          </w:p>
        </w:tc>
      </w:tr>
      <w:tr>
        <w:trPr>
          <w:trHeight w:val="392"/>
        </w:trPr>
        <w:tc>
          <w:tcPr>
            <w:tcW w:w="256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490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497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497</w:t>
            </w:r>
          </w:p>
        </w:tc>
      </w:tr>
      <w:tr>
        <w:trPr>
          <w:trHeight w:val="281"/>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GMIO</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130"/>
        </w:trPr>
        <w:tc>
          <w:tcPr>
            <w:tcW w:w="256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64"/>
        </w:trPr>
        <w:tc>
          <w:tcPr>
            <w:tcW w:w="2560" w:type="dxa"/>
            <w:vAlign w:val="bottom"/>
          </w:tcPr>
          <w:p>
            <w:pPr>
              <w:ind w:left="40"/>
              <w:spacing w:after="0"/>
              <w:rPr>
                <w:sz w:val="20"/>
                <w:szCs w:val="20"/>
                <w:color w:val="auto"/>
              </w:rPr>
            </w:pPr>
            <w:r>
              <w:rPr>
                <w:rFonts w:ascii="Arial" w:cs="Arial" w:eastAsia="Arial" w:hAnsi="Arial"/>
                <w:sz w:val="13"/>
                <w:szCs w:val="13"/>
                <w:b w:val="1"/>
                <w:bCs w:val="1"/>
                <w:color w:val="auto"/>
              </w:rPr>
              <w:t>September 30, 2013(a)</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23,508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5,376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4,818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4,381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38,122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867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38,983</w:t>
            </w:r>
          </w:p>
        </w:tc>
      </w:tr>
      <w:tr>
        <w:trPr>
          <w:trHeight w:val="405"/>
        </w:trPr>
        <w:tc>
          <w:tcPr>
            <w:tcW w:w="256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1,458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1,941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1,947</w:t>
            </w:r>
          </w:p>
        </w:tc>
      </w:tr>
      <w:tr>
        <w:trPr>
          <w:trHeight w:val="285"/>
        </w:trPr>
        <w:tc>
          <w:tcPr>
            <w:tcW w:w="2560" w:type="dxa"/>
            <w:vAlign w:val="bottom"/>
          </w:tcPr>
          <w:p>
            <w:pPr>
              <w:ind w:left="40"/>
              <w:spacing w:after="0"/>
              <w:rPr>
                <w:sz w:val="20"/>
                <w:szCs w:val="20"/>
                <w:color w:val="auto"/>
              </w:rPr>
            </w:pPr>
            <w:r>
              <w:rPr>
                <w:rFonts w:ascii="Arial" w:cs="Arial" w:eastAsia="Arial" w:hAnsi="Arial"/>
                <w:sz w:val="13"/>
                <w:szCs w:val="13"/>
                <w:color w:val="auto"/>
                <w:w w:val="96"/>
              </w:rPr>
              <w:t>Depreciation, amortization and impairment of</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5"/>
        </w:trPr>
        <w:tc>
          <w:tcPr>
            <w:tcW w:w="2560" w:type="dxa"/>
            <w:vAlign w:val="bottom"/>
          </w:tcPr>
          <w:p>
            <w:pPr>
              <w:ind w:left="200"/>
              <w:spacing w:after="0" w:line="135" w:lineRule="exact"/>
              <w:rPr>
                <w:sz w:val="20"/>
                <w:szCs w:val="20"/>
                <w:color w:val="auto"/>
              </w:rPr>
            </w:pPr>
            <w:r>
              <w:rPr>
                <w:rFonts w:ascii="Arial" w:cs="Arial" w:eastAsia="Arial" w:hAnsi="Arial"/>
                <w:sz w:val="13"/>
                <w:szCs w:val="13"/>
                <w:color w:val="auto"/>
                <w:w w:val="96"/>
              </w:rPr>
              <w:t>long-lived assets and finite-lived intangible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0"/>
        </w:trPr>
        <w:tc>
          <w:tcPr>
            <w:tcW w:w="2560" w:type="dxa"/>
            <w:vAlign w:val="bottom"/>
          </w:tcPr>
          <w:p>
            <w:pPr>
              <w:ind w:left="200"/>
              <w:spacing w:after="0"/>
              <w:rPr>
                <w:sz w:val="20"/>
                <w:szCs w:val="20"/>
                <w:color w:val="auto"/>
              </w:rPr>
            </w:pPr>
            <w:r>
              <w:rPr>
                <w:rFonts w:ascii="Arial" w:cs="Arial" w:eastAsia="Arial" w:hAnsi="Arial"/>
                <w:sz w:val="13"/>
                <w:szCs w:val="13"/>
                <w:color w:val="auto"/>
              </w:rPr>
              <w:t>assets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998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1,392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1,535</w:t>
            </w:r>
          </w:p>
        </w:tc>
      </w:tr>
      <w:tr>
        <w:trPr>
          <w:trHeight w:val="392"/>
        </w:trPr>
        <w:tc>
          <w:tcPr>
            <w:tcW w:w="256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436</w:t>
            </w:r>
          </w:p>
        </w:tc>
      </w:tr>
      <w:tr>
        <w:trPr>
          <w:trHeight w:val="281"/>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GMIO</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130"/>
        </w:trPr>
        <w:tc>
          <w:tcPr>
            <w:tcW w:w="256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64"/>
        </w:trPr>
        <w:tc>
          <w:tcPr>
            <w:tcW w:w="2560" w:type="dxa"/>
            <w:vAlign w:val="bottom"/>
          </w:tcPr>
          <w:p>
            <w:pPr>
              <w:ind w:left="40"/>
              <w:spacing w:after="0"/>
              <w:rPr>
                <w:sz w:val="20"/>
                <w:szCs w:val="20"/>
                <w:color w:val="auto"/>
              </w:rPr>
            </w:pPr>
            <w:r>
              <w:rPr>
                <w:rFonts w:ascii="Arial" w:cs="Arial" w:eastAsia="Arial" w:hAnsi="Arial"/>
                <w:sz w:val="13"/>
                <w:szCs w:val="13"/>
                <w:b w:val="1"/>
                <w:bCs w:val="1"/>
                <w:color w:val="auto"/>
              </w:rPr>
              <w:t>September 30, 2014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75,891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16,820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10,548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9,404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112,776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3,549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w w:val="97"/>
              </w:rPr>
              <w:t>116,312</w:t>
            </w:r>
          </w:p>
        </w:tc>
      </w:tr>
      <w:tr>
        <w:trPr>
          <w:trHeight w:val="392"/>
        </w:trPr>
        <w:tc>
          <w:tcPr>
            <w:tcW w:w="256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3,567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5,052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5,089</w:t>
            </w:r>
          </w:p>
        </w:tc>
      </w:tr>
      <w:tr>
        <w:trPr>
          <w:trHeight w:val="285"/>
        </w:trPr>
        <w:tc>
          <w:tcPr>
            <w:tcW w:w="2560" w:type="dxa"/>
            <w:vAlign w:val="bottom"/>
          </w:tcPr>
          <w:p>
            <w:pPr>
              <w:ind w:left="40"/>
              <w:spacing w:after="0"/>
              <w:rPr>
                <w:sz w:val="20"/>
                <w:szCs w:val="20"/>
                <w:color w:val="auto"/>
              </w:rPr>
            </w:pPr>
            <w:r>
              <w:rPr>
                <w:rFonts w:ascii="Arial" w:cs="Arial" w:eastAsia="Arial" w:hAnsi="Arial"/>
                <w:sz w:val="13"/>
                <w:szCs w:val="13"/>
                <w:color w:val="auto"/>
                <w:w w:val="96"/>
              </w:rPr>
              <w:t>Depreciation, amortization and impairment of</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5"/>
        </w:trPr>
        <w:tc>
          <w:tcPr>
            <w:tcW w:w="2560" w:type="dxa"/>
            <w:vAlign w:val="bottom"/>
          </w:tcPr>
          <w:p>
            <w:pPr>
              <w:ind w:left="200"/>
              <w:spacing w:after="0" w:line="135" w:lineRule="exact"/>
              <w:rPr>
                <w:sz w:val="20"/>
                <w:szCs w:val="20"/>
                <w:color w:val="auto"/>
              </w:rPr>
            </w:pPr>
            <w:r>
              <w:rPr>
                <w:rFonts w:ascii="Arial" w:cs="Arial" w:eastAsia="Arial" w:hAnsi="Arial"/>
                <w:sz w:val="13"/>
                <w:szCs w:val="13"/>
                <w:color w:val="auto"/>
                <w:w w:val="96"/>
              </w:rPr>
              <w:t>long-lived assets and finite-lived intangible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0"/>
        </w:trPr>
        <w:tc>
          <w:tcPr>
            <w:tcW w:w="2560" w:type="dxa"/>
            <w:vAlign w:val="bottom"/>
          </w:tcPr>
          <w:p>
            <w:pPr>
              <w:ind w:left="200"/>
              <w:spacing w:after="0"/>
              <w:rPr>
                <w:sz w:val="20"/>
                <w:szCs w:val="20"/>
                <w:color w:val="auto"/>
              </w:rPr>
            </w:pPr>
            <w:r>
              <w:rPr>
                <w:rFonts w:ascii="Arial" w:cs="Arial" w:eastAsia="Arial" w:hAnsi="Arial"/>
                <w:sz w:val="13"/>
                <w:szCs w:val="13"/>
                <w:color w:val="auto"/>
              </w:rPr>
              <w:t>assets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3,336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482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4,673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5,296</w:t>
            </w:r>
          </w:p>
        </w:tc>
      </w:tr>
      <w:tr>
        <w:trPr>
          <w:trHeight w:val="392"/>
        </w:trPr>
        <w:tc>
          <w:tcPr>
            <w:tcW w:w="256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1,604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1,625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1,625</w:t>
            </w:r>
          </w:p>
        </w:tc>
      </w:tr>
      <w:tr>
        <w:trPr>
          <w:trHeight w:val="281"/>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GMIO</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130"/>
        </w:trPr>
        <w:tc>
          <w:tcPr>
            <w:tcW w:w="2560" w:type="dxa"/>
            <w:vAlign w:val="bottom"/>
          </w:tcPr>
          <w:p>
            <w:pPr>
              <w:ind w:left="40"/>
              <w:spacing w:after="0" w:line="131"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64"/>
        </w:trPr>
        <w:tc>
          <w:tcPr>
            <w:tcW w:w="2560" w:type="dxa"/>
            <w:vAlign w:val="bottom"/>
          </w:tcPr>
          <w:p>
            <w:pPr>
              <w:ind w:left="40"/>
              <w:spacing w:after="0"/>
              <w:rPr>
                <w:sz w:val="20"/>
                <w:szCs w:val="20"/>
                <w:color w:val="auto"/>
              </w:rPr>
            </w:pPr>
            <w:r>
              <w:rPr>
                <w:rFonts w:ascii="Arial" w:cs="Arial" w:eastAsia="Arial" w:hAnsi="Arial"/>
                <w:sz w:val="13"/>
                <w:szCs w:val="13"/>
                <w:b w:val="1"/>
                <w:bCs w:val="1"/>
                <w:color w:val="auto"/>
              </w:rPr>
              <w:t>September 30, 2013(a)</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69,982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16,254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13,982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12,380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112,712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2,243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w w:val="97"/>
              </w:rPr>
              <w:t>114,942</w:t>
            </w:r>
          </w:p>
        </w:tc>
      </w:tr>
      <w:tr>
        <w:trPr>
          <w:trHeight w:val="392"/>
        </w:trPr>
        <w:tc>
          <w:tcPr>
            <w:tcW w:w="256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4,197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562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577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5,770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5,780</w:t>
            </w:r>
          </w:p>
        </w:tc>
      </w:tr>
      <w:tr>
        <w:trPr>
          <w:trHeight w:val="285"/>
        </w:trPr>
        <w:tc>
          <w:tcPr>
            <w:tcW w:w="2560" w:type="dxa"/>
            <w:vAlign w:val="bottom"/>
          </w:tcPr>
          <w:p>
            <w:pPr>
              <w:ind w:left="40"/>
              <w:spacing w:after="0"/>
              <w:rPr>
                <w:sz w:val="20"/>
                <w:szCs w:val="20"/>
                <w:color w:val="auto"/>
              </w:rPr>
            </w:pPr>
            <w:r>
              <w:rPr>
                <w:rFonts w:ascii="Arial" w:cs="Arial" w:eastAsia="Arial" w:hAnsi="Arial"/>
                <w:sz w:val="13"/>
                <w:szCs w:val="13"/>
                <w:color w:val="auto"/>
                <w:w w:val="96"/>
              </w:rPr>
              <w:t>Depreciation, amortization and impairment of</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5"/>
        </w:trPr>
        <w:tc>
          <w:tcPr>
            <w:tcW w:w="2560" w:type="dxa"/>
            <w:vAlign w:val="bottom"/>
          </w:tcPr>
          <w:p>
            <w:pPr>
              <w:ind w:left="200"/>
              <w:spacing w:after="0" w:line="135" w:lineRule="exact"/>
              <w:rPr>
                <w:sz w:val="20"/>
                <w:szCs w:val="20"/>
                <w:color w:val="auto"/>
              </w:rPr>
            </w:pPr>
            <w:r>
              <w:rPr>
                <w:rFonts w:ascii="Arial" w:cs="Arial" w:eastAsia="Arial" w:hAnsi="Arial"/>
                <w:sz w:val="13"/>
                <w:szCs w:val="13"/>
                <w:color w:val="auto"/>
                <w:w w:val="96"/>
              </w:rPr>
              <w:t>long-lived assets and finite-lived intangible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0"/>
        </w:trPr>
        <w:tc>
          <w:tcPr>
            <w:tcW w:w="2560" w:type="dxa"/>
            <w:vAlign w:val="bottom"/>
          </w:tcPr>
          <w:p>
            <w:pPr>
              <w:ind w:left="200"/>
              <w:spacing w:after="0"/>
              <w:rPr>
                <w:sz w:val="20"/>
                <w:szCs w:val="20"/>
                <w:color w:val="auto"/>
              </w:rPr>
            </w:pPr>
            <w:r>
              <w:rPr>
                <w:rFonts w:ascii="Arial" w:cs="Arial" w:eastAsia="Arial" w:hAnsi="Arial"/>
                <w:sz w:val="13"/>
                <w:szCs w:val="13"/>
                <w:color w:val="auto"/>
              </w:rPr>
              <w:t>assets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2,938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560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4,248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340</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4,578</w:t>
            </w:r>
          </w:p>
        </w:tc>
      </w:tr>
      <w:tr>
        <w:trPr>
          <w:trHeight w:val="392"/>
        </w:trPr>
        <w:tc>
          <w:tcPr>
            <w:tcW w:w="256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1,382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1,420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1,420</w:t>
            </w:r>
          </w:p>
        </w:tc>
      </w:tr>
      <w:tr>
        <w:trPr>
          <w:trHeight w:val="209"/>
        </w:trPr>
        <w:tc>
          <w:tcPr>
            <w:tcW w:w="256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jc w:val="both"/>
        <w:ind w:left="260" w:right="420" w:hanging="252"/>
        <w:spacing w:after="0" w:line="25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its Russian subsidiaries previously reported in its GMIO segment to its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2014</w:t>
            </w:r>
          </w:p>
        </w:tc>
        <w:tc>
          <w:tcPr>
            <w:tcW w:w="166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 2013</w:t>
            </w:r>
          </w:p>
        </w:tc>
      </w:tr>
      <w:tr>
        <w:trPr>
          <w:trHeight w:val="243"/>
        </w:trPr>
        <w:tc>
          <w:tcPr>
            <w:tcW w:w="7940" w:type="dxa"/>
            <w:vAlign w:val="bottom"/>
          </w:tcPr>
          <w:p>
            <w:pPr>
              <w:spacing w:after="0"/>
              <w:rPr>
                <w:sz w:val="20"/>
                <w:szCs w:val="20"/>
                <w:color w:val="auto"/>
              </w:rPr>
            </w:pPr>
            <w:r>
              <w:rPr>
                <w:rFonts w:ascii="Arial" w:cs="Arial" w:eastAsia="Arial" w:hAnsi="Arial"/>
                <w:sz w:val="18"/>
                <w:szCs w:val="18"/>
                <w:b w:val="1"/>
                <w:bCs w:val="1"/>
                <w:color w:val="auto"/>
              </w:rPr>
              <w:t>Worldwide Employment (in thousands)</w:t>
            </w: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GMNA</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GME</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GMIO</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GMSA</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GM Financial</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79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Worldwide</w:t>
            </w: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22"/>
                <w:szCs w:val="22"/>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219</w:t>
            </w:r>
          </w:p>
        </w:tc>
      </w:tr>
      <w:tr>
        <w:trPr>
          <w:trHeight w:val="20"/>
        </w:trPr>
        <w:tc>
          <w:tcPr>
            <w:tcW w:w="79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500"/>
        </w:trPr>
        <w:tc>
          <w:tcPr>
            <w:tcW w:w="7940" w:type="dxa"/>
            <w:vAlign w:val="bottom"/>
          </w:tcPr>
          <w:p>
            <w:pPr>
              <w:spacing w:after="0"/>
              <w:rPr>
                <w:sz w:val="20"/>
                <w:szCs w:val="20"/>
                <w:color w:val="auto"/>
              </w:rPr>
            </w:pPr>
            <w:r>
              <w:rPr>
                <w:rFonts w:ascii="Arial" w:cs="Arial" w:eastAsia="Arial" w:hAnsi="Arial"/>
                <w:sz w:val="18"/>
                <w:szCs w:val="18"/>
                <w:color w:val="auto"/>
              </w:rPr>
              <w:t>U.S. - Salaried</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U.S. - Hourly</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and Retail Vehicle Sales</w:t>
      </w:r>
    </w:p>
    <w:p>
      <w:pPr>
        <w:spacing w:after="0" w:line="229" w:lineRule="exact"/>
        <w:rPr>
          <w:sz w:val="20"/>
          <w:szCs w:val="20"/>
          <w:color w:val="auto"/>
        </w:rPr>
      </w:pPr>
    </w:p>
    <w:p>
      <w:pPr>
        <w:jc w:val="both"/>
        <w:ind w:right="60" w:firstLine="162"/>
        <w:spacing w:after="0" w:line="259"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Worldwide market share and vehicle sales data exclude the markets of Cuba,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motor vehicles by automotive segment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4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GMNA</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GME(a)</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GMIO(a)</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GMSA</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color w:val="auto"/>
              </w:rPr>
              <w:t>Worldwide</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260" w:right="420" w:hanging="252"/>
        <w:spacing w:after="0" w:line="25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its Russian subsidiaries previously reported in its GMIO segment to its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Sales and Market Share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summarize total retail vehicle sales volume and market share by geographic region (vehicles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0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71"/>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b w:val="1"/>
                <w:bCs w:val="1"/>
                <w:color w:val="auto"/>
              </w:rPr>
              <w:t>Retail Vehicle Sales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United States</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Chevrolet - Cars</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Chevrolet - Trucks</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Chevrolet - Crossovers</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Cadillac</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Buick</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GMC</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160"/>
              <w:spacing w:after="0"/>
              <w:rPr>
                <w:sz w:val="20"/>
                <w:szCs w:val="20"/>
                <w:color w:val="auto"/>
              </w:rPr>
            </w:pPr>
            <w:r>
              <w:rPr>
                <w:rFonts w:ascii="Arial" w:cs="Arial" w:eastAsia="Arial" w:hAnsi="Arial"/>
                <w:sz w:val="18"/>
                <w:szCs w:val="18"/>
                <w:b w:val="1"/>
                <w:bCs w:val="1"/>
                <w:color w:val="auto"/>
              </w:rPr>
              <w:t>Total United States</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752</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2,208</w:t>
            </w:r>
          </w:p>
        </w:tc>
        <w:tc>
          <w:tcPr>
            <w:tcW w:w="1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2,117</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Canada, Mexico and Other</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160"/>
              <w:spacing w:after="0"/>
              <w:rPr>
                <w:sz w:val="20"/>
                <w:szCs w:val="20"/>
                <w:color w:val="auto"/>
              </w:rPr>
            </w:pPr>
            <w:r>
              <w:rPr>
                <w:rFonts w:ascii="Arial" w:cs="Arial" w:eastAsia="Arial" w:hAnsi="Arial"/>
                <w:sz w:val="18"/>
                <w:szCs w:val="18"/>
                <w:b w:val="1"/>
                <w:bCs w:val="1"/>
                <w:color w:val="auto"/>
              </w:rPr>
              <w:t>Total North America</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884</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808</w:t>
            </w:r>
          </w:p>
        </w:tc>
        <w:tc>
          <w:tcPr>
            <w:tcW w:w="1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2,559</w:t>
            </w:r>
          </w:p>
        </w:tc>
        <w:tc>
          <w:tcPr>
            <w:tcW w:w="1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2,449</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Arial" w:cs="Arial" w:eastAsia="Arial" w:hAnsi="Arial"/>
                <w:sz w:val="18"/>
                <w:szCs w:val="18"/>
                <w:color w:val="auto"/>
              </w:rPr>
              <w:t>Europe</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Opel/Vauxhall</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Chevrolet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160"/>
              <w:spacing w:after="0"/>
              <w:rPr>
                <w:sz w:val="20"/>
                <w:szCs w:val="20"/>
                <w:color w:val="auto"/>
              </w:rPr>
            </w:pPr>
            <w:r>
              <w:rPr>
                <w:rFonts w:ascii="Arial" w:cs="Arial" w:eastAsia="Arial" w:hAnsi="Arial"/>
                <w:sz w:val="18"/>
                <w:szCs w:val="18"/>
                <w:b w:val="1"/>
                <w:bCs w:val="1"/>
                <w:color w:val="auto"/>
              </w:rPr>
              <w:t>Total Europe</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284</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958</w:t>
            </w:r>
          </w:p>
        </w:tc>
        <w:tc>
          <w:tcPr>
            <w:tcW w:w="1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1,058</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Arial" w:cs="Arial" w:eastAsia="Arial" w:hAnsi="Arial"/>
                <w:sz w:val="18"/>
                <w:szCs w:val="18"/>
                <w:color w:val="auto"/>
              </w:rPr>
              <w:t>Asia/Pacific, Middle East and Africa</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Chevrolet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Wuling</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Buick</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Holden</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GMC</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Cadillac</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160"/>
              <w:spacing w:after="0"/>
              <w:rPr>
                <w:sz w:val="20"/>
                <w:szCs w:val="20"/>
                <w:color w:val="auto"/>
              </w:rPr>
            </w:pPr>
            <w:r>
              <w:rPr>
                <w:rFonts w:ascii="Arial" w:cs="Arial" w:eastAsia="Arial" w:hAnsi="Arial"/>
                <w:sz w:val="18"/>
                <w:szCs w:val="18"/>
                <w:b w:val="1"/>
                <w:bCs w:val="1"/>
                <w:color w:val="auto"/>
              </w:rPr>
              <w:t>Total Asia/Pacific, Middle East and Africa</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1,065</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973</w:t>
            </w:r>
          </w:p>
        </w:tc>
        <w:tc>
          <w:tcPr>
            <w:tcW w:w="1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3,213</w:t>
            </w:r>
          </w:p>
        </w:tc>
        <w:tc>
          <w:tcPr>
            <w:tcW w:w="1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2,974</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Arial" w:cs="Arial" w:eastAsia="Arial" w:hAnsi="Arial"/>
                <w:sz w:val="18"/>
                <w:szCs w:val="18"/>
                <w:color w:val="auto"/>
              </w:rPr>
              <w:t>South America</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Chevrolet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160"/>
              <w:spacing w:after="0"/>
              <w:rPr>
                <w:sz w:val="20"/>
                <w:szCs w:val="20"/>
                <w:color w:val="auto"/>
              </w:rPr>
            </w:pPr>
            <w:r>
              <w:rPr>
                <w:rFonts w:ascii="Arial" w:cs="Arial" w:eastAsia="Arial" w:hAnsi="Arial"/>
                <w:sz w:val="18"/>
                <w:szCs w:val="18"/>
                <w:b w:val="1"/>
                <w:bCs w:val="1"/>
                <w:color w:val="auto"/>
              </w:rPr>
              <w:t>Total South America</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b w:val="1"/>
                <w:bCs w:val="1"/>
                <w:color w:val="auto"/>
              </w:rPr>
              <w:t>642</w:t>
            </w:r>
          </w:p>
        </w:tc>
        <w:tc>
          <w:tcPr>
            <w:tcW w:w="1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770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Worldwide</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2,450</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2,397</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7,372</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7,251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North America vehicle sales primarily represent sales to the end customer. Europe (including Chevrolet Europe vehicle sales that will cease in 2015), Asia/Pacific, Middle East and Africa and South America vehicle sales primarily represent estimated sales to the end customer. In countries where end customer data is not readily available other data sources, such as wholesale or forecast volumes, are used to estimate vehicle sales. Certain fleet sales that are accounted for as operating leases are included in vehicle sales at the time of delivery to the daily rental car companies. Market Share information is based on retail vehicles sales volume. The vehicle sales at our China JVs presented in the following table are included in our retail vehicle sales (vehicles in thousands):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20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6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SAIC General Motors Sales Co., Ltd. (SGMS)</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1,111</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SGMW and FAW-GM</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1,198</w:t>
            </w:r>
          </w:p>
        </w:tc>
      </w:tr>
      <w:tr>
        <w:trPr>
          <w:trHeight w:val="642"/>
        </w:trPr>
        <w:tc>
          <w:tcPr>
            <w:tcW w:w="6200" w:type="dxa"/>
            <w:vAlign w:val="bottom"/>
          </w:tcPr>
          <w:p>
            <w:pPr>
              <w:spacing w:after="0"/>
              <w:rPr>
                <w:sz w:val="24"/>
                <w:szCs w:val="24"/>
                <w:color w:val="auto"/>
              </w:rPr>
            </w:pPr>
          </w:p>
        </w:tc>
        <w:tc>
          <w:tcPr>
            <w:tcW w:w="25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5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20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6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43"/>
        </w:trPr>
        <w:tc>
          <w:tcPr>
            <w:tcW w:w="6200" w:type="dxa"/>
            <w:vAlign w:val="bottom"/>
          </w:tcPr>
          <w:p>
            <w:pPr>
              <w:spacing w:after="0"/>
              <w:rPr>
                <w:sz w:val="20"/>
                <w:szCs w:val="20"/>
                <w:color w:val="auto"/>
              </w:rPr>
            </w:pPr>
            <w:r>
              <w:rPr>
                <w:rFonts w:ascii="Arial" w:cs="Arial" w:eastAsia="Arial" w:hAnsi="Arial"/>
                <w:sz w:val="18"/>
                <w:szCs w:val="18"/>
                <w:b w:val="1"/>
                <w:bCs w:val="1"/>
                <w:color w:val="auto"/>
              </w:rPr>
              <w:t>Market Share</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United States - Cars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13.3%</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14.1%</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14.3%</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14.3%</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United States - Trucks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24.3%</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23.0%</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22.9%</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23.7%</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United States - Crossovers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16.6%</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17.3%</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17.1%</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17.9%</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Total United States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17.3%</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17.3%</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17.4%</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17.6%</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Total North America</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16.8%</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17.0%</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Total Europe</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6.5%</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7.8%</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6.8%</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7.7%</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Total Asia/Pacific, Middle East and Africa</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9.9%</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9.8%</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Total South America</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16.4%</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17.7%</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16.5%</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17.4%</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b w:val="1"/>
                <w:bCs w:val="1"/>
                <w:color w:val="auto"/>
              </w:rPr>
              <w:t>Total Worldwide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11.5%</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11.6%</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11.3%</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11.5%</w:t>
            </w:r>
          </w:p>
        </w:tc>
      </w:tr>
      <w:tr>
        <w:trPr>
          <w:trHeight w:val="540"/>
        </w:trPr>
        <w:tc>
          <w:tcPr>
            <w:tcW w:w="6200" w:type="dxa"/>
            <w:vAlign w:val="bottom"/>
          </w:tcPr>
          <w:p>
            <w:pPr>
              <w:spacing w:after="0"/>
              <w:rPr>
                <w:sz w:val="20"/>
                <w:szCs w:val="20"/>
                <w:color w:val="auto"/>
              </w:rPr>
            </w:pPr>
            <w:r>
              <w:rPr>
                <w:rFonts w:ascii="Arial" w:cs="Arial" w:eastAsia="Arial" w:hAnsi="Arial"/>
                <w:sz w:val="18"/>
                <w:szCs w:val="18"/>
                <w:b w:val="1"/>
                <w:bCs w:val="1"/>
                <w:color w:val="auto"/>
              </w:rPr>
              <w:t>U.S. Retail/Fleet Mix</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 Fleet Sales - Cars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23.9%</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22.8%</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29.6%</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27.6%</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 Fleet Sales - Trucks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23.3%</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20.5%</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22.9%</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24.1%</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 Fleet Sales - Crossovers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19.0%</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14.4%</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20.9%</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19.5%</w:t>
            </w: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b w:val="1"/>
                <w:bCs w:val="1"/>
                <w:color w:val="auto"/>
              </w:rPr>
              <w:t>Total Vehicles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22.4%</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19.8%</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24.9%</w:t>
            </w:r>
          </w:p>
        </w:tc>
        <w:tc>
          <w:tcPr>
            <w:tcW w:w="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24.3%</w:t>
            </w:r>
          </w:p>
        </w:tc>
      </w:tr>
      <w:tr>
        <w:trPr>
          <w:trHeight w:val="540"/>
        </w:trPr>
        <w:tc>
          <w:tcPr>
            <w:tcW w:w="6200" w:type="dxa"/>
            <w:vAlign w:val="bottom"/>
          </w:tcPr>
          <w:p>
            <w:pPr>
              <w:spacing w:after="0"/>
              <w:rPr>
                <w:sz w:val="20"/>
                <w:szCs w:val="20"/>
                <w:color w:val="auto"/>
              </w:rPr>
            </w:pPr>
            <w:r>
              <w:rPr>
                <w:rFonts w:ascii="Arial" w:cs="Arial" w:eastAsia="Arial" w:hAnsi="Arial"/>
                <w:sz w:val="18"/>
                <w:szCs w:val="18"/>
                <w:color w:val="auto"/>
              </w:rPr>
              <w:t>North America Capacity Utilization</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96.8%</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99.1%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580" w:right="239" w:bottom="1440" w:gutter="0" w:footer="0" w:header="0"/>
        </w:sectPr>
      </w:pPr>
    </w:p>
    <w:bookmarkStart w:id="12" w:name="page13"/>
    <w:bookmarkEnd w:id="12"/>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gridSpan w:val="7"/>
          </w:tcPr>
          <w:p>
            <w:pPr>
              <w:ind w:left="80"/>
              <w:spacing w:after="0"/>
              <w:rPr>
                <w:sz w:val="20"/>
                <w:szCs w:val="20"/>
                <w:color w:val="auto"/>
              </w:rPr>
            </w:pPr>
            <w:r>
              <w:rPr>
                <w:rFonts w:ascii="Arial" w:cs="Arial" w:eastAsia="Arial" w:hAnsi="Arial"/>
                <w:sz w:val="11"/>
                <w:szCs w:val="11"/>
                <w:b w:val="1"/>
                <w:bCs w:val="1"/>
                <w:color w:val="auto"/>
                <w:w w:val="88"/>
              </w:rPr>
              <w:t>Three Months Ended September 30,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40" w:type="dxa"/>
            <w:vAlign w:val="bottom"/>
            <w:gridSpan w:val="7"/>
          </w:tcPr>
          <w:p>
            <w:pPr>
              <w:ind w:left="100"/>
              <w:spacing w:after="0"/>
              <w:rPr>
                <w:sz w:val="20"/>
                <w:szCs w:val="20"/>
                <w:color w:val="auto"/>
              </w:rPr>
            </w:pPr>
            <w:r>
              <w:rPr>
                <w:rFonts w:ascii="Arial" w:cs="Arial" w:eastAsia="Arial" w:hAnsi="Arial"/>
                <w:sz w:val="11"/>
                <w:szCs w:val="11"/>
                <w:b w:val="1"/>
                <w:bCs w:val="1"/>
                <w:color w:val="auto"/>
                <w:w w:val="89"/>
              </w:rPr>
              <w:t>Three Months Ended September 30, 2013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96"/>
              <w:spacing w:after="0"/>
              <w:rPr>
                <w:sz w:val="20"/>
                <w:szCs w:val="20"/>
                <w:color w:val="auto"/>
              </w:rPr>
            </w:pPr>
            <w:r>
              <w:rPr>
                <w:rFonts w:ascii="Arial" w:cs="Arial" w:eastAsia="Arial" w:hAnsi="Arial"/>
                <w:sz w:val="11"/>
                <w:szCs w:val="11"/>
                <w:b w:val="1"/>
                <w:bCs w:val="1"/>
                <w:color w:val="auto"/>
                <w:w w:val="89"/>
              </w:rPr>
              <w:t>Automotive</w:t>
            </w:r>
          </w:p>
        </w:tc>
        <w:tc>
          <w:tcPr>
            <w:tcW w:w="1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1"/>
                <w:szCs w:val="11"/>
                <w:b w:val="1"/>
                <w:bCs w:val="1"/>
                <w:color w:val="auto"/>
                <w:w w:val="92"/>
              </w:rPr>
              <w:t>Automotive</w:t>
            </w:r>
          </w:p>
        </w:tc>
        <w:tc>
          <w:tcPr>
            <w:tcW w:w="140" w:type="dxa"/>
            <w:vAlign w:val="bottom"/>
          </w:tcPr>
          <w:p>
            <w:pPr>
              <w:spacing w:after="0"/>
              <w:rPr>
                <w:sz w:val="21"/>
                <w:szCs w:val="21"/>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GM Financial</w:t>
            </w:r>
          </w:p>
        </w:tc>
        <w:tc>
          <w:tcPr>
            <w:tcW w:w="1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740" w:type="dxa"/>
            <w:vAlign w:val="bottom"/>
          </w:tcPr>
          <w:p>
            <w:pPr>
              <w:ind w:left="140"/>
              <w:spacing w:after="0"/>
              <w:rPr>
                <w:sz w:val="20"/>
                <w:szCs w:val="20"/>
                <w:color w:val="auto"/>
              </w:rPr>
            </w:pPr>
            <w:r>
              <w:rPr>
                <w:rFonts w:ascii="Arial" w:cs="Arial" w:eastAsia="Arial" w:hAnsi="Arial"/>
                <w:sz w:val="14"/>
                <w:szCs w:val="14"/>
                <w:color w:val="auto"/>
              </w:rPr>
              <w:t>Automotive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6"/>
              <w:spacing w:after="0"/>
              <w:rPr>
                <w:sz w:val="20"/>
                <w:szCs w:val="20"/>
                <w:color w:val="auto"/>
              </w:rPr>
            </w:pPr>
            <w:r>
              <w:rPr>
                <w:rFonts w:ascii="Arial" w:cs="Arial" w:eastAsia="Arial" w:hAnsi="Arial"/>
                <w:sz w:val="14"/>
                <w:szCs w:val="14"/>
                <w:color w:val="auto"/>
              </w:rPr>
              <w:t>37,999</w:t>
            </w:r>
          </w:p>
        </w:tc>
        <w:tc>
          <w:tcPr>
            <w:tcW w:w="360" w:type="dxa"/>
            <w:vAlign w:val="bottom"/>
            <w:gridSpan w:val="2"/>
            <w:vMerge w:val="restart"/>
          </w:tcPr>
          <w:p>
            <w:pPr>
              <w:jc w:val="right"/>
              <w:ind w:right="106"/>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color w:val="auto"/>
              </w:rPr>
              <w:t>37,999</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6"/>
              <w:spacing w:after="0"/>
              <w:rPr>
                <w:sz w:val="20"/>
                <w:szCs w:val="20"/>
                <w:color w:val="auto"/>
              </w:rPr>
            </w:pPr>
            <w:r>
              <w:rPr>
                <w:rFonts w:ascii="Arial" w:cs="Arial" w:eastAsia="Arial" w:hAnsi="Arial"/>
                <w:sz w:val="14"/>
                <w:szCs w:val="14"/>
                <w:color w:val="auto"/>
              </w:rPr>
              <w:t>38,122</w:t>
            </w:r>
          </w:p>
        </w:tc>
        <w:tc>
          <w:tcPr>
            <w:tcW w:w="440" w:type="dxa"/>
            <w:vAlign w:val="bottom"/>
            <w:gridSpan w:val="2"/>
            <w:vMerge w:val="restart"/>
          </w:tcPr>
          <w:p>
            <w:pPr>
              <w:jc w:val="right"/>
              <w:ind w:right="166"/>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6"/>
              <w:spacing w:after="0"/>
              <w:rPr>
                <w:sz w:val="20"/>
                <w:szCs w:val="20"/>
                <w:color w:val="auto"/>
              </w:rPr>
            </w:pPr>
            <w:r>
              <w:rPr>
                <w:rFonts w:ascii="Arial" w:cs="Arial" w:eastAsia="Arial" w:hAnsi="Arial"/>
                <w:sz w:val="14"/>
                <w:szCs w:val="14"/>
                <w:color w:val="auto"/>
              </w:rPr>
              <w:t>38,120</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40"/>
              <w:spacing w:after="0"/>
              <w:rPr>
                <w:sz w:val="20"/>
                <w:szCs w:val="20"/>
                <w:color w:val="auto"/>
              </w:rPr>
            </w:pPr>
            <w:r>
              <w:rPr>
                <w:rFonts w:ascii="Arial" w:cs="Arial" w:eastAsia="Arial" w:hAnsi="Arial"/>
                <w:sz w:val="14"/>
                <w:szCs w:val="14"/>
                <w:color w:val="auto"/>
              </w:rPr>
              <w:t>GM Financial</w:t>
            </w:r>
          </w:p>
        </w:tc>
        <w:tc>
          <w:tcPr>
            <w:tcW w:w="140" w:type="dxa"/>
            <w:vAlign w:val="bottom"/>
          </w:tcPr>
          <w:p>
            <w:pPr>
              <w:spacing w:after="0"/>
              <w:rPr>
                <w:sz w:val="17"/>
                <w:szCs w:val="17"/>
                <w:color w:val="auto"/>
              </w:rPr>
            </w:pPr>
          </w:p>
        </w:tc>
        <w:tc>
          <w:tcPr>
            <w:tcW w:w="720" w:type="dxa"/>
            <w:vAlign w:val="bottom"/>
            <w:vMerge w:val="restart"/>
          </w:tcPr>
          <w:p>
            <w:pPr>
              <w:jc w:val="right"/>
              <w:ind w:right="3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restart"/>
          </w:tcPr>
          <w:p>
            <w:pPr>
              <w:jc w:val="right"/>
              <w:ind w:right="16"/>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restart"/>
          </w:tcPr>
          <w:p>
            <w:pPr>
              <w:jc w:val="right"/>
              <w:ind w:right="3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140"/>
              <w:spacing w:after="0"/>
              <w:rPr>
                <w:sz w:val="20"/>
                <w:szCs w:val="20"/>
                <w:color w:val="auto"/>
              </w:rPr>
            </w:pPr>
            <w:r>
              <w:rPr>
                <w:rFonts w:ascii="Arial" w:cs="Arial" w:eastAsia="Arial" w:hAnsi="Arial"/>
                <w:sz w:val="14"/>
                <w:szCs w:val="14"/>
                <w:color w:val="auto"/>
              </w:rPr>
              <w:t>Total net sales and revenue</w:t>
            </w:r>
          </w:p>
        </w:tc>
        <w:tc>
          <w:tcPr>
            <w:tcW w:w="140" w:type="dxa"/>
            <w:vAlign w:val="bottom"/>
          </w:tcPr>
          <w:p>
            <w:pPr>
              <w:spacing w:after="0"/>
              <w:rPr>
                <w:sz w:val="15"/>
                <w:szCs w:val="15"/>
                <w:color w:val="auto"/>
              </w:rPr>
            </w:pPr>
          </w:p>
        </w:tc>
        <w:tc>
          <w:tcPr>
            <w:tcW w:w="720" w:type="dxa"/>
            <w:vAlign w:val="bottom"/>
            <w:vMerge w:val="restart"/>
          </w:tcPr>
          <w:p>
            <w:pPr>
              <w:jc w:val="right"/>
              <w:ind w:right="36"/>
              <w:spacing w:after="0"/>
              <w:rPr>
                <w:sz w:val="20"/>
                <w:szCs w:val="20"/>
                <w:color w:val="auto"/>
              </w:rPr>
            </w:pPr>
            <w:r>
              <w:rPr>
                <w:rFonts w:ascii="Arial" w:cs="Arial" w:eastAsia="Arial" w:hAnsi="Arial"/>
                <w:sz w:val="14"/>
                <w:szCs w:val="14"/>
                <w:color w:val="auto"/>
              </w:rPr>
              <w:t>37,999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ind w:right="16"/>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color w:val="auto"/>
              </w:rPr>
              <w:t>39,255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ind w:right="36"/>
              <w:spacing w:after="0"/>
              <w:rPr>
                <w:sz w:val="20"/>
                <w:szCs w:val="20"/>
                <w:color w:val="auto"/>
              </w:rPr>
            </w:pPr>
            <w:r>
              <w:rPr>
                <w:rFonts w:ascii="Arial" w:cs="Arial" w:eastAsia="Arial" w:hAnsi="Arial"/>
                <w:sz w:val="14"/>
                <w:szCs w:val="14"/>
                <w:color w:val="auto"/>
              </w:rPr>
              <w:t>38,122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4"/>
                <w:szCs w:val="14"/>
                <w:color w:val="auto"/>
              </w:rPr>
              <w:t>38,983</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8890</wp:posOffset>
            </wp:positionV>
            <wp:extent cx="4845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ectPr>
          <w:pgSz w:w="11900" w:h="16838" w:orient="portrait"/>
          <w:cols w:equalWidth="0" w:num="1">
            <w:col w:w="11380"/>
          </w:cols>
          <w:pgMar w:left="280" w:top="580" w:right="239" w:bottom="557" w:gutter="0" w:footer="0" w:header="0"/>
        </w:sectPr>
      </w:pPr>
    </w:p>
    <w:p>
      <w:pPr>
        <w:spacing w:after="0" w:line="12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 operating and other expenses</w:t>
      </w:r>
    </w:p>
    <w:p>
      <w:pPr>
        <w:spacing w:after="0" w:line="177" w:lineRule="exact"/>
        <w:rPr>
          <w:sz w:val="20"/>
          <w:szCs w:val="20"/>
          <w:color w:val="auto"/>
        </w:rPr>
      </w:pPr>
    </w:p>
    <w:p>
      <w:pPr>
        <w:ind w:left="140" w:right="20"/>
        <w:spacing w:after="0" w:line="318" w:lineRule="auto"/>
        <w:rPr>
          <w:sz w:val="20"/>
          <w:szCs w:val="20"/>
          <w:color w:val="auto"/>
        </w:rPr>
      </w:pPr>
      <w:r>
        <w:rPr>
          <w:rFonts w:ascii="Arial" w:cs="Arial" w:eastAsia="Arial" w:hAnsi="Arial"/>
          <w:sz w:val="14"/>
          <w:szCs w:val="14"/>
          <w:color w:val="auto"/>
        </w:rPr>
        <w:t>Automotive selling, general and administrative expense Goodwill impairment charges</w:t>
      </w:r>
    </w:p>
    <w:p>
      <w:pPr>
        <w:spacing w:after="0" w:line="46" w:lineRule="exact"/>
        <w:rPr>
          <w:sz w:val="20"/>
          <w:szCs w:val="20"/>
          <w:color w:val="auto"/>
        </w:rPr>
      </w:pPr>
    </w:p>
    <w:p>
      <w:pPr>
        <w:jc w:val="center"/>
        <w:ind w:right="156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jc w:val="center"/>
        <w:ind w:right="150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jc w:val="center"/>
        <w:ind w:right="1620"/>
        <w:spacing w:after="0"/>
        <w:rPr>
          <w:sz w:val="20"/>
          <w:szCs w:val="20"/>
          <w:color w:val="auto"/>
        </w:rPr>
      </w:pPr>
      <w:r>
        <w:rPr>
          <w:rFonts w:ascii="Arial" w:cs="Arial" w:eastAsia="Arial" w:hAnsi="Arial"/>
          <w:sz w:val="12"/>
          <w:szCs w:val="12"/>
          <w:color w:val="auto"/>
        </w:rPr>
        <w:t>Automotive interest expense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Interest income and other non-operating income, net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Gain on extinguishment of debt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179" w:lineRule="exact"/>
        <w:rPr>
          <w:sz w:val="20"/>
          <w:szCs w:val="20"/>
          <w:color w:val="auto"/>
        </w:rPr>
      </w:pPr>
    </w:p>
    <w:p>
      <w:pPr>
        <w:ind w:right="620"/>
        <w:spacing w:after="0" w:line="412" w:lineRule="auto"/>
        <w:rPr>
          <w:sz w:val="20"/>
          <w:szCs w:val="20"/>
          <w:color w:val="auto"/>
        </w:rPr>
      </w:pPr>
      <w:r>
        <w:rPr>
          <w:rFonts w:ascii="Arial" w:cs="Arial" w:eastAsia="Arial" w:hAnsi="Arial"/>
          <w:sz w:val="12"/>
          <w:szCs w:val="12"/>
          <w:color w:val="auto"/>
        </w:rPr>
        <w:t xml:space="preserve">Net loss attributable to noncontrolling interests </w:t>
      </w:r>
      <w:r>
        <w:rPr>
          <w:rFonts w:ascii="Arial" w:cs="Arial" w:eastAsia="Arial" w:hAnsi="Arial"/>
          <w:sz w:val="12"/>
          <w:szCs w:val="12"/>
          <w:b w:val="1"/>
          <w:bCs w:val="1"/>
          <w:color w:val="auto"/>
        </w:rPr>
        <w:t>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and revenue</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net sales and revenue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GM Financial operating and other expenses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Automotive selling, general and administrative expense</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Goodwill impairment charges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Interest income and other non-operating income, net</w:t>
      </w:r>
    </w:p>
    <w:p>
      <w:pPr>
        <w:spacing w:after="0" w:line="132" w:lineRule="exact"/>
        <w:rPr>
          <w:sz w:val="20"/>
          <w:szCs w:val="20"/>
          <w:color w:val="auto"/>
        </w:rPr>
      </w:pPr>
    </w:p>
    <w:p>
      <w:pPr>
        <w:ind w:right="1120"/>
        <w:spacing w:after="0" w:line="318" w:lineRule="auto"/>
        <w:rPr>
          <w:sz w:val="20"/>
          <w:szCs w:val="20"/>
          <w:color w:val="auto"/>
        </w:rPr>
      </w:pPr>
      <w:r>
        <w:rPr>
          <w:rFonts w:ascii="Arial" w:cs="Arial" w:eastAsia="Arial" w:hAnsi="Arial"/>
          <w:sz w:val="14"/>
          <w:szCs w:val="14"/>
          <w:color w:val="auto"/>
        </w:rPr>
        <w:t>Gain (loss) on extinguishment of debt Equity income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179" w:lineRule="exact"/>
        <w:rPr>
          <w:sz w:val="20"/>
          <w:szCs w:val="20"/>
          <w:color w:val="auto"/>
        </w:rPr>
      </w:pPr>
    </w:p>
    <w:p>
      <w:pPr>
        <w:ind w:right="100"/>
        <w:spacing w:after="0" w:line="412" w:lineRule="auto"/>
        <w:rPr>
          <w:sz w:val="20"/>
          <w:szCs w:val="20"/>
          <w:color w:val="auto"/>
        </w:rPr>
      </w:pPr>
      <w:r>
        <w:rPr>
          <w:rFonts w:ascii="Arial" w:cs="Arial" w:eastAsia="Arial" w:hAnsi="Arial"/>
          <w:sz w:val="12"/>
          <w:szCs w:val="12"/>
          <w:color w:val="auto"/>
        </w:rPr>
        <w:t xml:space="preserve">Net (income) loss attributable to noncontrolling interests </w:t>
      </w:r>
      <w:r>
        <w:rPr>
          <w:rFonts w:ascii="Arial" w:cs="Arial" w:eastAsia="Arial" w:hAnsi="Arial"/>
          <w:sz w:val="12"/>
          <w:szCs w:val="12"/>
          <w:b w:val="1"/>
          <w:bCs w:val="1"/>
          <w:color w:val="auto"/>
        </w:rPr>
        <w:t>Net income attributable to stockholders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34,058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34,054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33,172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33,166</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1,053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628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625</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2,921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2,876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2,876</w:t>
            </w:r>
          </w:p>
        </w:tc>
      </w:tr>
      <w:tr>
        <w:trPr>
          <w:trHeight w:val="27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60</w:t>
            </w:r>
          </w:p>
        </w:tc>
      </w:tr>
      <w:tr>
        <w:trPr>
          <w:trHeight w:val="250"/>
        </w:trPr>
        <w:tc>
          <w:tcPr>
            <w:tcW w:w="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36,979</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1,053</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38,028</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36,108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628</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36,727</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1,227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2,256</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96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65</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w:t>
            </w:r>
          </w:p>
        </w:tc>
      </w:tr>
      <w:tr>
        <w:trPr>
          <w:trHeight w:val="278"/>
        </w:trPr>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497</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436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436</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1,869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2,304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2,547</w:t>
            </w:r>
          </w:p>
        </w:tc>
      </w:tr>
      <w:tr>
        <w:trPr>
          <w:trHeight w:val="278"/>
        </w:trPr>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427</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756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85</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842</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166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1,442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1,548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154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1,705</w:t>
            </w:r>
          </w:p>
        </w:tc>
      </w:tr>
      <w:tr>
        <w:trPr>
          <w:trHeight w:val="278"/>
        </w:trPr>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29</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w:t>
            </w:r>
          </w:p>
        </w:tc>
      </w:tr>
      <w:tr>
        <w:trPr>
          <w:trHeight w:val="237"/>
        </w:trPr>
        <w:tc>
          <w:tcPr>
            <w:tcW w:w="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1,471</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1,560</w:t>
            </w:r>
          </w:p>
        </w:tc>
        <w:tc>
          <w:tcPr>
            <w:tcW w:w="20" w:type="dxa"/>
            <w:vAlign w:val="bottom"/>
            <w:tcBorders>
              <w:bottom w:val="single" w:sz="8" w:color="auto"/>
            </w:tcBorders>
          </w:tcPr>
          <w:p>
            <w:pPr>
              <w:spacing w:after="0"/>
              <w:rPr>
                <w:sz w:val="20"/>
                <w:szCs w:val="20"/>
                <w:color w:val="auto"/>
              </w:rPr>
            </w:pPr>
          </w:p>
        </w:tc>
        <w:tc>
          <w:tcPr>
            <w:tcW w:w="14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154</w:t>
            </w:r>
          </w:p>
        </w:tc>
        <w:tc>
          <w:tcPr>
            <w:tcW w:w="2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1,717</w:t>
            </w:r>
          </w:p>
        </w:tc>
      </w:tr>
      <w:tr>
        <w:trPr>
          <w:trHeight w:val="20"/>
        </w:trPr>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27"/>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11"/>
          </w:tcPr>
          <w:p>
            <w:pPr>
              <w:ind w:left="20"/>
              <w:spacing w:after="0"/>
              <w:rPr>
                <w:sz w:val="20"/>
                <w:szCs w:val="20"/>
                <w:color w:val="auto"/>
              </w:rPr>
            </w:pPr>
            <w:r>
              <w:rPr>
                <w:rFonts w:ascii="Arial" w:cs="Arial" w:eastAsia="Arial" w:hAnsi="Arial"/>
                <w:sz w:val="11"/>
                <w:szCs w:val="11"/>
                <w:b w:val="1"/>
                <w:bCs w:val="1"/>
                <w:color w:val="auto"/>
                <w:w w:val="91"/>
              </w:rPr>
              <w:t>Nine Months Ended September 30, 2014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10"/>
          </w:tcPr>
          <w:p>
            <w:pPr>
              <w:ind w:left="20"/>
              <w:spacing w:after="0"/>
              <w:rPr>
                <w:sz w:val="20"/>
                <w:szCs w:val="20"/>
                <w:color w:val="auto"/>
              </w:rPr>
            </w:pPr>
            <w:r>
              <w:rPr>
                <w:rFonts w:ascii="Arial" w:cs="Arial" w:eastAsia="Arial" w:hAnsi="Arial"/>
                <w:sz w:val="11"/>
                <w:szCs w:val="11"/>
                <w:b w:val="1"/>
                <w:bCs w:val="1"/>
                <w:color w:val="auto"/>
                <w:w w:val="90"/>
              </w:rPr>
              <w:t>Nine Months Ended September 30, 2013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Automotive</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5"/>
          </w:tcPr>
          <w:p>
            <w:pPr>
              <w:ind w:left="80"/>
              <w:spacing w:after="0"/>
              <w:rPr>
                <w:sz w:val="20"/>
                <w:szCs w:val="20"/>
                <w:color w:val="auto"/>
              </w:rPr>
            </w:pPr>
            <w:r>
              <w:rPr>
                <w:rFonts w:ascii="Arial" w:cs="Arial" w:eastAsia="Arial" w:hAnsi="Arial"/>
                <w:sz w:val="11"/>
                <w:szCs w:val="11"/>
                <w:b w:val="1"/>
                <w:bCs w:val="1"/>
                <w:color w:val="auto"/>
              </w:rPr>
              <w:t>GM Financial</w:t>
            </w:r>
          </w:p>
        </w:tc>
        <w:tc>
          <w:tcPr>
            <w:tcW w:w="100" w:type="dxa"/>
            <w:vAlign w:val="bottom"/>
          </w:tcPr>
          <w:p>
            <w:pPr>
              <w:spacing w:after="0"/>
              <w:rPr>
                <w:sz w:val="21"/>
                <w:szCs w:val="21"/>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Eliminations</w:t>
            </w:r>
          </w:p>
        </w:tc>
        <w:tc>
          <w:tcPr>
            <w:tcW w:w="10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Eliminations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1"/>
                <w:szCs w:val="11"/>
                <w:b w:val="1"/>
                <w:bCs w:val="1"/>
                <w:color w:val="auto"/>
                <w:w w:val="86"/>
              </w:rPr>
              <w:t>Consolidated</w:t>
            </w:r>
          </w:p>
        </w:tc>
      </w:tr>
      <w:tr>
        <w:trPr>
          <w:trHeight w:val="22"/>
        </w:trPr>
        <w:tc>
          <w:tcPr>
            <w:tcW w:w="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0"/>
        </w:trPr>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112,776</w:t>
            </w:r>
          </w:p>
        </w:tc>
        <w:tc>
          <w:tcPr>
            <w:tcW w:w="40" w:type="dxa"/>
            <w:vAlign w:val="bottom"/>
          </w:tcPr>
          <w:p>
            <w:pPr>
              <w:spacing w:after="0"/>
              <w:rPr>
                <w:sz w:val="24"/>
                <w:szCs w:val="24"/>
                <w:color w:val="auto"/>
              </w:rPr>
            </w:pPr>
          </w:p>
        </w:tc>
        <w:tc>
          <w:tcPr>
            <w:tcW w:w="36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112,776</w:t>
            </w:r>
          </w:p>
        </w:tc>
        <w:tc>
          <w:tcPr>
            <w:tcW w:w="4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112,712</w:t>
            </w:r>
          </w:p>
        </w:tc>
        <w:tc>
          <w:tcPr>
            <w:tcW w:w="20" w:type="dxa"/>
            <w:vAlign w:val="bottom"/>
          </w:tcPr>
          <w:p>
            <w:pPr>
              <w:spacing w:after="0"/>
              <w:rPr>
                <w:sz w:val="24"/>
                <w:szCs w:val="24"/>
                <w:color w:val="auto"/>
              </w:rPr>
            </w:pPr>
          </w:p>
        </w:tc>
        <w:tc>
          <w:tcPr>
            <w:tcW w:w="38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112,704</w:t>
            </w:r>
          </w:p>
        </w:tc>
      </w:tr>
      <w:tr>
        <w:trPr>
          <w:trHeight w:val="27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3,549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3,536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2,243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2,238</w:t>
            </w:r>
          </w:p>
        </w:tc>
      </w:tr>
      <w:tr>
        <w:trPr>
          <w:trHeight w:val="250"/>
        </w:trPr>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112,776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3,549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116,312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112,712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2,243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114,942</w:t>
            </w:r>
          </w:p>
        </w:tc>
      </w:tr>
      <w:tr>
        <w:trPr>
          <w:trHeight w:val="52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104,042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104,032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99,609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99,607</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2,854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2,854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1,570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1,556</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9,205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9,205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8,753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8,753</w:t>
            </w:r>
          </w:p>
        </w:tc>
      </w:tr>
      <w:tr>
        <w:trPr>
          <w:trHeight w:val="27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60</w:t>
            </w:r>
          </w:p>
        </w:tc>
      </w:tr>
      <w:tr>
        <w:trPr>
          <w:trHeight w:val="250"/>
        </w:trPr>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113,247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2,854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116,091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108,422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1,570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109,976</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695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4,290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673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4,966</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299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217</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409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409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343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340</w:t>
            </w: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78"/>
        </w:trPr>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1,420</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1,263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695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1,958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5,596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673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6,271</w:t>
            </w:r>
          </w:p>
        </w:tc>
      </w:tr>
      <w:tr>
        <w:trPr>
          <w:trHeight w:val="278"/>
        </w:trPr>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1,993</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1,521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488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2,009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3,836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4,278</w:t>
            </w:r>
          </w:p>
        </w:tc>
      </w:tr>
      <w:tr>
        <w:trPr>
          <w:trHeight w:val="278"/>
        </w:trPr>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28</w:t>
            </w:r>
          </w:p>
        </w:tc>
      </w:tr>
      <w:tr>
        <w:trPr>
          <w:trHeight w:val="237"/>
        </w:trPr>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1,474</w:t>
            </w:r>
          </w:p>
        </w:tc>
        <w:tc>
          <w:tcPr>
            <w:tcW w:w="40" w:type="dxa"/>
            <w:vAlign w:val="bottom"/>
          </w:tcPr>
          <w:p>
            <w:pPr>
              <w:spacing w:after="0"/>
              <w:rPr>
                <w:sz w:val="20"/>
                <w:szCs w:val="20"/>
                <w:color w:val="auto"/>
              </w:rPr>
            </w:pPr>
          </w:p>
        </w:tc>
        <w:tc>
          <w:tcPr>
            <w:tcW w:w="36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488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1,962</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3,864</w:t>
            </w:r>
          </w:p>
        </w:tc>
        <w:tc>
          <w:tcPr>
            <w:tcW w:w="20" w:type="dxa"/>
            <w:vAlign w:val="bottom"/>
          </w:tcPr>
          <w:p>
            <w:pPr>
              <w:spacing w:after="0"/>
              <w:rPr>
                <w:sz w:val="20"/>
                <w:szCs w:val="20"/>
                <w:color w:val="auto"/>
              </w:rPr>
            </w:pPr>
          </w:p>
        </w:tc>
        <w:tc>
          <w:tcPr>
            <w:tcW w:w="38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4,306</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160" w:space="540"/>
            <w:col w:w="7680"/>
          </w:cols>
          <w:pgMar w:left="280" w:top="580" w:right="239" w:bottom="55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80" w:top="580" w:right="239" w:bottom="557" w:gutter="0" w:footer="0" w:header="0"/>
          <w:type w:val="continuous"/>
        </w:sectPr>
      </w:pPr>
    </w:p>
    <w:bookmarkStart w:id="13" w:name="page14"/>
    <w:bookmarkEnd w:id="13"/>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and nine months ended September 30, 2013 GM used the if-converted method for calculating earnings per share.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8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Add: preferred dividends to holders of Series B Preferred Stock</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diluted</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Dilutive effect of warrants and restricted stock units</w:t>
            </w:r>
          </w:p>
        </w:tc>
        <w:tc>
          <w:tcPr>
            <w:tcW w:w="1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Dilutive effect of conversion of Series B Preferred Stock</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2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6"/>
                <w:szCs w:val="16"/>
                <w:color w:val="auto"/>
              </w:rPr>
              <w:t>________</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earned but undeclared dividends of $15 million on our Series A Preferred Stock in the three and nine months ended September 30, 2014 and 2013 and $20 million on our Series B Preferred stock in the three and nine months ended September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ASSETS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and notes receivable, net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 receivables,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Equipment on operating leases,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Assets</w:t>
      </w:r>
    </w:p>
    <w:p>
      <w:pPr>
        <w:spacing w:after="0" w:line="111" w:lineRule="exact"/>
        <w:rPr>
          <w:sz w:val="20"/>
          <w:szCs w:val="20"/>
          <w:color w:val="auto"/>
        </w:rPr>
      </w:pPr>
    </w:p>
    <w:p>
      <w:pPr>
        <w:ind w:left="140" w:right="880"/>
        <w:spacing w:after="0" w:line="469" w:lineRule="auto"/>
        <w:rPr>
          <w:sz w:val="20"/>
          <w:szCs w:val="20"/>
          <w:color w:val="auto"/>
        </w:rPr>
      </w:pPr>
      <w:r>
        <w:rPr>
          <w:rFonts w:ascii="Arial" w:cs="Arial" w:eastAsia="Arial" w:hAnsi="Arial"/>
          <w:sz w:val="12"/>
          <w:szCs w:val="12"/>
          <w:color w:val="auto"/>
        </w:rPr>
        <w:t>Restricted cash and marketable securities GM Financial receivables, net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Property,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109"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LIABILITIES AND 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payable (principally trade)</w:t>
      </w:r>
    </w:p>
    <w:p>
      <w:pPr>
        <w:spacing w:after="0" w:line="109" w:lineRule="exact"/>
        <w:rPr>
          <w:sz w:val="20"/>
          <w:szCs w:val="20"/>
          <w:color w:val="auto"/>
        </w:rPr>
      </w:pPr>
    </w:p>
    <w:p>
      <w:pPr>
        <w:ind w:left="300" w:right="220" w:hanging="161"/>
        <w:spacing w:after="0" w:line="402" w:lineRule="auto"/>
        <w:rPr>
          <w:sz w:val="20"/>
          <w:szCs w:val="20"/>
          <w:color w:val="auto"/>
        </w:rPr>
      </w:pPr>
      <w:r>
        <w:rPr>
          <w:rFonts w:ascii="Arial" w:cs="Arial" w:eastAsia="Arial" w:hAnsi="Arial"/>
          <w:sz w:val="14"/>
          <w:szCs w:val="14"/>
          <w:color w:val="auto"/>
        </w:rPr>
        <w:t>Short-term debt and current portion of long-term debt Automotive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Accrued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right="780"/>
        <w:spacing w:after="0" w:line="402" w:lineRule="auto"/>
        <w:rPr>
          <w:sz w:val="20"/>
          <w:szCs w:val="20"/>
          <w:color w:val="auto"/>
        </w:rPr>
      </w:pPr>
      <w:r>
        <w:rPr>
          <w:rFonts w:ascii="Arial" w:cs="Arial" w:eastAsia="Arial" w:hAnsi="Arial"/>
          <w:sz w:val="14"/>
          <w:szCs w:val="14"/>
          <w:color w:val="auto"/>
        </w:rPr>
        <w:t>Postretirement benefits other than pensions Pensions</w:t>
      </w:r>
    </w:p>
    <w:p>
      <w:pPr>
        <w:spacing w:after="0" w:line="1" w:lineRule="exact"/>
        <w:rPr>
          <w:sz w:val="20"/>
          <w:szCs w:val="20"/>
          <w:color w:val="auto"/>
        </w:rPr>
      </w:pPr>
    </w:p>
    <w:p>
      <w:pPr>
        <w:ind w:left="140" w:right="820"/>
        <w:spacing w:after="0" w:line="401" w:lineRule="auto"/>
        <w:rPr>
          <w:sz w:val="20"/>
          <w:szCs w:val="20"/>
          <w:color w:val="auto"/>
        </w:rPr>
      </w:pPr>
      <w:r>
        <w:rPr>
          <w:rFonts w:ascii="Arial" w:cs="Arial" w:eastAsia="Arial" w:hAnsi="Arial"/>
          <w:sz w:val="14"/>
          <w:szCs w:val="14"/>
          <w:color w:val="auto"/>
        </w:rPr>
        <w:t>Other liabilities and deferred income taxes Total non-current liabilities</w:t>
      </w:r>
    </w:p>
    <w:p>
      <w:pPr>
        <w:spacing w:after="0"/>
        <w:rPr>
          <w:sz w:val="20"/>
          <w:szCs w:val="20"/>
          <w:color w:val="auto"/>
        </w:rPr>
      </w:pPr>
      <w:r>
        <w:rPr>
          <w:rFonts w:ascii="Arial" w:cs="Arial" w:eastAsia="Arial" w:hAnsi="Arial"/>
          <w:sz w:val="14"/>
          <w:szCs w:val="14"/>
          <w:b w:val="1"/>
          <w:bCs w:val="1"/>
          <w:color w:val="auto"/>
        </w:rPr>
        <w:t>Total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Series A preferred stock</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Common stock</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Additional paid-in capital</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2"/>
          <w:szCs w:val="12"/>
          <w:color w:val="auto"/>
        </w:rPr>
        <w:t>Accumulated other comprehensive income (loss)</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stockholders’ equity</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Noncontrolling interests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5"/>
          </w:tcPr>
          <w:p>
            <w:pPr>
              <w:ind w:left="280"/>
              <w:spacing w:after="0"/>
              <w:rPr>
                <w:sz w:val="20"/>
                <w:szCs w:val="20"/>
                <w:color w:val="auto"/>
              </w:rPr>
            </w:pPr>
            <w:r>
              <w:rPr>
                <w:rFonts w:ascii="Arial" w:cs="Arial" w:eastAsia="Arial" w:hAnsi="Arial"/>
                <w:sz w:val="11"/>
                <w:szCs w:val="11"/>
                <w:b w:val="1"/>
                <w:bCs w:val="1"/>
                <w:color w:val="auto"/>
              </w:rPr>
              <w:t>September 30, 2014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ind w:left="280"/>
              <w:spacing w:after="0"/>
              <w:rPr>
                <w:sz w:val="20"/>
                <w:szCs w:val="20"/>
                <w:color w:val="auto"/>
              </w:rPr>
            </w:pPr>
            <w:r>
              <w:rPr>
                <w:rFonts w:ascii="Arial" w:cs="Arial" w:eastAsia="Arial" w:hAnsi="Arial"/>
                <w:sz w:val="11"/>
                <w:szCs w:val="11"/>
                <w:b w:val="1"/>
                <w:bCs w:val="1"/>
                <w:color w:val="auto"/>
              </w:rPr>
              <w:t>December 31, 2013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0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1"/>
                <w:szCs w:val="11"/>
                <w:b w:val="1"/>
                <w:bCs w:val="1"/>
                <w:color w:val="auto"/>
                <w:w w:val="86"/>
              </w:rPr>
              <w:t>Consolidated</w:t>
            </w: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90"/>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16,543</w:t>
            </w:r>
          </w:p>
        </w:tc>
        <w:tc>
          <w:tcPr>
            <w:tcW w:w="120" w:type="dxa"/>
            <w:vAlign w:val="bottom"/>
          </w:tcPr>
          <w:p>
            <w:pPr>
              <w:spacing w:after="0"/>
              <w:rPr>
                <w:sz w:val="24"/>
                <w:szCs w:val="24"/>
                <w:color w:val="auto"/>
              </w:rPr>
            </w:pPr>
          </w:p>
        </w:tc>
        <w:tc>
          <w:tcPr>
            <w:tcW w:w="200" w:type="dxa"/>
            <w:vAlign w:val="bottom"/>
          </w:tcPr>
          <w:p>
            <w:pPr>
              <w:jc w:val="right"/>
              <w:ind w:right="55"/>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18,060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18,947</w:t>
            </w:r>
          </w:p>
        </w:tc>
        <w:tc>
          <w:tcPr>
            <w:tcW w:w="120" w:type="dxa"/>
            <w:vAlign w:val="bottom"/>
          </w:tcPr>
          <w:p>
            <w:pPr>
              <w:spacing w:after="0"/>
              <w:rPr>
                <w:sz w:val="24"/>
                <w:szCs w:val="24"/>
                <w:color w:val="auto"/>
              </w:rPr>
            </w:pPr>
          </w:p>
        </w:tc>
        <w:tc>
          <w:tcPr>
            <w:tcW w:w="200" w:type="dxa"/>
            <w:vAlign w:val="bottom"/>
          </w:tcPr>
          <w:p>
            <w:pPr>
              <w:jc w:val="right"/>
              <w:ind w:right="55"/>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20,021</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9,570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9,570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8,972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8,972</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1,247</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11,589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10,892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8,806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8,535</w:t>
            </w:r>
          </w:p>
        </w:tc>
      </w:tr>
      <w:tr>
        <w:trPr>
          <w:trHeight w:val="270"/>
        </w:trPr>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15,776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15,660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14,340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14,278</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15,210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15,210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14,039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14,039</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4,044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2,398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2,398</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9,719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9,978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10,195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10,349</w:t>
            </w:r>
          </w:p>
        </w:tc>
      </w:tr>
      <w:tr>
        <w:trPr>
          <w:trHeight w:val="278"/>
        </w:trPr>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1,661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1,531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1,662</w:t>
            </w:r>
          </w:p>
        </w:tc>
      </w:tr>
      <w:tr>
        <w:trPr>
          <w:trHeight w:val="243"/>
        </w:trPr>
        <w:tc>
          <w:tcPr>
            <w:tcW w:w="1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68,495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19,631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86,640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64,919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17,760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81,501</w:t>
            </w:r>
          </w:p>
        </w:tc>
      </w:tr>
      <w:tr>
        <w:trPr>
          <w:trHeight w:val="540"/>
        </w:trPr>
        <w:tc>
          <w:tcPr>
            <w:tcW w:w="10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829</w:t>
            </w:r>
          </w:p>
        </w:tc>
      </w:tr>
      <w:tr>
        <w:trPr>
          <w:trHeight w:val="270"/>
        </w:trPr>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15,604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15,604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14,354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14,354</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7,983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7,983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8,094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8,094</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27,210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27,375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25,736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25,867</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1,560</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5,041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5,085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5,603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5,668</w:t>
            </w:r>
          </w:p>
        </w:tc>
      </w:tr>
      <w:tr>
        <w:trPr>
          <w:trHeight w:val="270"/>
        </w:trPr>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5,796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5,796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3,383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3,383</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23,469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23,574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22,620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22,736</w:t>
            </w:r>
          </w:p>
        </w:tc>
      </w:tr>
      <w:tr>
        <w:trPr>
          <w:trHeight w:val="278"/>
        </w:trPr>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2,877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2,377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2,853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2,352</w:t>
            </w:r>
          </w:p>
        </w:tc>
      </w:tr>
      <w:tr>
        <w:trPr>
          <w:trHeight w:val="250"/>
        </w:trPr>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66,784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24,131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90,268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65,131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20,324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84,843</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135,279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43,762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176,908</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130,050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38,084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166,344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8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24,713</w:t>
            </w:r>
          </w:p>
        </w:tc>
        <w:tc>
          <w:tcPr>
            <w:tcW w:w="120" w:type="dxa"/>
            <w:vAlign w:val="bottom"/>
          </w:tcPr>
          <w:p>
            <w:pPr>
              <w:spacing w:after="0"/>
              <w:rPr>
                <w:sz w:val="24"/>
                <w:szCs w:val="24"/>
                <w:color w:val="auto"/>
              </w:rPr>
            </w:pPr>
          </w:p>
        </w:tc>
        <w:tc>
          <w:tcPr>
            <w:tcW w:w="200" w:type="dxa"/>
            <w:vAlign w:val="bottom"/>
          </w:tcPr>
          <w:p>
            <w:pPr>
              <w:jc w:val="right"/>
              <w:ind w:right="55"/>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24,773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23,550</w:t>
            </w:r>
          </w:p>
        </w:tc>
        <w:tc>
          <w:tcPr>
            <w:tcW w:w="120" w:type="dxa"/>
            <w:vAlign w:val="bottom"/>
          </w:tcPr>
          <w:p>
            <w:pPr>
              <w:spacing w:after="0"/>
              <w:rPr>
                <w:sz w:val="24"/>
                <w:szCs w:val="24"/>
                <w:color w:val="auto"/>
              </w:rPr>
            </w:pPr>
          </w:p>
        </w:tc>
        <w:tc>
          <w:tcPr>
            <w:tcW w:w="200" w:type="dxa"/>
            <w:vAlign w:val="bottom"/>
          </w:tcPr>
          <w:p>
            <w:pPr>
              <w:jc w:val="right"/>
              <w:ind w:right="55"/>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23,621</w:t>
            </w:r>
          </w:p>
        </w:tc>
      </w:tr>
      <w:tr>
        <w:trPr>
          <w:trHeight w:val="540"/>
        </w:trPr>
        <w:tc>
          <w:tcPr>
            <w:tcW w:w="10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564</w:t>
            </w:r>
          </w:p>
        </w:tc>
      </w:tr>
      <w:tr>
        <w:trPr>
          <w:trHeight w:val="270"/>
        </w:trPr>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12,808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12,808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13,594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13,594</w:t>
            </w:r>
          </w:p>
        </w:tc>
      </w:tr>
      <w:tr>
        <w:trPr>
          <w:trHeight w:val="278"/>
        </w:trPr>
        <w:tc>
          <w:tcPr>
            <w:tcW w:w="10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28,437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29,170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23,980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24,633</w:t>
            </w:r>
          </w:p>
        </w:tc>
      </w:tr>
      <w:tr>
        <w:trPr>
          <w:trHeight w:val="243"/>
        </w:trPr>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54,193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14,622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67,329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48,753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14,836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62,412</w:t>
            </w:r>
          </w:p>
        </w:tc>
      </w:tr>
      <w:tr>
        <w:trPr>
          <w:trHeight w:val="810"/>
        </w:trPr>
        <w:tc>
          <w:tcPr>
            <w:tcW w:w="10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6,753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6,753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6,574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6,573</w:t>
            </w:r>
          </w:p>
        </w:tc>
      </w:tr>
      <w:tr>
        <w:trPr>
          <w:trHeight w:val="270"/>
        </w:trPr>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20,966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20,966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15,452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15,452</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5,815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5,815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5,897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5,897</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18,013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18,111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19,378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19,483</w:t>
            </w:r>
          </w:p>
        </w:tc>
      </w:tr>
      <w:tr>
        <w:trPr>
          <w:trHeight w:val="278"/>
        </w:trPr>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13,699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14,371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12,748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1,217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13,353</w:t>
            </w:r>
          </w:p>
        </w:tc>
      </w:tr>
      <w:tr>
        <w:trPr>
          <w:trHeight w:val="250"/>
        </w:trPr>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44,280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22,383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66,016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44,597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16,774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60,758</w:t>
            </w:r>
          </w:p>
        </w:tc>
      </w:tr>
      <w:tr>
        <w:trPr>
          <w:trHeight w:val="243"/>
        </w:trPr>
        <w:tc>
          <w:tcPr>
            <w:tcW w:w="1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98,473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37,005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133,345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93,350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31,610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123,170</w:t>
            </w:r>
          </w:p>
        </w:tc>
      </w:tr>
      <w:tr>
        <w:trPr>
          <w:trHeight w:val="810"/>
        </w:trPr>
        <w:tc>
          <w:tcPr>
            <w:tcW w:w="10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3,109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3,109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3,109</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15</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28,832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28,832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28,780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28,780</w:t>
            </w:r>
          </w:p>
        </w:tc>
      </w:tr>
      <w:tr>
        <w:trPr>
          <w:trHeight w:val="270"/>
        </w:trPr>
        <w:tc>
          <w:tcPr>
            <w:tcW w:w="10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7,011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6,964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13,975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7,353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6,463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13,816</w:t>
            </w:r>
          </w:p>
        </w:tc>
      </w:tr>
      <w:tr>
        <w:trPr>
          <w:trHeight w:val="278"/>
        </w:trPr>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(2,930)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(3,113)</w:t>
            </w:r>
          </w:p>
        </w:tc>
      </w:tr>
      <w:tr>
        <w:trPr>
          <w:trHeight w:val="243"/>
        </w:trPr>
        <w:tc>
          <w:tcPr>
            <w:tcW w:w="1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36,245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6,757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43,002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36,133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6,474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42,607</w:t>
            </w:r>
          </w:p>
        </w:tc>
      </w:tr>
      <w:tr>
        <w:trPr>
          <w:trHeight w:val="278"/>
        </w:trPr>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r>
      <w:tr>
        <w:trPr>
          <w:trHeight w:val="250"/>
        </w:trPr>
        <w:tc>
          <w:tcPr>
            <w:tcW w:w="1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36,806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6,757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43,563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36,700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6,474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43,174</w:t>
            </w:r>
          </w:p>
        </w:tc>
      </w:tr>
      <w:tr>
        <w:trPr>
          <w:trHeight w:val="237"/>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135,279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43,762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176,908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130,050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38,084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166,344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3240" w:space="720"/>
            <w:col w:w="7420"/>
          </w:cols>
          <w:pgMar w:left="280" w:top="580" w:right="239" w:bottom="9"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25" w:right="1440" w:bottom="1440" w:gutter="0" w:footer="0" w:header="0"/>
        </w:sectPr>
      </w:pPr>
    </w:p>
    <w:bookmarkStart w:id="16" w:name="page17"/>
    <w:bookmarkEnd w:id="16"/>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w w:val="87"/>
              </w:rPr>
              <w:t>Nine Months Ended September 30, 2014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348"/>
              <w:spacing w:after="0"/>
              <w:rPr>
                <w:sz w:val="20"/>
                <w:szCs w:val="20"/>
                <w:color w:val="auto"/>
              </w:rPr>
            </w:pPr>
            <w:r>
              <w:rPr>
                <w:rFonts w:ascii="Arial" w:cs="Arial" w:eastAsia="Arial" w:hAnsi="Arial"/>
                <w:sz w:val="13"/>
                <w:szCs w:val="13"/>
                <w:b w:val="1"/>
                <w:bCs w:val="1"/>
                <w:color w:val="auto"/>
                <w:w w:val="99"/>
              </w:rPr>
              <w:t>Nine Months Ended September 30, 2013</w:t>
            </w: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GM Financial</w:t>
            </w:r>
          </w:p>
        </w:tc>
        <w:tc>
          <w:tcPr>
            <w:tcW w:w="1260" w:type="dxa"/>
            <w:vAlign w:val="bottom"/>
            <w:gridSpan w:val="3"/>
          </w:tcPr>
          <w:p>
            <w:pPr>
              <w:ind w:left="80"/>
              <w:spacing w:after="0"/>
              <w:rPr>
                <w:sz w:val="20"/>
                <w:szCs w:val="20"/>
                <w:color w:val="auto"/>
              </w:rPr>
            </w:pPr>
            <w:r>
              <w:rPr>
                <w:rFonts w:ascii="Arial" w:cs="Arial" w:eastAsia="Arial" w:hAnsi="Arial"/>
                <w:sz w:val="13"/>
                <w:szCs w:val="13"/>
                <w:b w:val="1"/>
                <w:bCs w:val="1"/>
                <w:color w:val="auto"/>
              </w:rPr>
              <w:t>Reclassification(a)</w:t>
            </w:r>
          </w:p>
        </w:tc>
        <w:tc>
          <w:tcPr>
            <w:tcW w:w="14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GM Financial</w:t>
            </w:r>
          </w:p>
        </w:tc>
        <w:tc>
          <w:tcPr>
            <w:tcW w:w="140" w:type="dxa"/>
            <w:vAlign w:val="bottom"/>
          </w:tcPr>
          <w:p>
            <w:pPr>
              <w:spacing w:after="0"/>
              <w:rPr>
                <w:sz w:val="22"/>
                <w:szCs w:val="22"/>
                <w:color w:val="auto"/>
              </w:rPr>
            </w:pPr>
          </w:p>
        </w:tc>
        <w:tc>
          <w:tcPr>
            <w:tcW w:w="880" w:type="dxa"/>
            <w:vAlign w:val="bottom"/>
          </w:tcPr>
          <w:p>
            <w:pPr>
              <w:jc w:val="right"/>
              <w:ind w:right="88"/>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45"/>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6,346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21"/>
                <w:szCs w:val="21"/>
                <w:color w:val="auto"/>
              </w:rPr>
            </w:pPr>
          </w:p>
        </w:tc>
        <w:tc>
          <w:tcPr>
            <w:tcW w:w="44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6,894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8,269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9,572</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Expenditures for property</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(5,780)</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(3,214)</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5,242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2,777</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5,311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5,311</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69"/>
        </w:trPr>
        <w:tc>
          <w:tcPr>
            <w:tcW w:w="4040" w:type="dxa"/>
            <w:vAlign w:val="bottom"/>
          </w:tcPr>
          <w:p>
            <w:pPr>
              <w:ind w:left="180"/>
              <w:spacing w:after="0"/>
              <w:rPr>
                <w:sz w:val="20"/>
                <w:szCs w:val="20"/>
                <w:color w:val="auto"/>
              </w:rPr>
            </w:pPr>
            <w:r>
              <w:rPr>
                <w:rFonts w:ascii="Arial" w:cs="Arial" w:eastAsia="Arial" w:hAnsi="Arial"/>
                <w:sz w:val="14"/>
                <w:szCs w:val="14"/>
                <w:color w:val="auto"/>
              </w:rPr>
              <w:t>Proceeds from sale of business units/investments, net of cash</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340"/>
              <w:spacing w:after="0"/>
              <w:rPr>
                <w:sz w:val="20"/>
                <w:szCs w:val="20"/>
                <w:color w:val="auto"/>
              </w:rPr>
            </w:pPr>
            <w:r>
              <w:rPr>
                <w:rFonts w:ascii="Arial" w:cs="Arial" w:eastAsia="Arial" w:hAnsi="Arial"/>
                <w:sz w:val="14"/>
                <w:szCs w:val="14"/>
                <w:color w:val="auto"/>
              </w:rPr>
              <w:t>disposed</w:t>
            </w:r>
          </w:p>
        </w:tc>
        <w:tc>
          <w:tcPr>
            <w:tcW w:w="1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Purchases of finance receivables</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(6,966)</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8,124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5,092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5,092</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(3,169)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6"/>
        </w:trPr>
        <w:tc>
          <w:tcPr>
            <w:tcW w:w="404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45"/>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(6,582)</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(11,425)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(4,911)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(10,589)</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9"/>
        </w:trPr>
        <w:tc>
          <w:tcPr>
            <w:tcW w:w="4040" w:type="dxa"/>
            <w:vAlign w:val="bottom"/>
          </w:tcPr>
          <w:p>
            <w:pPr>
              <w:ind w:left="180"/>
              <w:spacing w:after="0"/>
              <w:rPr>
                <w:sz w:val="20"/>
                <w:szCs w:val="20"/>
                <w:color w:val="auto"/>
              </w:rPr>
            </w:pPr>
            <w:r>
              <w:rPr>
                <w:rFonts w:ascii="Arial" w:cs="Arial" w:eastAsia="Arial" w:hAnsi="Arial"/>
                <w:sz w:val="14"/>
                <w:szCs w:val="14"/>
                <w:color w:val="auto"/>
                <w:w w:val="97"/>
              </w:rPr>
              <w:t>Proceeds from issuance of debt (original maturities greater than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340"/>
              <w:spacing w:after="0"/>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21,250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21,848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5,195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15,873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21,068</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w w:val="95"/>
              </w:rPr>
              <w:t>Payments on debt (original maturities greater than three months)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(14,907)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(13,714)</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rPr>
              <w:t>Payments to purchase stock</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169"/>
        </w:trPr>
        <w:tc>
          <w:tcPr>
            <w:tcW w:w="4040" w:type="dxa"/>
            <w:vAlign w:val="bottom"/>
          </w:tcPr>
          <w:p>
            <w:pPr>
              <w:ind w:left="180"/>
              <w:spacing w:after="0"/>
              <w:rPr>
                <w:sz w:val="20"/>
                <w:szCs w:val="20"/>
                <w:color w:val="auto"/>
              </w:rPr>
            </w:pPr>
            <w:r>
              <w:rPr>
                <w:rFonts w:ascii="Arial" w:cs="Arial" w:eastAsia="Arial" w:hAnsi="Arial"/>
                <w:sz w:val="14"/>
                <w:szCs w:val="14"/>
                <w:color w:val="auto"/>
                <w:w w:val="96"/>
              </w:rPr>
              <w:t>Dividends paid (including charge related to purchase of Series A</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340"/>
              <w:spacing w:after="0"/>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276"/>
        </w:trPr>
        <w:tc>
          <w:tcPr>
            <w:tcW w:w="4040" w:type="dxa"/>
            <w:vAlign w:val="bottom"/>
          </w:tcPr>
          <w:p>
            <w:pPr>
              <w:ind w:left="180"/>
              <w:spacing w:after="0"/>
              <w:rPr>
                <w:sz w:val="20"/>
                <w:szCs w:val="20"/>
                <w:color w:val="auto"/>
              </w:rPr>
            </w:pPr>
            <w:r>
              <w:rPr>
                <w:rFonts w:ascii="Arial" w:cs="Arial" w:eastAsia="Arial" w:hAnsi="Arial"/>
                <w:sz w:val="14"/>
                <w:szCs w:val="14"/>
                <w:color w:val="auto"/>
              </w:rPr>
              <w:t>Other financing activities</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45"/>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5,323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Arial" w:cs="Arial" w:eastAsia="Arial" w:hAnsi="Arial"/>
                <w:sz w:val="14"/>
                <w:szCs w:val="14"/>
                <w:color w:val="auto"/>
                <w:w w:val="98"/>
              </w:rPr>
              <w:t>Effect of exchange rate changes on cash and cash equivalents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76"/>
        </w:trPr>
        <w:tc>
          <w:tcPr>
            <w:tcW w:w="4040" w:type="dxa"/>
            <w:vAlign w:val="bottom"/>
          </w:tcPr>
          <w:p>
            <w:pPr>
              <w:ind w:left="180"/>
              <w:spacing w:after="0"/>
              <w:rPr>
                <w:sz w:val="20"/>
                <w:szCs w:val="20"/>
                <w:color w:val="auto"/>
              </w:rPr>
            </w:pPr>
            <w:r>
              <w:rPr>
                <w:rFonts w:ascii="Arial" w:cs="Arial" w:eastAsia="Arial" w:hAnsi="Arial"/>
                <w:sz w:val="14"/>
                <w:szCs w:val="14"/>
                <w:color w:val="auto"/>
              </w:rPr>
              <w:t>Net transactions with Automotive/GM Financial</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4040" w:type="dxa"/>
            <w:vAlign w:val="bottom"/>
          </w:tcPr>
          <w:p>
            <w:pPr>
              <w:ind w:left="180"/>
              <w:spacing w:after="0"/>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276"/>
        </w:trPr>
        <w:tc>
          <w:tcPr>
            <w:tcW w:w="40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18,947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17,133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16,543</w:t>
            </w:r>
          </w:p>
        </w:tc>
        <w:tc>
          <w:tcPr>
            <w:tcW w:w="120" w:type="dxa"/>
            <w:vAlign w:val="bottom"/>
          </w:tcPr>
          <w:p>
            <w:pPr>
              <w:spacing w:after="0"/>
              <w:rPr>
                <w:sz w:val="21"/>
                <w:szCs w:val="21"/>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1,517</w:t>
            </w:r>
          </w:p>
        </w:tc>
        <w:tc>
          <w:tcPr>
            <w:tcW w:w="120" w:type="dxa"/>
            <w:vAlign w:val="bottom"/>
          </w:tcPr>
          <w:p>
            <w:pPr>
              <w:spacing w:after="0"/>
              <w:rPr>
                <w:sz w:val="21"/>
                <w:szCs w:val="21"/>
                <w:color w:val="auto"/>
              </w:rPr>
            </w:pPr>
          </w:p>
        </w:tc>
        <w:tc>
          <w:tcPr>
            <w:tcW w:w="4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18,060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18,599</w:t>
            </w:r>
          </w:p>
        </w:tc>
        <w:tc>
          <w:tcPr>
            <w:tcW w:w="100" w:type="dxa"/>
            <w:vAlign w:val="bottom"/>
          </w:tcPr>
          <w:p>
            <w:pPr>
              <w:spacing w:after="0"/>
              <w:rPr>
                <w:sz w:val="21"/>
                <w:szCs w:val="21"/>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20,355</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color w:val="auto"/>
              </w:rPr>
              <w:t>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Reclassification of purchases/collections of wholesale finance receivables resulting from vehicles sold by GM to dealers that have arranged their inventory floor plan financing through GM Financial.</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2019-12-07T21:28:28Z</dcterms:created>
  <dcterms:modified xsi:type="dcterms:W3CDTF">2019-12-07T21:28:28Z</dcterms:modified>
</cp:coreProperties>
</file>