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24,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On July 24, 2014 a news release was issued on the subject of 2014 second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 xml:space="preserve">Charts furnished to securities analysts in connection with GM's 2014 second quarter earnings release are available on GM's website at </w:t>
      </w:r>
      <w:r>
        <w:rPr>
          <w:rFonts w:ascii="Arial" w:cs="Arial" w:eastAsia="Arial" w:hAnsi="Arial"/>
          <w:sz w:val="18"/>
          <w:szCs w:val="18"/>
          <w:u w:val="single" w:color="auto"/>
          <w:color w:val="0563C1"/>
        </w:rPr>
        <w:t>www.gm.com/company/investors/earning-releases.html</w:t>
      </w:r>
      <w:r>
        <w:rPr>
          <w:rFonts w:ascii="Arial" w:cs="Arial" w:eastAsia="Arial" w:hAnsi="Arial"/>
          <w:sz w:val="18"/>
          <w:szCs w:val="18"/>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3"/>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News Release Dated July 24, 2014 and Financial</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r>
      <w:tr>
        <w:trPr>
          <w:trHeight w:val="237"/>
        </w:trPr>
        <w:tc>
          <w:tcPr>
            <w:tcW w:w="3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702"/>
        </w:trPr>
        <w:tc>
          <w:tcPr>
            <w:tcW w:w="3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r>
      <w:tr>
        <w:trPr>
          <w:trHeight w:val="27"/>
        </w:trPr>
        <w:tc>
          <w:tcPr>
            <w:tcW w:w="310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Date: July 24, 2014</w:t>
            </w:r>
          </w:p>
        </w:tc>
        <w:tc>
          <w:tcPr>
            <w:tcW w:w="2300" w:type="dxa"/>
            <w:vAlign w:val="bottom"/>
          </w:tcPr>
          <w:p>
            <w:pPr>
              <w:ind w:left="1700"/>
              <w:spacing w:after="0"/>
              <w:rPr>
                <w:sz w:val="20"/>
                <w:szCs w:val="20"/>
                <w:color w:val="auto"/>
              </w:rPr>
            </w:pPr>
            <w:r>
              <w:rPr>
                <w:rFonts w:ascii="Arial" w:cs="Arial" w:eastAsia="Arial" w:hAnsi="Arial"/>
                <w:sz w:val="18"/>
                <w:szCs w:val="18"/>
                <w:color w:val="auto"/>
              </w:rPr>
              <w:t>By:</w:t>
            </w:r>
          </w:p>
        </w:tc>
        <w:tc>
          <w:tcPr>
            <w:tcW w:w="40" w:type="dxa"/>
            <w:vAlign w:val="bottom"/>
            <w:tcBorders>
              <w:top w:val="single" w:sz="8" w:color="auto"/>
            </w:tcBorders>
          </w:tcPr>
          <w:p>
            <w:pPr>
              <w:spacing w:after="0"/>
              <w:rPr>
                <w:sz w:val="19"/>
                <w:szCs w:val="19"/>
                <w:color w:val="auto"/>
              </w:rPr>
            </w:pP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Thomas S. Timko</w:t>
            </w:r>
          </w:p>
        </w:tc>
      </w:tr>
      <w:tr>
        <w:trPr>
          <w:trHeight w:val="230"/>
        </w:trPr>
        <w:tc>
          <w:tcPr>
            <w:tcW w:w="3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99.1</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July 24, 7:30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Second Quarter Net Income of $0.2 Billion</w:t>
      </w:r>
    </w:p>
    <w:p>
      <w:pPr>
        <w:spacing w:after="0" w:line="23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EBIT-adjusted of $1.4 billion, after $1.2 billion in recall-related costs and $0.2 billion in restructuring costs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Company records strong core operating performance in the second quarter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Special charge of $0.4 billion for GM ignition switch compensation program</w:t>
      </w:r>
    </w:p>
    <w:p>
      <w:pPr>
        <w:spacing w:after="0" w:line="194"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second quarter net income attributable to common stockholders of $0.2</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or $0.11 per diluted share. Strong core operating performance during the quarter was offset by a pre-tax net loss from special items of $1.3 billion, or $(0.47) per diluted share, and costs of $1.2 billion pre-tax primarily for recall-related repairs, or $(0.44) per diluted share.</w:t>
      </w:r>
    </w:p>
    <w:p>
      <w:pPr>
        <w:spacing w:after="0" w:line="15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"Our underlying business performance in the first half of the year was strong as we grew our revenue on improved pricing and solid new vehicle launches," said GM CEO Mary Barra. "We remain focused on keeping our customers at the center of all we do, and executing our plan to operate profitably in every region of the world."</w:t>
      </w:r>
    </w:p>
    <w:p>
      <w:pPr>
        <w:spacing w:after="0" w:line="186"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In the second quarter of 2013, GM’s net income attributable to common stockholders was $1.2 billion, or $0.75 per diluted share, which included a net loss from special items that reduced net income by $0.2 billion, or $(0.09) per diluted share.</w:t>
      </w:r>
    </w:p>
    <w:p>
      <w:pPr>
        <w:spacing w:after="0" w:line="177"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Earnings before interest and tax (EBIT) adjusted was $1.4 billion and included the impact of $1.2 billion in recall-related costs and $0.2 billion in restructuring costs. This compares to the second quarter of 2013, when the company recorded EBIT-adjusted of $2.3 billion, which included a charge of $0.2 billion for recalls and $0.1 billion in restructuring costs.</w:t>
      </w:r>
    </w:p>
    <w:p>
      <w:pPr>
        <w:spacing w:after="0" w:line="18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Net revenue in the second quarter of 2014 was $39.6 billion, compared to $39.1 billion in the second quarter of 2013. In the first six months of 2014, revenue rose to $77 billion, up from $76 billion in the same period a year ago.</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GM Results Overview </w:t>
      </w:r>
      <w:r>
        <w:rPr>
          <w:rFonts w:ascii="Arial" w:cs="Arial" w:eastAsia="Arial" w:hAnsi="Arial"/>
          <w:sz w:val="20"/>
          <w:szCs w:val="20"/>
          <w:color w:val="auto"/>
        </w:rPr>
        <w:t>(in billions except for per share amounts)</w:t>
      </w:r>
    </w:p>
    <w:p>
      <w:pPr>
        <w:spacing w:after="0" w:line="378" w:lineRule="exact"/>
        <w:rPr>
          <w:sz w:val="20"/>
          <w:szCs w:val="20"/>
          <w:color w:val="auto"/>
        </w:rPr>
      </w:pPr>
    </w:p>
    <w:tbl>
      <w:tblPr>
        <w:tblLayout w:type="fixed"/>
        <w:tblInd w:w="1100" w:type="dxa"/>
        <w:tblCellMar>
          <w:top w:w="0" w:type="dxa"/>
          <w:left w:w="0" w:type="dxa"/>
          <w:bottom w:w="0" w:type="dxa"/>
          <w:right w:w="0" w:type="dxa"/>
        </w:tblCellMar>
      </w:tblPr>
      <w:tr>
        <w:trPr>
          <w:trHeight w:val="256"/>
        </w:trPr>
        <w:tc>
          <w:tcPr>
            <w:tcW w:w="4420" w:type="dxa"/>
            <w:vAlign w:val="bottom"/>
          </w:tcPr>
          <w:p>
            <w:pPr>
              <w:spacing w:after="0"/>
              <w:rPr>
                <w:sz w:val="22"/>
                <w:szCs w:val="22"/>
                <w:color w:val="auto"/>
              </w:rPr>
            </w:pPr>
          </w:p>
        </w:tc>
        <w:tc>
          <w:tcPr>
            <w:tcW w:w="3260" w:type="dxa"/>
            <w:vAlign w:val="bottom"/>
          </w:tcPr>
          <w:p>
            <w:pPr>
              <w:jc w:val="center"/>
              <w:ind w:left="1622"/>
              <w:spacing w:after="0"/>
              <w:rPr>
                <w:sz w:val="20"/>
                <w:szCs w:val="20"/>
                <w:color w:val="auto"/>
              </w:rPr>
            </w:pPr>
            <w:r>
              <w:rPr>
                <w:rFonts w:ascii="Arial" w:cs="Arial" w:eastAsia="Arial" w:hAnsi="Arial"/>
                <w:sz w:val="20"/>
                <w:szCs w:val="20"/>
                <w:b w:val="1"/>
                <w:bCs w:val="1"/>
                <w:color w:val="auto"/>
                <w:w w:val="91"/>
              </w:rPr>
              <w:t>Q2 2014</w:t>
            </w:r>
          </w:p>
        </w:tc>
        <w:tc>
          <w:tcPr>
            <w:tcW w:w="1140" w:type="dxa"/>
            <w:vAlign w:val="bottom"/>
          </w:tcPr>
          <w:p>
            <w:pPr>
              <w:jc w:val="center"/>
              <w:ind w:left="341"/>
              <w:spacing w:after="0"/>
              <w:rPr>
                <w:sz w:val="20"/>
                <w:szCs w:val="20"/>
                <w:color w:val="auto"/>
              </w:rPr>
            </w:pPr>
            <w:r>
              <w:rPr>
                <w:rFonts w:ascii="Arial" w:cs="Arial" w:eastAsia="Arial" w:hAnsi="Arial"/>
                <w:sz w:val="20"/>
                <w:szCs w:val="20"/>
                <w:b w:val="1"/>
                <w:bCs w:val="1"/>
                <w:color w:val="auto"/>
                <w:w w:val="91"/>
              </w:rPr>
              <w:t>Q2 2013</w:t>
            </w:r>
          </w:p>
        </w:tc>
      </w:tr>
      <w:tr>
        <w:trPr>
          <w:trHeight w:val="284"/>
        </w:trPr>
        <w:tc>
          <w:tcPr>
            <w:tcW w:w="4420" w:type="dxa"/>
            <w:vAlign w:val="bottom"/>
          </w:tcPr>
          <w:p>
            <w:pPr>
              <w:spacing w:after="0"/>
              <w:rPr>
                <w:sz w:val="20"/>
                <w:szCs w:val="20"/>
                <w:color w:val="auto"/>
              </w:rPr>
            </w:pPr>
            <w:r>
              <w:rPr>
                <w:rFonts w:ascii="Arial" w:cs="Arial" w:eastAsia="Arial" w:hAnsi="Arial"/>
                <w:sz w:val="20"/>
                <w:szCs w:val="20"/>
                <w:b w:val="1"/>
                <w:bCs w:val="1"/>
                <w:color w:val="auto"/>
              </w:rPr>
              <w:t>Revenue</w:t>
            </w:r>
          </w:p>
        </w:tc>
        <w:tc>
          <w:tcPr>
            <w:tcW w:w="3260" w:type="dxa"/>
            <w:vAlign w:val="bottom"/>
          </w:tcPr>
          <w:p>
            <w:pPr>
              <w:jc w:val="center"/>
              <w:ind w:left="1602"/>
              <w:spacing w:after="0"/>
              <w:rPr>
                <w:sz w:val="20"/>
                <w:szCs w:val="20"/>
                <w:color w:val="auto"/>
              </w:rPr>
            </w:pPr>
            <w:r>
              <w:rPr>
                <w:rFonts w:ascii="Arial" w:cs="Arial" w:eastAsia="Arial" w:hAnsi="Arial"/>
                <w:sz w:val="20"/>
                <w:szCs w:val="20"/>
                <w:color w:val="auto"/>
                <w:w w:val="87"/>
              </w:rPr>
              <w:t>$39.6</w:t>
            </w:r>
          </w:p>
        </w:tc>
        <w:tc>
          <w:tcPr>
            <w:tcW w:w="1140" w:type="dxa"/>
            <w:vAlign w:val="bottom"/>
          </w:tcPr>
          <w:p>
            <w:pPr>
              <w:jc w:val="center"/>
              <w:ind w:left="361"/>
              <w:spacing w:after="0"/>
              <w:rPr>
                <w:sz w:val="20"/>
                <w:szCs w:val="20"/>
                <w:color w:val="auto"/>
              </w:rPr>
            </w:pPr>
            <w:r>
              <w:rPr>
                <w:rFonts w:ascii="Arial" w:cs="Arial" w:eastAsia="Arial" w:hAnsi="Arial"/>
                <w:sz w:val="20"/>
                <w:szCs w:val="20"/>
                <w:color w:val="auto"/>
                <w:w w:val="87"/>
              </w:rPr>
              <w:t>$39.1</w:t>
            </w:r>
          </w:p>
        </w:tc>
      </w:tr>
      <w:tr>
        <w:trPr>
          <w:trHeight w:val="284"/>
        </w:trPr>
        <w:tc>
          <w:tcPr>
            <w:tcW w:w="4420" w:type="dxa"/>
            <w:vAlign w:val="bottom"/>
          </w:tcPr>
          <w:p>
            <w:pPr>
              <w:spacing w:after="0"/>
              <w:rPr>
                <w:sz w:val="20"/>
                <w:szCs w:val="20"/>
                <w:color w:val="auto"/>
              </w:rPr>
            </w:pPr>
            <w:r>
              <w:rPr>
                <w:rFonts w:ascii="Arial" w:cs="Arial" w:eastAsia="Arial" w:hAnsi="Arial"/>
                <w:sz w:val="20"/>
                <w:szCs w:val="20"/>
                <w:b w:val="1"/>
                <w:bCs w:val="1"/>
                <w:color w:val="auto"/>
                <w:w w:val="94"/>
              </w:rPr>
              <w:t>Net income attributable to common stockholders</w:t>
            </w:r>
          </w:p>
        </w:tc>
        <w:tc>
          <w:tcPr>
            <w:tcW w:w="3260" w:type="dxa"/>
            <w:vAlign w:val="bottom"/>
          </w:tcPr>
          <w:p>
            <w:pPr>
              <w:jc w:val="center"/>
              <w:ind w:left="1602"/>
              <w:spacing w:after="0"/>
              <w:rPr>
                <w:sz w:val="20"/>
                <w:szCs w:val="20"/>
                <w:color w:val="auto"/>
              </w:rPr>
            </w:pPr>
            <w:r>
              <w:rPr>
                <w:rFonts w:ascii="Arial" w:cs="Arial" w:eastAsia="Arial" w:hAnsi="Arial"/>
                <w:sz w:val="20"/>
                <w:szCs w:val="20"/>
                <w:color w:val="auto"/>
                <w:w w:val="92"/>
              </w:rPr>
              <w:t>$0.2</w:t>
            </w:r>
          </w:p>
        </w:tc>
        <w:tc>
          <w:tcPr>
            <w:tcW w:w="1140" w:type="dxa"/>
            <w:vAlign w:val="bottom"/>
          </w:tcPr>
          <w:p>
            <w:pPr>
              <w:jc w:val="center"/>
              <w:ind w:left="341"/>
              <w:spacing w:after="0"/>
              <w:rPr>
                <w:sz w:val="20"/>
                <w:szCs w:val="20"/>
                <w:color w:val="auto"/>
              </w:rPr>
            </w:pPr>
            <w:r>
              <w:rPr>
                <w:rFonts w:ascii="Arial" w:cs="Arial" w:eastAsia="Arial" w:hAnsi="Arial"/>
                <w:sz w:val="20"/>
                <w:szCs w:val="20"/>
                <w:color w:val="auto"/>
                <w:w w:val="87"/>
              </w:rPr>
              <w:t>$1.2</w:t>
            </w:r>
          </w:p>
        </w:tc>
      </w:tr>
      <w:tr>
        <w:trPr>
          <w:trHeight w:val="284"/>
        </w:trPr>
        <w:tc>
          <w:tcPr>
            <w:tcW w:w="4420" w:type="dxa"/>
            <w:vAlign w:val="bottom"/>
          </w:tcPr>
          <w:p>
            <w:pPr>
              <w:spacing w:after="0"/>
              <w:rPr>
                <w:sz w:val="20"/>
                <w:szCs w:val="20"/>
                <w:color w:val="auto"/>
              </w:rPr>
            </w:pPr>
            <w:r>
              <w:rPr>
                <w:rFonts w:ascii="Arial" w:cs="Arial" w:eastAsia="Arial" w:hAnsi="Arial"/>
                <w:sz w:val="20"/>
                <w:szCs w:val="20"/>
                <w:b w:val="1"/>
                <w:bCs w:val="1"/>
                <w:color w:val="auto"/>
              </w:rPr>
              <w:t>Earnings per share (EPS) diluted</w:t>
            </w:r>
          </w:p>
        </w:tc>
        <w:tc>
          <w:tcPr>
            <w:tcW w:w="3260" w:type="dxa"/>
            <w:vAlign w:val="bottom"/>
          </w:tcPr>
          <w:p>
            <w:pPr>
              <w:jc w:val="center"/>
              <w:ind w:left="1602"/>
              <w:spacing w:after="0"/>
              <w:rPr>
                <w:sz w:val="20"/>
                <w:szCs w:val="20"/>
                <w:color w:val="auto"/>
              </w:rPr>
            </w:pPr>
            <w:r>
              <w:rPr>
                <w:rFonts w:ascii="Arial" w:cs="Arial" w:eastAsia="Arial" w:hAnsi="Arial"/>
                <w:sz w:val="20"/>
                <w:szCs w:val="20"/>
                <w:color w:val="auto"/>
                <w:w w:val="87"/>
              </w:rPr>
              <w:t>$0.11</w:t>
            </w:r>
          </w:p>
        </w:tc>
        <w:tc>
          <w:tcPr>
            <w:tcW w:w="1140" w:type="dxa"/>
            <w:vAlign w:val="bottom"/>
          </w:tcPr>
          <w:p>
            <w:pPr>
              <w:jc w:val="center"/>
              <w:ind w:left="361"/>
              <w:spacing w:after="0"/>
              <w:rPr>
                <w:sz w:val="20"/>
                <w:szCs w:val="20"/>
                <w:color w:val="auto"/>
              </w:rPr>
            </w:pPr>
            <w:r>
              <w:rPr>
                <w:rFonts w:ascii="Arial" w:cs="Arial" w:eastAsia="Arial" w:hAnsi="Arial"/>
                <w:sz w:val="20"/>
                <w:szCs w:val="20"/>
                <w:color w:val="auto"/>
                <w:w w:val="87"/>
              </w:rPr>
              <w:t>$0.75</w:t>
            </w:r>
          </w:p>
        </w:tc>
      </w:tr>
      <w:tr>
        <w:trPr>
          <w:trHeight w:val="284"/>
        </w:trPr>
        <w:tc>
          <w:tcPr>
            <w:tcW w:w="4420" w:type="dxa"/>
            <w:vAlign w:val="bottom"/>
          </w:tcPr>
          <w:p>
            <w:pPr>
              <w:spacing w:after="0"/>
              <w:rPr>
                <w:sz w:val="20"/>
                <w:szCs w:val="20"/>
                <w:color w:val="auto"/>
              </w:rPr>
            </w:pPr>
            <w:r>
              <w:rPr>
                <w:rFonts w:ascii="Arial" w:cs="Arial" w:eastAsia="Arial" w:hAnsi="Arial"/>
                <w:sz w:val="20"/>
                <w:szCs w:val="20"/>
                <w:b w:val="1"/>
                <w:bCs w:val="1"/>
                <w:color w:val="auto"/>
              </w:rPr>
              <w:t>Impact of special items on EPS diluted</w:t>
            </w:r>
          </w:p>
        </w:tc>
        <w:tc>
          <w:tcPr>
            <w:tcW w:w="3260" w:type="dxa"/>
            <w:vAlign w:val="bottom"/>
          </w:tcPr>
          <w:p>
            <w:pPr>
              <w:jc w:val="center"/>
              <w:ind w:left="1622"/>
              <w:spacing w:after="0"/>
              <w:rPr>
                <w:sz w:val="20"/>
                <w:szCs w:val="20"/>
                <w:color w:val="auto"/>
              </w:rPr>
            </w:pPr>
            <w:r>
              <w:rPr>
                <w:rFonts w:ascii="Arial" w:cs="Arial" w:eastAsia="Arial" w:hAnsi="Arial"/>
                <w:sz w:val="20"/>
                <w:szCs w:val="20"/>
                <w:color w:val="auto"/>
                <w:w w:val="91"/>
              </w:rPr>
              <w:t>$(0.47)</w:t>
            </w:r>
          </w:p>
        </w:tc>
        <w:tc>
          <w:tcPr>
            <w:tcW w:w="1140" w:type="dxa"/>
            <w:vAlign w:val="bottom"/>
          </w:tcPr>
          <w:p>
            <w:pPr>
              <w:jc w:val="center"/>
              <w:ind w:left="341"/>
              <w:spacing w:after="0"/>
              <w:rPr>
                <w:sz w:val="20"/>
                <w:szCs w:val="20"/>
                <w:color w:val="auto"/>
              </w:rPr>
            </w:pPr>
            <w:r>
              <w:rPr>
                <w:rFonts w:ascii="Arial" w:cs="Arial" w:eastAsia="Arial" w:hAnsi="Arial"/>
                <w:sz w:val="20"/>
                <w:szCs w:val="20"/>
                <w:color w:val="auto"/>
                <w:w w:val="91"/>
              </w:rPr>
              <w:t>$(0.09)</w:t>
            </w:r>
          </w:p>
        </w:tc>
      </w:tr>
      <w:tr>
        <w:trPr>
          <w:trHeight w:val="405"/>
        </w:trPr>
        <w:tc>
          <w:tcPr>
            <w:tcW w:w="4420" w:type="dxa"/>
            <w:vAlign w:val="bottom"/>
          </w:tcPr>
          <w:p>
            <w:pPr>
              <w:spacing w:after="0"/>
              <w:rPr>
                <w:sz w:val="20"/>
                <w:szCs w:val="20"/>
                <w:color w:val="auto"/>
              </w:rPr>
            </w:pPr>
            <w:r>
              <w:rPr>
                <w:rFonts w:ascii="Arial" w:cs="Arial" w:eastAsia="Arial" w:hAnsi="Arial"/>
                <w:sz w:val="20"/>
                <w:szCs w:val="20"/>
                <w:b w:val="1"/>
                <w:bCs w:val="1"/>
                <w:color w:val="auto"/>
              </w:rPr>
              <w:t>EBIT-adjusted</w:t>
            </w:r>
          </w:p>
        </w:tc>
        <w:tc>
          <w:tcPr>
            <w:tcW w:w="3260" w:type="dxa"/>
            <w:vAlign w:val="bottom"/>
          </w:tcPr>
          <w:p>
            <w:pPr>
              <w:jc w:val="center"/>
              <w:ind w:left="1602"/>
              <w:spacing w:after="0"/>
              <w:rPr>
                <w:sz w:val="20"/>
                <w:szCs w:val="20"/>
                <w:color w:val="auto"/>
              </w:rPr>
            </w:pPr>
            <w:r>
              <w:rPr>
                <w:rFonts w:ascii="Arial" w:cs="Arial" w:eastAsia="Arial" w:hAnsi="Arial"/>
                <w:sz w:val="20"/>
                <w:szCs w:val="20"/>
                <w:color w:val="auto"/>
                <w:w w:val="92"/>
              </w:rPr>
              <w:t>$1.4</w:t>
            </w:r>
          </w:p>
        </w:tc>
        <w:tc>
          <w:tcPr>
            <w:tcW w:w="1140" w:type="dxa"/>
            <w:vAlign w:val="bottom"/>
          </w:tcPr>
          <w:p>
            <w:pPr>
              <w:jc w:val="center"/>
              <w:ind w:left="341"/>
              <w:spacing w:after="0"/>
              <w:rPr>
                <w:sz w:val="20"/>
                <w:szCs w:val="20"/>
                <w:color w:val="auto"/>
              </w:rPr>
            </w:pPr>
            <w:r>
              <w:rPr>
                <w:rFonts w:ascii="Arial" w:cs="Arial" w:eastAsia="Arial" w:hAnsi="Arial"/>
                <w:sz w:val="20"/>
                <w:szCs w:val="20"/>
                <w:color w:val="auto"/>
                <w:w w:val="87"/>
              </w:rPr>
              <w:t>$2.3</w:t>
            </w:r>
          </w:p>
        </w:tc>
      </w:tr>
      <w:tr>
        <w:trPr>
          <w:trHeight w:val="405"/>
        </w:trPr>
        <w:tc>
          <w:tcPr>
            <w:tcW w:w="4420" w:type="dxa"/>
            <w:vAlign w:val="bottom"/>
          </w:tcPr>
          <w:p>
            <w:pPr>
              <w:spacing w:after="0"/>
              <w:rPr>
                <w:sz w:val="20"/>
                <w:szCs w:val="20"/>
                <w:color w:val="auto"/>
              </w:rPr>
            </w:pPr>
            <w:r>
              <w:rPr>
                <w:rFonts w:ascii="Arial" w:cs="Arial" w:eastAsia="Arial" w:hAnsi="Arial"/>
                <w:sz w:val="20"/>
                <w:szCs w:val="20"/>
                <w:b w:val="1"/>
                <w:bCs w:val="1"/>
                <w:color w:val="auto"/>
                <w:w w:val="91"/>
              </w:rPr>
              <w:t>Automotive net cash flow from operating activities</w:t>
            </w:r>
          </w:p>
        </w:tc>
        <w:tc>
          <w:tcPr>
            <w:tcW w:w="3260" w:type="dxa"/>
            <w:vAlign w:val="bottom"/>
          </w:tcPr>
          <w:p>
            <w:pPr>
              <w:jc w:val="center"/>
              <w:ind w:left="1602"/>
              <w:spacing w:after="0"/>
              <w:rPr>
                <w:sz w:val="20"/>
                <w:szCs w:val="20"/>
                <w:color w:val="auto"/>
              </w:rPr>
            </w:pPr>
            <w:r>
              <w:rPr>
                <w:rFonts w:ascii="Arial" w:cs="Arial" w:eastAsia="Arial" w:hAnsi="Arial"/>
                <w:sz w:val="20"/>
                <w:szCs w:val="20"/>
                <w:color w:val="auto"/>
                <w:w w:val="92"/>
              </w:rPr>
              <w:t>$3.6</w:t>
            </w:r>
          </w:p>
        </w:tc>
        <w:tc>
          <w:tcPr>
            <w:tcW w:w="1140" w:type="dxa"/>
            <w:vAlign w:val="bottom"/>
          </w:tcPr>
          <w:p>
            <w:pPr>
              <w:jc w:val="center"/>
              <w:ind w:left="341"/>
              <w:spacing w:after="0"/>
              <w:rPr>
                <w:sz w:val="20"/>
                <w:szCs w:val="20"/>
                <w:color w:val="auto"/>
              </w:rPr>
            </w:pPr>
            <w:r>
              <w:rPr>
                <w:rFonts w:ascii="Arial" w:cs="Arial" w:eastAsia="Arial" w:hAnsi="Arial"/>
                <w:sz w:val="20"/>
                <w:szCs w:val="20"/>
                <w:color w:val="auto"/>
                <w:w w:val="87"/>
              </w:rPr>
              <w:t>$4.5</w:t>
            </w:r>
          </w:p>
        </w:tc>
      </w:tr>
      <w:tr>
        <w:trPr>
          <w:trHeight w:val="284"/>
        </w:trPr>
        <w:tc>
          <w:tcPr>
            <w:tcW w:w="4420" w:type="dxa"/>
            <w:vAlign w:val="bottom"/>
          </w:tcPr>
          <w:p>
            <w:pPr>
              <w:spacing w:after="0"/>
              <w:rPr>
                <w:sz w:val="20"/>
                <w:szCs w:val="20"/>
                <w:color w:val="auto"/>
              </w:rPr>
            </w:pPr>
            <w:r>
              <w:rPr>
                <w:rFonts w:ascii="Arial" w:cs="Arial" w:eastAsia="Arial" w:hAnsi="Arial"/>
                <w:sz w:val="20"/>
                <w:szCs w:val="20"/>
                <w:b w:val="1"/>
                <w:bCs w:val="1"/>
                <w:color w:val="auto"/>
              </w:rPr>
              <w:t>Adjusted automotive free cash flow</w:t>
            </w:r>
          </w:p>
        </w:tc>
        <w:tc>
          <w:tcPr>
            <w:tcW w:w="3260" w:type="dxa"/>
            <w:vAlign w:val="bottom"/>
          </w:tcPr>
          <w:p>
            <w:pPr>
              <w:jc w:val="center"/>
              <w:ind w:left="1602"/>
              <w:spacing w:after="0"/>
              <w:rPr>
                <w:sz w:val="20"/>
                <w:szCs w:val="20"/>
                <w:color w:val="auto"/>
              </w:rPr>
            </w:pPr>
            <w:r>
              <w:rPr>
                <w:rFonts w:ascii="Arial" w:cs="Arial" w:eastAsia="Arial" w:hAnsi="Arial"/>
                <w:sz w:val="20"/>
                <w:szCs w:val="20"/>
                <w:color w:val="auto"/>
                <w:w w:val="92"/>
              </w:rPr>
              <w:t>$1.9</w:t>
            </w:r>
          </w:p>
        </w:tc>
        <w:tc>
          <w:tcPr>
            <w:tcW w:w="1140" w:type="dxa"/>
            <w:vAlign w:val="bottom"/>
          </w:tcPr>
          <w:p>
            <w:pPr>
              <w:jc w:val="center"/>
              <w:ind w:left="341"/>
              <w:spacing w:after="0"/>
              <w:rPr>
                <w:sz w:val="20"/>
                <w:szCs w:val="20"/>
                <w:color w:val="auto"/>
              </w:rPr>
            </w:pPr>
            <w:r>
              <w:rPr>
                <w:rFonts w:ascii="Arial" w:cs="Arial" w:eastAsia="Arial" w:hAnsi="Arial"/>
                <w:sz w:val="20"/>
                <w:szCs w:val="20"/>
                <w:color w:val="auto"/>
                <w:w w:val="87"/>
              </w:rPr>
              <w:t>$2.6</w:t>
            </w:r>
          </w:p>
        </w:tc>
      </w:tr>
      <w:tr>
        <w:trPr>
          <w:trHeight w:val="482"/>
        </w:trPr>
        <w:tc>
          <w:tcPr>
            <w:tcW w:w="4420" w:type="dxa"/>
            <w:vAlign w:val="bottom"/>
          </w:tcPr>
          <w:p>
            <w:pPr>
              <w:spacing w:after="0"/>
              <w:rPr>
                <w:sz w:val="24"/>
                <w:szCs w:val="24"/>
                <w:color w:val="auto"/>
              </w:rPr>
            </w:pPr>
          </w:p>
        </w:tc>
        <w:tc>
          <w:tcPr>
            <w:tcW w:w="3260" w:type="dxa"/>
            <w:vAlign w:val="bottom"/>
          </w:tcPr>
          <w:p>
            <w:pPr>
              <w:jc w:val="right"/>
              <w:ind w:right="2922"/>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Segment Results</w:t>
      </w:r>
    </w:p>
    <w:p>
      <w:pPr>
        <w:spacing w:after="0" w:line="222" w:lineRule="exact"/>
        <w:rPr>
          <w:sz w:val="20"/>
          <w:szCs w:val="20"/>
          <w:color w:val="auto"/>
        </w:rPr>
      </w:pPr>
    </w:p>
    <w:p>
      <w:pPr>
        <w:ind w:left="660" w:right="180" w:hanging="328"/>
        <w:spacing w:after="0" w:line="24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North America reported EBIT-adjusted of $1.4 billion which included the impact of $1.0 billion in recall-related costs in the quarter. This compared with EBIT-adjusted of $2.0 billion in the second quarter of 2013, which included the impact of $0.1 billion in recall-related costs in the quarter.</w:t>
      </w:r>
    </w:p>
    <w:p>
      <w:pPr>
        <w:ind w:left="660" w:right="6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Europe reported an EBIT-adjusted of $(0.3) billion, which includes $0.2 billion for restructuring costs. This compares with $(0.1) billion of EBIT-adjusted in the second quarter of 2013.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GM International Operations reported EBIT-adjusted of $0.3 billion, compared to $0.2 billion in the second quarter of 2013.</w:t>
      </w:r>
    </w:p>
    <w:p>
      <w:pPr>
        <w:spacing w:after="0" w:line="11" w:lineRule="exact"/>
        <w:rPr>
          <w:rFonts w:ascii="Arial" w:cs="Arial" w:eastAsia="Arial" w:hAnsi="Arial"/>
          <w:sz w:val="17"/>
          <w:szCs w:val="17"/>
          <w:color w:val="auto"/>
        </w:rPr>
      </w:pPr>
    </w:p>
    <w:p>
      <w:pPr>
        <w:ind w:left="660" w:right="38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South America reported EBIT-adjusted of $(0.1) billion, compared with EBIT-adjusted of $0.1 billion in the second quarter of 2013.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Financial earnings before tax was $0.3 billion for the quarter, compared to $0.3 billion in the second quarter of 2013.</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Items</w:t>
      </w:r>
    </w:p>
    <w:p>
      <w:pPr>
        <w:spacing w:after="0" w:line="222"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A special charge of $0.4 billion was taken for the GM ignition switch compensation program. There is no cap on this program, but this charge is the company’s best estimate of the amounts that may be paid to claimants. Due to the unique nature of the program, this estimate contains significant uncertainty and it is possible the total cost could increase by approximately $0.2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previously disclosed, going forward the company expects recall expense to normalize to a slightly higher rate than it experienced prior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this year, but not materially. The company is changing how it estimates future recall expense and will now accrue at the time of vehicle sale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that represents management’s best estimate of future recall costs in North America. As a consequence of this change, GM is taking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$0.9 billion non-cash pre-tax special charge in the second quarter for the estimated costs of future possible recalls for up to the next 10 years on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30 million GM vehicles on the road today.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22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For the quarter, automotive cash flow from operating activities was $3.6 billion and automotive free cash flow adjusted was $1.9 billion. GM ended the quarter with very strong total automotive liquidity of $38.8 billion. Automotive cash and marketable securities was $28.4 billion compared with $27.0 billion for the first quarter of 2014.</w:t>
      </w:r>
    </w:p>
    <w:p>
      <w:pPr>
        <w:spacing w:after="0" w:line="186"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“With successful new vehicle launches, we continue to generate strong results in the U.S. and China and remain on track to be profitable in Europe by mid-decade,” said Chuck Stevens, GM executive vice president and chief financial officer. “We are confident we are currently on or ahead of plan to deliver the results we promised earlier this year, excluding the effects of recalls.”</w:t>
      </w:r>
    </w:p>
    <w:p>
      <w:pPr>
        <w:spacing w:after="0" w:line="173"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700" w:type="dxa"/>
            <w:vAlign w:val="bottom"/>
            <w:gridSpan w:val="2"/>
          </w:tcPr>
          <w:p>
            <w:pPr>
              <w:jc w:val="right"/>
              <w:ind w:right="150"/>
              <w:spacing w:after="0"/>
              <w:rPr>
                <w:sz w:val="20"/>
                <w:szCs w:val="20"/>
                <w:color w:val="auto"/>
              </w:rPr>
            </w:pPr>
            <w:r>
              <w:rPr>
                <w:rFonts w:ascii="Arial" w:cs="Arial" w:eastAsia="Arial" w:hAnsi="Arial"/>
                <w:sz w:val="16"/>
                <w:szCs w:val="16"/>
                <w:color w:val="auto"/>
              </w:rPr>
              <w:t># # #</w:t>
            </w:r>
          </w:p>
        </w:tc>
      </w:tr>
      <w:tr>
        <w:trPr>
          <w:trHeight w:val="372"/>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CONTACTS:</w:t>
            </w: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78"/>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Tom Henderson</w:t>
            </w:r>
          </w:p>
        </w:tc>
        <w:tc>
          <w:tcPr>
            <w:tcW w:w="2700" w:type="dxa"/>
            <w:vAlign w:val="bottom"/>
            <w:gridSpan w:val="2"/>
          </w:tcPr>
          <w:p>
            <w:pPr>
              <w:ind w:left="920"/>
              <w:spacing w:after="0"/>
              <w:rPr>
                <w:sz w:val="20"/>
                <w:szCs w:val="20"/>
                <w:color w:val="auto"/>
              </w:rPr>
            </w:pPr>
            <w:r>
              <w:rPr>
                <w:rFonts w:ascii="Arial" w:cs="Arial" w:eastAsia="Arial" w:hAnsi="Arial"/>
                <w:sz w:val="18"/>
                <w:szCs w:val="18"/>
                <w:color w:val="auto"/>
              </w:rPr>
              <w:t>Randy Arickx</w:t>
            </w:r>
          </w:p>
        </w:tc>
      </w:tr>
      <w:tr>
        <w:trPr>
          <w:trHeight w:val="216"/>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313-410-2704</w:t>
            </w:r>
          </w:p>
        </w:tc>
        <w:tc>
          <w:tcPr>
            <w:tcW w:w="1440" w:type="dxa"/>
            <w:vAlign w:val="bottom"/>
          </w:tcPr>
          <w:p>
            <w:pPr>
              <w:spacing w:after="0"/>
              <w:rPr>
                <w:sz w:val="18"/>
                <w:szCs w:val="18"/>
                <w:color w:val="auto"/>
              </w:rPr>
            </w:pPr>
          </w:p>
        </w:tc>
        <w:tc>
          <w:tcPr>
            <w:tcW w:w="2700" w:type="dxa"/>
            <w:vAlign w:val="bottom"/>
            <w:gridSpan w:val="2"/>
          </w:tcPr>
          <w:p>
            <w:pPr>
              <w:ind w:left="920"/>
              <w:spacing w:after="0"/>
              <w:rPr>
                <w:sz w:val="20"/>
                <w:szCs w:val="20"/>
                <w:color w:val="auto"/>
              </w:rPr>
            </w:pPr>
            <w:r>
              <w:rPr>
                <w:rFonts w:ascii="Arial" w:cs="Arial" w:eastAsia="Arial" w:hAnsi="Arial"/>
                <w:sz w:val="18"/>
                <w:szCs w:val="18"/>
                <w:color w:val="auto"/>
              </w:rPr>
              <w:t>313-268-7070</w:t>
            </w:r>
          </w:p>
        </w:tc>
      </w:tr>
      <w:tr>
        <w:trPr>
          <w:trHeight w:val="216"/>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Global Financial Communications</w:t>
            </w:r>
          </w:p>
        </w:tc>
        <w:tc>
          <w:tcPr>
            <w:tcW w:w="2700" w:type="dxa"/>
            <w:vAlign w:val="bottom"/>
            <w:gridSpan w:val="2"/>
          </w:tcPr>
          <w:p>
            <w:pPr>
              <w:ind w:left="920"/>
              <w:spacing w:after="0"/>
              <w:rPr>
                <w:sz w:val="20"/>
                <w:szCs w:val="20"/>
                <w:color w:val="auto"/>
              </w:rPr>
            </w:pPr>
            <w:r>
              <w:rPr>
                <w:rFonts w:ascii="Arial" w:cs="Arial" w:eastAsia="Arial" w:hAnsi="Arial"/>
                <w:sz w:val="18"/>
                <w:szCs w:val="18"/>
                <w:color w:val="auto"/>
                <w:w w:val="98"/>
              </w:rPr>
              <w:t>GM Investor Relations</w:t>
            </w:r>
          </w:p>
        </w:tc>
      </w:tr>
      <w:tr>
        <w:trPr>
          <w:trHeight w:val="190"/>
        </w:trPr>
        <w:tc>
          <w:tcPr>
            <w:tcW w:w="3420" w:type="dxa"/>
            <w:vAlign w:val="bottom"/>
            <w:gridSpan w:val="3"/>
          </w:tcPr>
          <w:p>
            <w:pPr>
              <w:ind w:left="40"/>
              <w:spacing w:after="0" w:line="190" w:lineRule="exact"/>
              <w:rPr>
                <w:sz w:val="20"/>
                <w:szCs w:val="20"/>
                <w:color w:val="auto"/>
              </w:rPr>
            </w:pPr>
            <w:r>
              <w:rPr>
                <w:rFonts w:ascii="Arial" w:cs="Arial" w:eastAsia="Arial" w:hAnsi="Arial"/>
                <w:sz w:val="18"/>
                <w:szCs w:val="18"/>
                <w:color w:val="0000FF"/>
              </w:rPr>
              <w:t>tom.e.henderson@gm.com</w:t>
            </w:r>
          </w:p>
        </w:tc>
        <w:tc>
          <w:tcPr>
            <w:tcW w:w="2700" w:type="dxa"/>
            <w:vAlign w:val="bottom"/>
            <w:gridSpan w:val="2"/>
          </w:tcPr>
          <w:p>
            <w:pPr>
              <w:ind w:left="920"/>
              <w:spacing w:after="0" w:line="190" w:lineRule="exact"/>
              <w:rPr>
                <w:sz w:val="20"/>
                <w:szCs w:val="20"/>
                <w:color w:val="auto"/>
              </w:rPr>
            </w:pPr>
            <w:r>
              <w:rPr>
                <w:rFonts w:ascii="Arial" w:cs="Arial" w:eastAsia="Arial" w:hAnsi="Arial"/>
                <w:sz w:val="18"/>
                <w:szCs w:val="18"/>
                <w:color w:val="0000FF"/>
                <w:w w:val="91"/>
              </w:rPr>
              <w:t>randy.c.arickx@gm.com</w:t>
            </w:r>
          </w:p>
        </w:tc>
      </w:tr>
      <w:tr>
        <w:trPr>
          <w:trHeight w:val="507"/>
        </w:trPr>
        <w:tc>
          <w:tcPr>
            <w:tcW w:w="40" w:type="dxa"/>
            <w:vAlign w:val="bottom"/>
          </w:tcPr>
          <w:p>
            <w:pPr>
              <w:spacing w:after="0"/>
              <w:rPr>
                <w:sz w:val="24"/>
                <w:szCs w:val="24"/>
                <w:color w:val="auto"/>
              </w:rPr>
            </w:pPr>
          </w:p>
        </w:tc>
        <w:tc>
          <w:tcPr>
            <w:tcW w:w="1940" w:type="dxa"/>
            <w:vAlign w:val="bottom"/>
            <w:tcBorders>
              <w:top w:val="single" w:sz="8" w:color="0000FF"/>
            </w:tcBorders>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Borders>
              <w:top w:val="single" w:sz="8" w:color="0000FF"/>
            </w:tcBorders>
          </w:tcPr>
          <w:p>
            <w:pPr>
              <w:jc w:val="right"/>
              <w:ind w:right="2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576" w:right="2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“appears,”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recent recalls; our ability to remain competitive in Korea and our ability to continue to attract new customers, particularly for our new products. GM's most recent annual report on Form 10-K and quarterly report on Form 10-Q provides information about these and other factors, which we may revise or supplement in future reports to the SEC.</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5" w:right="259" w:bottom="1440" w:gutter="0" w:footer="0" w:header="0"/>
        </w:sectPr>
      </w:pPr>
    </w:p>
    <w:bookmarkStart w:id="6" w:name="page7"/>
    <w:bookmarkEnd w:id="6"/>
    <w:p>
      <w:pPr>
        <w:jc w:val="center"/>
        <w:ind w:left="980"/>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The accompanying tables and charts include earnings before interest and taxes adjusted for special items, presented net of noncontrolling interests (EBIT-adjusted) and Automotive adjusted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87" w:lineRule="exact"/>
        <w:rPr>
          <w:sz w:val="20"/>
          <w:szCs w:val="20"/>
          <w:color w:val="auto"/>
        </w:rPr>
      </w:pPr>
    </w:p>
    <w:p>
      <w:pPr>
        <w:ind w:right="100" w:firstLine="162"/>
        <w:spacing w:after="0" w:line="297" w:lineRule="auto"/>
        <w:rPr>
          <w:sz w:val="20"/>
          <w:szCs w:val="20"/>
          <w:color w:val="auto"/>
        </w:rPr>
      </w:pPr>
      <w:r>
        <w:rPr>
          <w:rFonts w:ascii="Arial" w:cs="Arial" w:eastAsia="Arial" w:hAnsi="Arial"/>
          <w:sz w:val="16"/>
          <w:szCs w:val="16"/>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58"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Income before taxes. Due to these limitations, these non-GAAP financial measures are used as a supplement to U.S. GAAP measures.</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reconciliation of EBIT-adjusted to its most comparable U.S. GAAP measure, Income before income taxes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segments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GMNA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GME(a)</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GMIO(a)</w:t>
            </w:r>
          </w:p>
        </w:tc>
        <w:tc>
          <w:tcPr>
            <w:tcW w:w="22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GMSA</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GM Financial(b)</w:t>
            </w:r>
          </w:p>
        </w:tc>
        <w:tc>
          <w:tcPr>
            <w:tcW w:w="22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Total operating segments(c)</w:t>
            </w:r>
          </w:p>
        </w:tc>
        <w:tc>
          <w:tcPr>
            <w:tcW w:w="22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70"/>
        </w:trPr>
        <w:tc>
          <w:tcPr>
            <w:tcW w:w="5160" w:type="dxa"/>
            <w:vAlign w:val="bottom"/>
          </w:tcPr>
          <w:p>
            <w:pPr>
              <w:ind w:left="200"/>
              <w:spacing w:after="0"/>
              <w:rPr>
                <w:sz w:val="20"/>
                <w:szCs w:val="20"/>
                <w:color w:val="auto"/>
              </w:rPr>
            </w:pPr>
            <w:r>
              <w:rPr>
                <w:rFonts w:ascii="Arial" w:cs="Arial" w:eastAsia="Arial" w:hAnsi="Arial"/>
                <w:sz w:val="18"/>
                <w:szCs w:val="18"/>
                <w:color w:val="auto"/>
              </w:rPr>
              <w:t>Corporate and eliminations</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EBIT-adjusted(c)</w:t>
            </w:r>
          </w:p>
        </w:tc>
        <w:tc>
          <w:tcPr>
            <w:tcW w:w="22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1,351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2,276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1,817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4,042</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Corporate interest income</w:t>
            </w:r>
          </w:p>
        </w:tc>
        <w:tc>
          <w:tcPr>
            <w:tcW w:w="22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3,724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right="280" w:hanging="252"/>
        <w:spacing w:after="0" w:line="246"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our Russian subsidiaries previously reported in our GMIO segment to our GME segment. Prior year segment results have been reclassified so all information is shown on a comparable basis. Consolidated results are unaffected by this change.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right="140" w:hanging="252"/>
        <w:spacing w:after="0" w:line="257"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and interest expense and income taxes are recorded centrally in Corporate; therefore, there are no reconciling items for GM's automotive operating segments between EBIT-adjusted and Income before income taxes.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June 30, 2014 special items consisted of a catch-up adjustment related to the change in estimate for recall campaigns of $874 million in GMNA, a charge related to the ignition switch recall compensation program of $400 million in Corporate and other of $5 million.</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six months ended June 30, 2014 special items consisted of a catch-up adjustment related to the change in estimate for recall campaigns of $874 million in GMNA, Venezuela currency devaluation of $419 million in GMSA, a charge related to the ignition switch recall compensation program of $400 million in Corporate and other of $13 million.</w:t>
      </w:r>
    </w:p>
    <w:p>
      <w:pPr>
        <w:spacing w:after="0" w:line="181"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In the three months ended June 30, 2013 special items consisted of pension settlement credits of $37 million in GMNA and the acquisition of GM Korea preferred shares of $67 million in GMIO.</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six months ended June 30, 2013 special items consisted of the acquisition of GM Korea preferred shares of $67 million in GMIO, Venezuela currency devaluation of $162 million in GMSA and other of $29 million.</w:t>
      </w:r>
    </w:p>
    <w:p>
      <w:pPr>
        <w:spacing w:after="0" w:line="17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Automotive adjusted free cash flow to Automotive net cash provided by operating activities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2013</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Automotive adjusted free cash flow</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1,240</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Less: Adjustments</w:t>
            </w:r>
          </w:p>
        </w:tc>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Automotive free cash flow</w:t>
            </w:r>
          </w:p>
        </w:tc>
        <w:tc>
          <w:tcPr>
            <w:tcW w:w="2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1,169</w:t>
            </w: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3"/>
                <w:szCs w:val="23"/>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3,829</w:t>
            </w:r>
          </w:p>
        </w:tc>
      </w:tr>
      <w:tr>
        <w:trPr>
          <w:trHeight w:val="27"/>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20" w:type="dxa"/>
            <w:vAlign w:val="bottom"/>
          </w:tcPr>
          <w:p>
            <w:pPr>
              <w:spacing w:after="0"/>
              <w:rPr>
                <w:sz w:val="20"/>
                <w:szCs w:val="20"/>
                <w:color w:val="auto"/>
              </w:rPr>
            </w:pPr>
            <w:r>
              <w:rPr>
                <w:rFonts w:ascii="Arial" w:cs="Arial" w:eastAsia="Arial" w:hAnsi="Arial"/>
                <w:sz w:val="18"/>
                <w:szCs w:val="18"/>
                <w:b w:val="1"/>
                <w:bCs w:val="1"/>
                <w:color w:val="auto"/>
              </w:rPr>
              <w:t>Automotive net cash provided by operating activities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3,602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4,455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5,602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4,998</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Adjustments to free cash flow included pension contributions of $71 million related to the previously announced annuitization of the U.S. salaried pension plan in the six months ended June 30,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w w:val="97"/>
              </w:rPr>
              <w:t>Three Months Ended June 30, 2014</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25,671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5,974</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3,602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3,177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38,462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1,191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39,649</w:t>
            </w:r>
          </w:p>
        </w:tc>
      </w:tr>
      <w:tr>
        <w:trPr>
          <w:trHeight w:val="392"/>
        </w:trPr>
        <w:tc>
          <w:tcPr>
            <w:tcW w:w="218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1,153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192</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1,658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1,666</w:t>
            </w:r>
          </w:p>
        </w:tc>
      </w:tr>
      <w:tr>
        <w:trPr>
          <w:trHeight w:val="285"/>
        </w:trPr>
        <w:tc>
          <w:tcPr>
            <w:tcW w:w="2180" w:type="dxa"/>
            <w:vAlign w:val="bottom"/>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0"/>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115</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1,620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1,819</w:t>
            </w:r>
          </w:p>
        </w:tc>
      </w:tr>
      <w:tr>
        <w:trPr>
          <w:trHeight w:val="392"/>
        </w:trPr>
        <w:tc>
          <w:tcPr>
            <w:tcW w:w="218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523</w:t>
            </w:r>
          </w:p>
        </w:tc>
      </w:tr>
      <w:tr>
        <w:trPr>
          <w:trHeight w:val="281"/>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w w:val="91"/>
              </w:rPr>
              <w:t>Three Months Ended June 30, 2013(a)</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23,495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5,606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4,798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4,308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38,246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39,075</w:t>
            </w:r>
          </w:p>
        </w:tc>
      </w:tr>
      <w:tr>
        <w:trPr>
          <w:trHeight w:val="405"/>
        </w:trPr>
        <w:tc>
          <w:tcPr>
            <w:tcW w:w="218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1,454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155</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1,890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1,893</w:t>
            </w:r>
          </w:p>
        </w:tc>
      </w:tr>
      <w:tr>
        <w:trPr>
          <w:trHeight w:val="285"/>
        </w:trPr>
        <w:tc>
          <w:tcPr>
            <w:tcW w:w="2180" w:type="dxa"/>
            <w:vAlign w:val="bottom"/>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0"/>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1,014</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1,471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1,578</w:t>
            </w:r>
          </w:p>
        </w:tc>
      </w:tr>
      <w:tr>
        <w:trPr>
          <w:trHeight w:val="392"/>
        </w:trPr>
        <w:tc>
          <w:tcPr>
            <w:tcW w:w="218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417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429</w:t>
            </w:r>
          </w:p>
        </w:tc>
      </w:tr>
      <w:tr>
        <w:trPr>
          <w:trHeight w:val="281"/>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rPr>
              <w:t>Six Months Ended June 30, 2014</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50,075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11,594</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6,832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6,202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74,777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2,288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77,057</w:t>
            </w:r>
          </w:p>
        </w:tc>
      </w:tr>
      <w:tr>
        <w:trPr>
          <w:trHeight w:val="392"/>
        </w:trPr>
        <w:tc>
          <w:tcPr>
            <w:tcW w:w="218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2,348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393</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472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3,410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3,425</w:t>
            </w:r>
          </w:p>
        </w:tc>
      </w:tr>
      <w:tr>
        <w:trPr>
          <w:trHeight w:val="285"/>
        </w:trPr>
        <w:tc>
          <w:tcPr>
            <w:tcW w:w="2180" w:type="dxa"/>
            <w:vAlign w:val="bottom"/>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0"/>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224</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3,051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3,426</w:t>
            </w:r>
          </w:p>
        </w:tc>
      </w:tr>
      <w:tr>
        <w:trPr>
          <w:trHeight w:val="392"/>
        </w:trPr>
        <w:tc>
          <w:tcPr>
            <w:tcW w:w="218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1,114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1,128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1,128</w:t>
            </w:r>
          </w:p>
        </w:tc>
      </w:tr>
      <w:tr>
        <w:trPr>
          <w:trHeight w:val="430"/>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54"/>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w w:val="97"/>
              </w:rPr>
              <w:t>Six Months Ended June 30, 2013(a)</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46,474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10,878</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9,164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7,999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74,590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1,376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75,959</w:t>
            </w:r>
          </w:p>
        </w:tc>
      </w:tr>
      <w:tr>
        <w:trPr>
          <w:trHeight w:val="392"/>
        </w:trPr>
        <w:tc>
          <w:tcPr>
            <w:tcW w:w="218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2,739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374</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412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3,829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3,833</w:t>
            </w:r>
          </w:p>
        </w:tc>
      </w:tr>
      <w:tr>
        <w:trPr>
          <w:trHeight w:val="285"/>
        </w:trPr>
        <w:tc>
          <w:tcPr>
            <w:tcW w:w="2180" w:type="dxa"/>
            <w:vAlign w:val="bottom"/>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0"/>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1,940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247</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389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2,856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3,043</w:t>
            </w:r>
          </w:p>
        </w:tc>
      </w:tr>
      <w:tr>
        <w:trPr>
          <w:trHeight w:val="392"/>
        </w:trPr>
        <w:tc>
          <w:tcPr>
            <w:tcW w:w="218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958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984</w:t>
            </w:r>
          </w:p>
        </w:tc>
      </w:tr>
      <w:tr>
        <w:trPr>
          <w:trHeight w:val="209"/>
        </w:trPr>
        <w:tc>
          <w:tcPr>
            <w:tcW w:w="218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jc w:val="both"/>
        <w:ind w:left="260" w:right="420" w:hanging="252"/>
        <w:spacing w:after="0" w:line="25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its Russian subsidiaries previously reported in its GMIO segment to its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2014</w:t>
            </w:r>
          </w:p>
        </w:tc>
        <w:tc>
          <w:tcPr>
            <w:tcW w:w="17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 2013</w:t>
            </w:r>
          </w:p>
        </w:tc>
      </w:tr>
      <w:tr>
        <w:trPr>
          <w:trHeight w:val="243"/>
        </w:trPr>
        <w:tc>
          <w:tcPr>
            <w:tcW w:w="8080" w:type="dxa"/>
            <w:vAlign w:val="bottom"/>
          </w:tcPr>
          <w:p>
            <w:pPr>
              <w:spacing w:after="0"/>
              <w:rPr>
                <w:sz w:val="20"/>
                <w:szCs w:val="20"/>
                <w:color w:val="auto"/>
              </w:rPr>
            </w:pPr>
            <w:r>
              <w:rPr>
                <w:rFonts w:ascii="Arial" w:cs="Arial" w:eastAsia="Arial" w:hAnsi="Arial"/>
                <w:sz w:val="18"/>
                <w:szCs w:val="18"/>
                <w:b w:val="1"/>
                <w:bCs w:val="1"/>
                <w:color w:val="auto"/>
              </w:rPr>
              <w:t>Worldwide Employment (in thousands)</w:t>
            </w: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GMNA</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GMIO</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GMSA</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 Financial</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80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Worldwide</w:t>
            </w: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219</w:t>
            </w:r>
          </w:p>
        </w:tc>
      </w:tr>
      <w:tr>
        <w:trPr>
          <w:trHeight w:val="20"/>
        </w:trPr>
        <w:tc>
          <w:tcPr>
            <w:tcW w:w="8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00"/>
        </w:trPr>
        <w:tc>
          <w:tcPr>
            <w:tcW w:w="8080" w:type="dxa"/>
            <w:vAlign w:val="bottom"/>
          </w:tcPr>
          <w:p>
            <w:pPr>
              <w:spacing w:after="0"/>
              <w:rPr>
                <w:sz w:val="20"/>
                <w:szCs w:val="20"/>
                <w:color w:val="auto"/>
              </w:rPr>
            </w:pPr>
            <w:r>
              <w:rPr>
                <w:rFonts w:ascii="Arial" w:cs="Arial" w:eastAsia="Arial" w:hAnsi="Arial"/>
                <w:sz w:val="18"/>
                <w:szCs w:val="18"/>
                <w:color w:val="auto"/>
              </w:rPr>
              <w:t>U.S. - Salaried</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U.S. - Hourly</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and Retail Vehicle Sales</w:t>
      </w:r>
    </w:p>
    <w:p>
      <w:pPr>
        <w:spacing w:after="0" w:line="229" w:lineRule="exact"/>
        <w:rPr>
          <w:sz w:val="20"/>
          <w:szCs w:val="20"/>
          <w:color w:val="auto"/>
        </w:rPr>
      </w:pPr>
    </w:p>
    <w:p>
      <w:pPr>
        <w:jc w:val="both"/>
        <w:ind w:right="60" w:firstLine="162"/>
        <w:spacing w:after="0" w:line="259"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Worldwide market share and vehicle sales data exclude the markets of Cuba,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motor vehicles by automotive segment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2014</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2013</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tcPr>
          <w:p>
            <w:pPr>
              <w:jc w:val="right"/>
              <w:ind w:right="173"/>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GMNA</w:t>
            </w:r>
          </w:p>
        </w:tc>
        <w:tc>
          <w:tcPr>
            <w:tcW w:w="13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21"/>
                <w:szCs w:val="21"/>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GME(a)</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GMIO(a)</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GMSA</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Worldwide</w:t>
            </w: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260" w:right="420" w:hanging="252"/>
        <w:spacing w:after="0" w:line="25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three months ended March 31, 2014 GM changed its managerial and financial reporting structure to reclassify the results of its Russian subsidiaries previously reported in its GMIO segment to its GME segment.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Sales and Market Share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summarize total retail vehicle sales volume and market share by geographic region (vehicles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3"/>
        </w:trPr>
        <w:tc>
          <w:tcPr>
            <w:tcW w:w="558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2014</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2013</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Retail Vehicle Sales</w:t>
            </w: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United States</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Chevrolet - Cars</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Chevrolet - Trucks</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Chevrolet - Crossovers</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Cadillac</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Buick</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GMC</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Total United States</w:t>
            </w:r>
          </w:p>
        </w:tc>
        <w:tc>
          <w:tcPr>
            <w:tcW w:w="1380" w:type="dxa"/>
            <w:vAlign w:val="bottom"/>
          </w:tcPr>
          <w:p>
            <w:pPr>
              <w:jc w:val="right"/>
              <w:ind w:right="51"/>
              <w:spacing w:after="0"/>
              <w:rPr>
                <w:sz w:val="20"/>
                <w:szCs w:val="20"/>
                <w:color w:val="auto"/>
              </w:rPr>
            </w:pPr>
            <w:r>
              <w:rPr>
                <w:rFonts w:ascii="Arial" w:cs="Arial" w:eastAsia="Arial" w:hAnsi="Arial"/>
                <w:sz w:val="18"/>
                <w:szCs w:val="18"/>
                <w:b w:val="1"/>
                <w:bCs w:val="1"/>
                <w:color w:val="auto"/>
              </w:rPr>
              <w:t>806</w:t>
            </w:r>
          </w:p>
        </w:tc>
        <w:tc>
          <w:tcPr>
            <w:tcW w:w="1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755</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1,456</w:t>
            </w:r>
          </w:p>
        </w:tc>
        <w:tc>
          <w:tcPr>
            <w:tcW w:w="1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1,420</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Canada, Mexico and Other</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Total North America</w:t>
            </w:r>
          </w:p>
        </w:tc>
        <w:tc>
          <w:tcPr>
            <w:tcW w:w="1380" w:type="dxa"/>
            <w:vAlign w:val="bottom"/>
          </w:tcPr>
          <w:p>
            <w:pPr>
              <w:jc w:val="right"/>
              <w:ind w:right="51"/>
              <w:spacing w:after="0"/>
              <w:rPr>
                <w:sz w:val="20"/>
                <w:szCs w:val="20"/>
                <w:color w:val="auto"/>
              </w:rPr>
            </w:pPr>
            <w:r>
              <w:rPr>
                <w:rFonts w:ascii="Arial" w:cs="Arial" w:eastAsia="Arial" w:hAnsi="Arial"/>
                <w:sz w:val="18"/>
                <w:szCs w:val="18"/>
                <w:b w:val="1"/>
                <w:bCs w:val="1"/>
                <w:color w:val="auto"/>
              </w:rPr>
              <w:t>930</w:t>
            </w:r>
          </w:p>
        </w:tc>
        <w:tc>
          <w:tcPr>
            <w:tcW w:w="1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880</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1,674</w:t>
            </w:r>
          </w:p>
        </w:tc>
        <w:tc>
          <w:tcPr>
            <w:tcW w:w="1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1,642</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Arial" w:cs="Arial" w:eastAsia="Arial" w:hAnsi="Arial"/>
                <w:sz w:val="18"/>
                <w:szCs w:val="18"/>
                <w:color w:val="auto"/>
              </w:rPr>
              <w:t>Europe</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Opel/Vauxhall</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Chevrolet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Total Europe</w:t>
            </w:r>
          </w:p>
        </w:tc>
        <w:tc>
          <w:tcPr>
            <w:tcW w:w="1380" w:type="dxa"/>
            <w:vAlign w:val="bottom"/>
          </w:tcPr>
          <w:p>
            <w:pPr>
              <w:jc w:val="right"/>
              <w:ind w:right="51"/>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379</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674</w:t>
            </w:r>
          </w:p>
        </w:tc>
        <w:tc>
          <w:tcPr>
            <w:tcW w:w="1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714</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Arial" w:cs="Arial" w:eastAsia="Arial" w:hAnsi="Arial"/>
                <w:sz w:val="18"/>
                <w:szCs w:val="18"/>
                <w:color w:val="auto"/>
              </w:rPr>
              <w:t>Asia/Pacific, Middle East and Africa</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Chevrolet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Wuling</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Buick</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Holden</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GMC</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Cadillac</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Total Asia/Pacific, Middle East and Africa</w:t>
            </w:r>
          </w:p>
        </w:tc>
        <w:tc>
          <w:tcPr>
            <w:tcW w:w="1380" w:type="dxa"/>
            <w:vAlign w:val="bottom"/>
          </w:tcPr>
          <w:p>
            <w:pPr>
              <w:jc w:val="right"/>
              <w:ind w:right="51"/>
              <w:spacing w:after="0"/>
              <w:rPr>
                <w:sz w:val="20"/>
                <w:szCs w:val="20"/>
                <w:color w:val="auto"/>
              </w:rPr>
            </w:pPr>
            <w:r>
              <w:rPr>
                <w:rFonts w:ascii="Arial" w:cs="Arial" w:eastAsia="Arial" w:hAnsi="Arial"/>
                <w:sz w:val="18"/>
                <w:szCs w:val="18"/>
                <w:b w:val="1"/>
                <w:bCs w:val="1"/>
                <w:color w:val="auto"/>
              </w:rPr>
              <w:t>1,026</w:t>
            </w:r>
          </w:p>
        </w:tc>
        <w:tc>
          <w:tcPr>
            <w:tcW w:w="1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971</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2,149</w:t>
            </w:r>
          </w:p>
        </w:tc>
        <w:tc>
          <w:tcPr>
            <w:tcW w:w="1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Arial" w:cs="Arial" w:eastAsia="Arial" w:hAnsi="Arial"/>
                <w:sz w:val="18"/>
                <w:szCs w:val="18"/>
                <w:color w:val="auto"/>
              </w:rPr>
              <w:t>South America</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Chevrolet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Total South America</w:t>
            </w:r>
          </w:p>
        </w:tc>
        <w:tc>
          <w:tcPr>
            <w:tcW w:w="1380" w:type="dxa"/>
            <w:vAlign w:val="bottom"/>
          </w:tcPr>
          <w:p>
            <w:pPr>
              <w:jc w:val="right"/>
              <w:ind w:right="51"/>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b w:val="1"/>
                <w:bCs w:val="1"/>
                <w:color w:val="auto"/>
              </w:rPr>
              <w:t>262</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497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Worldwide</w:t>
            </w: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2,506</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2,492</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4,922</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4,854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North America vehicle sales primarily represent sales to the end customer. Europe (including Chevrolet Europe vehicle sales that will cease in 2015), Asia/Pacific, Middle East and Africa and South America vehicle sales primarily represent estimated sales to the end customer. In countries where end customer data is not readily available other data sources, such as wholesale or forecast volumes, are used to estimate vehicle sales. Certain fleet sales that are accounted for as operating leases are included in vehicle sales at the time of delivery to the daily rental car companies. The vehicle sales at our China JVs presented in the following table are included in our retail vehicle sales: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58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2014</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2013</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rPr>
              <w:t>June 30, 2013</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SAIC General Motors Sales Co., Ltd. (SGMS)</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21"/>
                <w:szCs w:val="21"/>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743</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SGMW and FAW-GM</w:t>
            </w: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3"/>
                <w:szCs w:val="23"/>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822</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58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2014</w:t>
            </w: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2013</w:t>
            </w: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June 30, 2013</w:t>
            </w: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Market Share</w:t>
            </w: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United States - Cars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14.9%</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14.9%</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14.3%</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United States - Trucks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23.6%</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23.8%</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22.1%</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24.0%</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United States - Crossovers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17.3%</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18.0%</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17.3%</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18.4%</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Total United States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17.9%</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17.9%</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17.8%</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Total North America</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17.2%</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17.3%</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17.2%</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Total Europe</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6.8%</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7.7%</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7.0%</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7.6%</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Total Asia/Pacific, Middle East and Africa</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9.7%</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9.7%</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9.9%</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9.7%</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Total South America</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16.7%</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17.1%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16.5%</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17.2%</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Total Worldwide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11.3%</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11.6%</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11.2%</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11.5%</w:t>
            </w:r>
          </w:p>
        </w:tc>
      </w:tr>
      <w:tr>
        <w:trPr>
          <w:trHeight w:val="540"/>
        </w:trPr>
        <w:tc>
          <w:tcPr>
            <w:tcW w:w="5580" w:type="dxa"/>
            <w:vAlign w:val="bottom"/>
          </w:tcPr>
          <w:p>
            <w:pPr>
              <w:spacing w:after="0"/>
              <w:rPr>
                <w:sz w:val="20"/>
                <w:szCs w:val="20"/>
                <w:color w:val="auto"/>
              </w:rPr>
            </w:pPr>
            <w:r>
              <w:rPr>
                <w:rFonts w:ascii="Arial" w:cs="Arial" w:eastAsia="Arial" w:hAnsi="Arial"/>
                <w:sz w:val="18"/>
                <w:szCs w:val="18"/>
                <w:b w:val="1"/>
                <w:bCs w:val="1"/>
                <w:color w:val="auto"/>
              </w:rPr>
              <w:t>U.S. Retail/Fleet Mix</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 Fleet Sales - Cars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32.6%</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28.2%</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32.2%</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30.0%</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 Fleet Sales - Trucks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26.0%</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28.4%</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22.6%</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25.9%</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 Fleet Sales - Crossovers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22.0%</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23.1%</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21.9%</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22.0%</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Total Vehicles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27.6%</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27.0%</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26.2%</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26.5%</w:t>
            </w:r>
          </w:p>
        </w:tc>
      </w:tr>
      <w:tr>
        <w:trPr>
          <w:trHeight w:val="540"/>
        </w:trPr>
        <w:tc>
          <w:tcPr>
            <w:tcW w:w="5580" w:type="dxa"/>
            <w:vAlign w:val="bottom"/>
          </w:tcPr>
          <w:p>
            <w:pPr>
              <w:spacing w:after="0"/>
              <w:rPr>
                <w:sz w:val="20"/>
                <w:szCs w:val="20"/>
                <w:color w:val="auto"/>
              </w:rPr>
            </w:pPr>
            <w:r>
              <w:rPr>
                <w:rFonts w:ascii="Arial" w:cs="Arial" w:eastAsia="Arial" w:hAnsi="Arial"/>
                <w:sz w:val="18"/>
                <w:szCs w:val="18"/>
                <w:color w:val="auto"/>
              </w:rPr>
              <w:t>North America Capacity Utilization</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108.7%</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102.1%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105.8%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100.1%</w:t>
            </w:r>
          </w:p>
        </w:tc>
      </w:tr>
    </w:tbl>
    <w:p>
      <w:pPr>
        <w:spacing w:after="0" w:line="229" w:lineRule="exact"/>
        <w:rPr>
          <w:sz w:val="20"/>
          <w:szCs w:val="20"/>
          <w:color w:val="auto"/>
        </w:rPr>
      </w:pPr>
    </w:p>
    <w:p>
      <w:pPr>
        <w:ind w:right="460" w:firstLine="162"/>
        <w:spacing w:after="0" w:line="312" w:lineRule="auto"/>
        <w:rPr>
          <w:sz w:val="20"/>
          <w:szCs w:val="20"/>
          <w:color w:val="auto"/>
        </w:rPr>
      </w:pPr>
      <w:r>
        <w:rPr>
          <w:rFonts w:ascii="Arial" w:cs="Arial" w:eastAsia="Arial" w:hAnsi="Arial"/>
          <w:sz w:val="16"/>
          <w:szCs w:val="16"/>
          <w:color w:val="auto"/>
        </w:rPr>
        <w:t>Market Share information is based on retail vehicles sales volume. 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and revenue</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net sales and revenue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 operating and other expenses</w:t>
      </w:r>
    </w:p>
    <w:p>
      <w:pPr>
        <w:spacing w:after="0" w:line="177" w:lineRule="exact"/>
        <w:rPr>
          <w:sz w:val="20"/>
          <w:szCs w:val="20"/>
          <w:color w:val="auto"/>
        </w:rPr>
      </w:pPr>
    </w:p>
    <w:p>
      <w:pPr>
        <w:ind w:left="140"/>
        <w:spacing w:after="0" w:line="318" w:lineRule="auto"/>
        <w:rPr>
          <w:sz w:val="20"/>
          <w:szCs w:val="20"/>
          <w:color w:val="auto"/>
        </w:rPr>
      </w:pPr>
      <w:r>
        <w:rPr>
          <w:rFonts w:ascii="Arial" w:cs="Arial" w:eastAsia="Arial" w:hAnsi="Arial"/>
          <w:sz w:val="14"/>
          <w:szCs w:val="14"/>
          <w:color w:val="auto"/>
        </w:rPr>
        <w:t>Automotive selling, general and administrative expense Total costs and expenses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Interest income and other non-operating income, net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Loss on extinguishment of debt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 income</w:t>
      </w:r>
    </w:p>
    <w:p>
      <w:pPr>
        <w:spacing w:after="0" w:line="109" w:lineRule="exact"/>
        <w:rPr>
          <w:sz w:val="20"/>
          <w:szCs w:val="20"/>
          <w:color w:val="auto"/>
        </w:rPr>
      </w:pPr>
    </w:p>
    <w:p>
      <w:pPr>
        <w:ind w:right="1280"/>
        <w:spacing w:after="0" w:line="468" w:lineRule="auto"/>
        <w:rPr>
          <w:sz w:val="20"/>
          <w:szCs w:val="20"/>
          <w:color w:val="auto"/>
        </w:rPr>
      </w:pPr>
      <w:r>
        <w:rPr>
          <w:rFonts w:ascii="Arial" w:cs="Arial" w:eastAsia="Arial" w:hAnsi="Arial"/>
          <w:sz w:val="12"/>
          <w:szCs w:val="12"/>
          <w:color w:val="auto"/>
        </w:rPr>
        <w:t>Income (loss) before income taxes Income tax expense (benefit)</w:t>
      </w:r>
    </w:p>
    <w:p>
      <w:pPr>
        <w:spacing w:after="0"/>
        <w:rPr>
          <w:sz w:val="20"/>
          <w:szCs w:val="20"/>
          <w:color w:val="auto"/>
        </w:rPr>
      </w:pPr>
      <w:r>
        <w:rPr>
          <w:rFonts w:ascii="Arial" w:cs="Arial" w:eastAsia="Arial" w:hAnsi="Arial"/>
          <w:sz w:val="14"/>
          <w:szCs w:val="14"/>
          <w:b w:val="1"/>
          <w:bCs w:val="1"/>
          <w:color w:val="auto"/>
        </w:rPr>
        <w:t>Net income</w:t>
      </w:r>
    </w:p>
    <w:p>
      <w:pPr>
        <w:spacing w:after="0" w:line="179" w:lineRule="exact"/>
        <w:rPr>
          <w:sz w:val="20"/>
          <w:szCs w:val="20"/>
          <w:color w:val="auto"/>
        </w:rPr>
      </w:pPr>
    </w:p>
    <w:p>
      <w:pPr>
        <w:ind w:right="80"/>
        <w:spacing w:after="0" w:line="412" w:lineRule="auto"/>
        <w:rPr>
          <w:sz w:val="20"/>
          <w:szCs w:val="20"/>
          <w:color w:val="auto"/>
        </w:rPr>
      </w:pPr>
      <w:r>
        <w:rPr>
          <w:rFonts w:ascii="Arial" w:cs="Arial" w:eastAsia="Arial" w:hAnsi="Arial"/>
          <w:sz w:val="12"/>
          <w:szCs w:val="12"/>
          <w:color w:val="auto"/>
        </w:rPr>
        <w:t xml:space="preserve">Net (income) loss attributable to noncontrolling interests </w:t>
      </w:r>
      <w:r>
        <w:rPr>
          <w:rFonts w:ascii="Arial" w:cs="Arial" w:eastAsia="Arial" w:hAnsi="Arial"/>
          <w:sz w:val="12"/>
          <w:szCs w:val="12"/>
          <w:b w:val="1"/>
          <w:bCs w:val="1"/>
          <w:color w:val="auto"/>
        </w:rPr>
        <w:t>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and revenue</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net sales and revenue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 operating and other expenses</w:t>
      </w:r>
    </w:p>
    <w:p>
      <w:pPr>
        <w:spacing w:after="0" w:line="177" w:lineRule="exact"/>
        <w:rPr>
          <w:sz w:val="20"/>
          <w:szCs w:val="20"/>
          <w:color w:val="auto"/>
        </w:rPr>
      </w:pPr>
    </w:p>
    <w:p>
      <w:pPr>
        <w:ind w:left="140"/>
        <w:spacing w:after="0" w:line="318" w:lineRule="auto"/>
        <w:rPr>
          <w:sz w:val="20"/>
          <w:szCs w:val="20"/>
          <w:color w:val="auto"/>
        </w:rPr>
      </w:pPr>
      <w:r>
        <w:rPr>
          <w:rFonts w:ascii="Arial" w:cs="Arial" w:eastAsia="Arial" w:hAnsi="Arial"/>
          <w:sz w:val="14"/>
          <w:szCs w:val="14"/>
          <w:color w:val="auto"/>
        </w:rPr>
        <w:t>Automotive selling, general and administrative expense Total costs and expenses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Interest income and other non-operating income, net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Loss on extinguishment of debt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Equity income</w:t>
      </w:r>
    </w:p>
    <w:p>
      <w:pPr>
        <w:spacing w:after="0" w:line="109" w:lineRule="exact"/>
        <w:rPr>
          <w:sz w:val="20"/>
          <w:szCs w:val="20"/>
          <w:color w:val="auto"/>
        </w:rPr>
      </w:pPr>
    </w:p>
    <w:p>
      <w:pPr>
        <w:ind w:right="1280"/>
        <w:spacing w:after="0" w:line="468" w:lineRule="auto"/>
        <w:rPr>
          <w:sz w:val="20"/>
          <w:szCs w:val="20"/>
          <w:color w:val="auto"/>
        </w:rPr>
      </w:pPr>
      <w:r>
        <w:rPr>
          <w:rFonts w:ascii="Arial" w:cs="Arial" w:eastAsia="Arial" w:hAnsi="Arial"/>
          <w:sz w:val="12"/>
          <w:szCs w:val="12"/>
          <w:color w:val="auto"/>
        </w:rPr>
        <w:t>Income (loss) before income taxes Income tax expense (benefit)</w:t>
      </w:r>
    </w:p>
    <w:p>
      <w:pPr>
        <w:spacing w:after="0"/>
        <w:rPr>
          <w:sz w:val="20"/>
          <w:szCs w:val="20"/>
          <w:color w:val="auto"/>
        </w:rPr>
      </w:pPr>
      <w:r>
        <w:rPr>
          <w:rFonts w:ascii="Arial" w:cs="Arial" w:eastAsia="Arial" w:hAnsi="Arial"/>
          <w:sz w:val="14"/>
          <w:szCs w:val="14"/>
          <w:b w:val="1"/>
          <w:bCs w:val="1"/>
          <w:color w:val="auto"/>
        </w:rPr>
        <w:t>Net income</w:t>
      </w:r>
    </w:p>
    <w:p>
      <w:pPr>
        <w:spacing w:after="0" w:line="179" w:lineRule="exact"/>
        <w:rPr>
          <w:sz w:val="20"/>
          <w:szCs w:val="20"/>
          <w:color w:val="auto"/>
        </w:rPr>
      </w:pPr>
    </w:p>
    <w:p>
      <w:pPr>
        <w:ind w:right="80"/>
        <w:spacing w:after="0" w:line="412" w:lineRule="auto"/>
        <w:rPr>
          <w:sz w:val="20"/>
          <w:szCs w:val="20"/>
          <w:color w:val="auto"/>
        </w:rPr>
      </w:pPr>
      <w:r>
        <w:rPr>
          <w:rFonts w:ascii="Arial" w:cs="Arial" w:eastAsia="Arial" w:hAnsi="Arial"/>
          <w:sz w:val="12"/>
          <w:szCs w:val="12"/>
          <w:color w:val="auto"/>
        </w:rPr>
        <w:t xml:space="preserve">Net (income) loss attributable to noncontrolling interests </w:t>
      </w:r>
      <w:r>
        <w:rPr>
          <w:rFonts w:ascii="Arial" w:cs="Arial" w:eastAsia="Arial" w:hAnsi="Arial"/>
          <w:sz w:val="12"/>
          <w:szCs w:val="12"/>
          <w:b w:val="1"/>
          <w:bCs w:val="1"/>
          <w:color w:val="auto"/>
        </w:rPr>
        <w:t>Net income attributable to stockholders</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ind w:left="80"/>
              <w:spacing w:after="0"/>
              <w:rPr>
                <w:sz w:val="20"/>
                <w:szCs w:val="20"/>
                <w:color w:val="auto"/>
              </w:rPr>
            </w:pPr>
            <w:r>
              <w:rPr>
                <w:rFonts w:ascii="Arial" w:cs="Arial" w:eastAsia="Arial" w:hAnsi="Arial"/>
                <w:sz w:val="11"/>
                <w:szCs w:val="11"/>
                <w:b w:val="1"/>
                <w:bCs w:val="1"/>
                <w:color w:val="auto"/>
              </w:rPr>
              <w:t>Three Months Ended June 30, 2014</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Three Months Ended June 30, 2013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1"/>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0"/>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24"/>
                <w:szCs w:val="2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38,462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38,462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38,246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38,240</w:t>
            </w:r>
          </w:p>
        </w:tc>
      </w:tr>
      <w:tr>
        <w:trPr>
          <w:trHeight w:val="278"/>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835</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38,462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39,649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38,246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39,075</w:t>
            </w:r>
          </w:p>
        </w:tc>
      </w:tr>
      <w:tr>
        <w:trPr>
          <w:trHeight w:val="526"/>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35,854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35,851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33,824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33,824</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926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926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575</w:t>
            </w:r>
          </w:p>
        </w:tc>
      </w:tr>
      <w:tr>
        <w:trPr>
          <w:trHeight w:val="278"/>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2,925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2,925</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39,197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926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40,120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36,749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37,324</w:t>
            </w:r>
          </w:p>
        </w:tc>
      </w:tr>
      <w:tr>
        <w:trPr>
          <w:trHeight w:val="243"/>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1,751</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61</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251</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240</w:t>
            </w:r>
          </w:p>
        </w:tc>
      </w:tr>
      <w:tr>
        <w:trPr>
          <w:trHeight w:val="278"/>
        </w:trPr>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429</w:t>
            </w:r>
          </w:p>
        </w:tc>
      </w:tr>
      <w:tr>
        <w:trPr>
          <w:trHeight w:val="243"/>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1,878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2,130</w:t>
            </w:r>
          </w:p>
        </w:tc>
      </w:tr>
      <w:tr>
        <w:trPr>
          <w:trHeight w:val="278"/>
        </w:trPr>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742</w:t>
            </w:r>
          </w:p>
        </w:tc>
      </w:tr>
      <w:tr>
        <w:trPr>
          <w:trHeight w:val="243"/>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1,388</w:t>
            </w:r>
          </w:p>
        </w:tc>
      </w:tr>
      <w:tr>
        <w:trPr>
          <w:trHeight w:val="278"/>
        </w:trPr>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26</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1,414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86"/>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w w:val="90"/>
              </w:rPr>
              <w:t>Six Months Ended June 30, 2014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Six Months Ended June 30, 2013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5"/>
              </w:rPr>
              <w:t>Automotive</w:t>
            </w:r>
          </w:p>
        </w:tc>
        <w:tc>
          <w:tcPr>
            <w:tcW w:w="120" w:type="dxa"/>
            <w:vAlign w:val="bottom"/>
          </w:tcPr>
          <w:p>
            <w:pPr>
              <w:spacing w:after="0"/>
              <w:rPr>
                <w:sz w:val="21"/>
                <w:szCs w:val="21"/>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1"/>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0"/>
        </w:trPr>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74,777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74,777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74,590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74,584</w:t>
            </w:r>
          </w:p>
        </w:tc>
      </w:tr>
      <w:tr>
        <w:trPr>
          <w:trHeight w:val="278"/>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2,280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1,375</w:t>
            </w:r>
          </w:p>
        </w:tc>
      </w:tr>
      <w:tr>
        <w:trPr>
          <w:trHeight w:val="250"/>
        </w:trPr>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74,777</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77,057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74,590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75,959</w:t>
            </w:r>
          </w:p>
        </w:tc>
      </w:tr>
      <w:tr>
        <w:trPr>
          <w:trHeight w:val="526"/>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69,984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69,978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66,437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66,441</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1,801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1,801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931</w:t>
            </w:r>
          </w:p>
        </w:tc>
      </w:tr>
      <w:tr>
        <w:trPr>
          <w:trHeight w:val="278"/>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6,284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5,877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5,877</w:t>
            </w:r>
          </w:p>
        </w:tc>
      </w:tr>
      <w:tr>
        <w:trPr>
          <w:trHeight w:val="250"/>
        </w:trPr>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76,268</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1,801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78,063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72,314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73,249</w:t>
            </w:r>
          </w:p>
        </w:tc>
      </w:tr>
      <w:tr>
        <w:trPr>
          <w:trHeight w:val="243"/>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(1,491)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2,276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2,710</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152</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422</w:t>
            </w:r>
          </w:p>
        </w:tc>
      </w:t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240</w:t>
            </w:r>
          </w:p>
        </w:tc>
      </w:tr>
      <w:tr>
        <w:trPr>
          <w:trHeight w:val="278"/>
        </w:trPr>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984</w:t>
            </w:r>
          </w:p>
        </w:tc>
      </w:tr>
      <w:tr>
        <w:trPr>
          <w:trHeight w:val="243"/>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3,724</w:t>
            </w:r>
          </w:p>
        </w:tc>
      </w:tr>
      <w:tr>
        <w:trPr>
          <w:trHeight w:val="278"/>
        </w:trPr>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1,151</w:t>
            </w:r>
          </w:p>
        </w:tc>
      </w:tr>
      <w:tr>
        <w:trPr>
          <w:trHeight w:val="243"/>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2,573</w:t>
            </w:r>
          </w:p>
        </w:tc>
      </w:tr>
      <w:tr>
        <w:trPr>
          <w:trHeight w:val="278"/>
        </w:trPr>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w:t>
            </w:r>
          </w:p>
        </w:tc>
      </w:tr>
      <w:tr>
        <w:trPr>
          <w:trHeight w:val="237"/>
        </w:trPr>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2,589</w:t>
            </w:r>
          </w:p>
        </w:tc>
      </w:tr>
      <w:tr>
        <w:trPr>
          <w:trHeight w:val="20"/>
        </w:trPr>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140" w:space="160"/>
            <w:col w:w="8080"/>
          </w:cols>
          <w:pgMar w:left="280" w:top="580" w:right="239" w:bottom="8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80" w:top="580" w:right="239" w:bottom="881" w:gutter="0" w:footer="0" w:header="0"/>
          <w:type w:val="continuous"/>
        </w:sectPr>
      </w:pPr>
    </w:p>
    <w:bookmarkStart w:id="13" w:name="page14"/>
    <w:bookmarkEnd w:id="13"/>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and six months ended June 30, 2013 GM used the if-converted method for calculating earnings per share.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June 30, 2013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Add: preferred dividends to holders of Series B Preferred Stock</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Less: cumulative dividends on preferred stock(a)</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1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diluted</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Dilutive effect of warrants and restricted stock units</w:t>
            </w:r>
          </w:p>
        </w:tc>
        <w:tc>
          <w:tcPr>
            <w:tcW w:w="1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color w:val="auto"/>
              </w:rPr>
              <w:t>Dilutive effect of conversion of Series B Preferred Stock</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6"/>
                <w:szCs w:val="16"/>
                <w:color w:val="auto"/>
              </w:rPr>
              <w:t>________</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20" w:hanging="332"/>
        <w:spacing w:after="0" w:line="32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earned but undeclared dividends of $15 million on our Series A Preferred Stock in the three and six months ended June 30, 2014 and earned but undistributed dividends of $26 million on our Series A Preferred Stock and $20 million on our Series B Preferred stock in the three and six months ended June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ASSETS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77" w:lineRule="exact"/>
        <w:rPr>
          <w:sz w:val="20"/>
          <w:szCs w:val="20"/>
          <w:color w:val="auto"/>
        </w:rPr>
      </w:pPr>
    </w:p>
    <w:p>
      <w:pPr>
        <w:ind w:left="140" w:right="1020"/>
        <w:spacing w:after="0" w:line="411" w:lineRule="auto"/>
        <w:rPr>
          <w:sz w:val="20"/>
          <w:szCs w:val="20"/>
          <w:color w:val="auto"/>
        </w:rPr>
      </w:pPr>
      <w:r>
        <w:rPr>
          <w:rFonts w:ascii="Arial" w:cs="Arial" w:eastAsia="Arial" w:hAnsi="Arial"/>
          <w:sz w:val="12"/>
          <w:szCs w:val="12"/>
          <w:color w:val="auto"/>
        </w:rPr>
        <w:t>Accounts and notes receivable, net GM Financial receivables, net</w:t>
      </w:r>
    </w:p>
    <w:p>
      <w:pPr>
        <w:ind w:left="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Equipment on operating leases,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Assets</w:t>
      </w:r>
    </w:p>
    <w:p>
      <w:pPr>
        <w:spacing w:after="0" w:line="111" w:lineRule="exact"/>
        <w:rPr>
          <w:sz w:val="20"/>
          <w:szCs w:val="20"/>
          <w:color w:val="auto"/>
        </w:rPr>
      </w:pPr>
    </w:p>
    <w:p>
      <w:pPr>
        <w:ind w:left="140" w:right="660"/>
        <w:spacing w:after="0" w:line="469" w:lineRule="auto"/>
        <w:rPr>
          <w:sz w:val="20"/>
          <w:szCs w:val="20"/>
          <w:color w:val="auto"/>
        </w:rPr>
      </w:pPr>
      <w:r>
        <w:rPr>
          <w:rFonts w:ascii="Arial" w:cs="Arial" w:eastAsia="Arial" w:hAnsi="Arial"/>
          <w:sz w:val="12"/>
          <w:szCs w:val="12"/>
          <w:color w:val="auto"/>
        </w:rPr>
        <w:t>Restricted cash and marketable securities GM Financial receivables, net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Property,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LIABILITIES AND 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payable (principally trade)</w:t>
      </w:r>
    </w:p>
    <w:p>
      <w:pPr>
        <w:spacing w:after="0" w:line="109" w:lineRule="exact"/>
        <w:rPr>
          <w:sz w:val="20"/>
          <w:szCs w:val="20"/>
          <w:color w:val="auto"/>
        </w:rPr>
      </w:pPr>
    </w:p>
    <w:p>
      <w:pPr>
        <w:ind w:left="300" w:hanging="161"/>
        <w:spacing w:after="0" w:line="402" w:lineRule="auto"/>
        <w:rPr>
          <w:sz w:val="20"/>
          <w:szCs w:val="20"/>
          <w:color w:val="auto"/>
        </w:rPr>
      </w:pPr>
      <w:r>
        <w:rPr>
          <w:rFonts w:ascii="Arial" w:cs="Arial" w:eastAsia="Arial" w:hAnsi="Arial"/>
          <w:sz w:val="14"/>
          <w:szCs w:val="14"/>
          <w:color w:val="auto"/>
        </w:rPr>
        <w:t>Short-term debt and current portion of long-term debt Automotive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Accrued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right="560"/>
        <w:spacing w:after="0" w:line="402" w:lineRule="auto"/>
        <w:rPr>
          <w:sz w:val="20"/>
          <w:szCs w:val="20"/>
          <w:color w:val="auto"/>
        </w:rPr>
      </w:pPr>
      <w:r>
        <w:rPr>
          <w:rFonts w:ascii="Arial" w:cs="Arial" w:eastAsia="Arial" w:hAnsi="Arial"/>
          <w:sz w:val="14"/>
          <w:szCs w:val="14"/>
          <w:color w:val="auto"/>
        </w:rPr>
        <w:t>Postretirement benefits other than pensions Pensions</w:t>
      </w:r>
    </w:p>
    <w:p>
      <w:pPr>
        <w:spacing w:after="0" w:line="1" w:lineRule="exact"/>
        <w:rPr>
          <w:sz w:val="20"/>
          <w:szCs w:val="20"/>
          <w:color w:val="auto"/>
        </w:rPr>
      </w:pPr>
    </w:p>
    <w:p>
      <w:pPr>
        <w:ind w:left="140" w:right="600"/>
        <w:spacing w:after="0" w:line="401" w:lineRule="auto"/>
        <w:rPr>
          <w:sz w:val="20"/>
          <w:szCs w:val="20"/>
          <w:color w:val="auto"/>
        </w:rPr>
      </w:pPr>
      <w:r>
        <w:rPr>
          <w:rFonts w:ascii="Arial" w:cs="Arial" w:eastAsia="Arial" w:hAnsi="Arial"/>
          <w:sz w:val="14"/>
          <w:szCs w:val="14"/>
          <w:color w:val="auto"/>
        </w:rPr>
        <w:t>Other liabilities and deferred income taxes Total non-current liabilities</w:t>
      </w:r>
    </w:p>
    <w:p>
      <w:pPr>
        <w:spacing w:after="0"/>
        <w:rPr>
          <w:sz w:val="20"/>
          <w:szCs w:val="20"/>
          <w:color w:val="auto"/>
        </w:rPr>
      </w:pPr>
      <w:r>
        <w:rPr>
          <w:rFonts w:ascii="Arial" w:cs="Arial" w:eastAsia="Arial" w:hAnsi="Arial"/>
          <w:sz w:val="14"/>
          <w:szCs w:val="14"/>
          <w:b w:val="1"/>
          <w:bCs w:val="1"/>
          <w:color w:val="auto"/>
        </w:rPr>
        <w:t>Total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Equity</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Series A preferred stock</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Additional paid-in capital</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2"/>
          <w:szCs w:val="12"/>
          <w:color w:val="auto"/>
        </w:rPr>
        <w:t>Accumulated other comprehensive income (loss)</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stockholders’ equity</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Noncontrolling interests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9"/>
              </w:rPr>
              <w:t>June 30, 2014</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8"/>
              </w:rPr>
              <w:t>December 31, 2013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9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18,452</w:t>
            </w:r>
          </w:p>
        </w:tc>
        <w:tc>
          <w:tcPr>
            <w:tcW w:w="12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19,864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18,947</w:t>
            </w:r>
          </w:p>
        </w:tc>
        <w:tc>
          <w:tcPr>
            <w:tcW w:w="120" w:type="dxa"/>
            <w:vAlign w:val="bottom"/>
          </w:tcPr>
          <w:p>
            <w:pPr>
              <w:spacing w:after="0"/>
              <w:rPr>
                <w:sz w:val="24"/>
                <w:szCs w:val="24"/>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20,021</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9,935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9,935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8,972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8,972</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1,305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1,247</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11,972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11,480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8,806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8,535</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15,882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15,797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14,340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14,278</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15,200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15,200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14,039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14,039</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4,633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4,633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2,398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2,398</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11,302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11,499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10,195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10,349</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1,766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1,531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1,662</w:t>
            </w:r>
          </w:p>
        </w:tc>
      </w:tr>
      <w:tr>
        <w:trPr>
          <w:trHeight w:val="243"/>
        </w:trPr>
        <w:tc>
          <w:tcPr>
            <w:tcW w:w="1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73,280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19,456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91,643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64,919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17,760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81,501</w:t>
            </w:r>
          </w:p>
        </w:tc>
      </w:tr>
      <w:tr>
        <w:trPr>
          <w:trHeight w:val="54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829</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15,436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15,430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14,354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14,354</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7,485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7,485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8,094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8,094</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26,873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27,023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25,736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25,867</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1,428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1,560</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5,166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5,603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5,668</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4,748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4,748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3,383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3,383</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22,351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22,582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22,620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22,736</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3,018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2,853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2,352</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65,107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23,081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87,455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65,131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20,324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84,843</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138,387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42,537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(1,826)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179,098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130,050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38,084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166,344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26,900</w:t>
            </w:r>
          </w:p>
        </w:tc>
        <w:tc>
          <w:tcPr>
            <w:tcW w:w="12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26,992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23,550</w:t>
            </w:r>
          </w:p>
        </w:tc>
        <w:tc>
          <w:tcPr>
            <w:tcW w:w="120" w:type="dxa"/>
            <w:vAlign w:val="bottom"/>
          </w:tcPr>
          <w:p>
            <w:pPr>
              <w:spacing w:after="0"/>
              <w:rPr>
                <w:sz w:val="24"/>
                <w:szCs w:val="24"/>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23,621</w:t>
            </w:r>
          </w:p>
        </w:tc>
      </w:tr>
      <w:tr>
        <w:trPr>
          <w:trHeight w:val="54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564</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15,193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15,193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13,594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13,594</w:t>
            </w:r>
          </w:p>
        </w:tc>
      </w:tr>
      <w:tr>
        <w:trPr>
          <w:trHeight w:val="278"/>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28,887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29,552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23,980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24,633</w:t>
            </w:r>
          </w:p>
        </w:tc>
      </w:tr>
      <w:tr>
        <w:trPr>
          <w:trHeight w:val="243"/>
        </w:trPr>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56,718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16,722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72,347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48,753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14,836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62,412</w:t>
            </w:r>
          </w:p>
        </w:tc>
      </w:tr>
      <w:tr>
        <w:trPr>
          <w:trHeight w:val="81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6,869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6,864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6,574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6,573</w:t>
            </w:r>
          </w:p>
        </w:tc>
      </w:tr>
      <w:tr>
        <w:trPr>
          <w:trHeight w:val="270"/>
        </w:trPr>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17,409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17,409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15,452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15,452</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5,826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5,826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5,897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5,897</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18,962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19,068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19,378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19,483</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14,285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14,999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12,748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1,217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13,353</w:t>
            </w:r>
          </w:p>
        </w:tc>
      </w:tr>
      <w:tr>
        <w:trPr>
          <w:trHeight w:val="250"/>
        </w:trPr>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45,942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18,957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64,166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44,597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16,774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60,758</w:t>
            </w:r>
          </w:p>
        </w:tc>
      </w:tr>
      <w:tr>
        <w:trPr>
          <w:trHeight w:val="243"/>
        </w:trPr>
        <w:tc>
          <w:tcPr>
            <w:tcW w:w="1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102,660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35,679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(1,826)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136,513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93,350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31,610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123,170</w:t>
            </w:r>
          </w:p>
        </w:tc>
      </w:tr>
      <w:tr>
        <w:trPr>
          <w:trHeight w:val="810"/>
        </w:trPr>
        <w:tc>
          <w:tcPr>
            <w:tcW w:w="12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3,109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3,109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3,109</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28,840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28,840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28,780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28,780</w:t>
            </w:r>
          </w:p>
        </w:tc>
      </w:tr>
      <w:tr>
        <w:trPr>
          <w:trHeight w:val="270"/>
        </w:trPr>
        <w:tc>
          <w:tcPr>
            <w:tcW w:w="120" w:type="dxa"/>
            <w:vAlign w:val="bottom"/>
          </w:tcPr>
          <w:p>
            <w:pPr>
              <w:spacing w:after="0"/>
              <w:rPr>
                <w:sz w:val="23"/>
                <w:szCs w:val="23"/>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6,369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6,793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13,162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7,353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6,463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13,816</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(3,198)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(3,113)</w:t>
            </w:r>
          </w:p>
        </w:tc>
      </w:tr>
      <w:tr>
        <w:trPr>
          <w:trHeight w:val="243"/>
        </w:trPr>
        <w:tc>
          <w:tcPr>
            <w:tcW w:w="1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35,136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6,858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41,994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36,133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6,474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42,607</w:t>
            </w:r>
          </w:p>
        </w:tc>
      </w:tr>
      <w:tr>
        <w:trPr>
          <w:trHeight w:val="278"/>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r>
      <w:tr>
        <w:trPr>
          <w:trHeight w:val="250"/>
        </w:trPr>
        <w:tc>
          <w:tcPr>
            <w:tcW w:w="12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35,727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6,858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42,585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36,700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6,474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43,174</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138,387</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42,537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(1,826)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179,098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130,050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38,084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166,344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3020" w:space="720"/>
            <w:col w:w="7640"/>
          </w:cols>
          <w:pgMar w:left="280" w:top="580" w:right="239" w:bottom="9"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25" w:right="1440" w:bottom="1440" w:gutter="0" w:footer="0" w:header="0"/>
        </w:sectPr>
      </w:pPr>
    </w:p>
    <w:bookmarkStart w:id="16" w:name="page17"/>
    <w:bookmarkEnd w:id="16"/>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Six Months Ended June 30, 2014</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3"/>
                <w:szCs w:val="13"/>
                <w:b w:val="1"/>
                <w:bCs w:val="1"/>
                <w:color w:val="auto"/>
                <w:w w:val="87"/>
              </w:rPr>
              <w:t>Six Months Ended June 30, 2013</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Automotive</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GM Financial</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Reclassification(a)</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4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45"/>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5,602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5,806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4,998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Expenditures for property</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(3,410)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4,921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4,921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69"/>
        </w:trPr>
        <w:tc>
          <w:tcPr>
            <w:tcW w:w="3540" w:type="dxa"/>
            <w:vAlign w:val="bottom"/>
          </w:tcPr>
          <w:p>
            <w:pPr>
              <w:ind w:left="180"/>
              <w:spacing w:after="0"/>
              <w:rPr>
                <w:sz w:val="20"/>
                <w:szCs w:val="20"/>
                <w:color w:val="auto"/>
              </w:rPr>
            </w:pPr>
            <w:r>
              <w:rPr>
                <w:rFonts w:ascii="Arial" w:cs="Arial" w:eastAsia="Arial" w:hAnsi="Arial"/>
                <w:sz w:val="14"/>
                <w:szCs w:val="14"/>
                <w:color w:val="auto"/>
                <w:w w:val="95"/>
              </w:rPr>
              <w:t>Proceeds from sale of business units/investments, net of</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340"/>
              <w:spacing w:after="0"/>
              <w:rPr>
                <w:sz w:val="20"/>
                <w:szCs w:val="20"/>
                <w:color w:val="auto"/>
              </w:rPr>
            </w:pPr>
            <w:r>
              <w:rPr>
                <w:rFonts w:ascii="Arial" w:cs="Arial" w:eastAsia="Arial" w:hAnsi="Arial"/>
                <w:sz w:val="14"/>
                <w:szCs w:val="14"/>
                <w:color w:val="auto"/>
              </w:rPr>
              <w:t>cash disposed</w:t>
            </w: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Purchases of finance receivables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(4,289)</w:t>
            </w:r>
          </w:p>
        </w:tc>
        <w:tc>
          <w:tcPr>
            <w:tcW w:w="0" w:type="dxa"/>
            <w:vAlign w:val="bottom"/>
          </w:tcPr>
          <w:p>
            <w:pPr>
              <w:spacing w:after="0"/>
              <w:rPr>
                <w:sz w:val="1"/>
                <w:szCs w:val="1"/>
                <w:color w:val="auto"/>
              </w:rPr>
            </w:pPr>
          </w:p>
        </w:tc>
      </w:tr>
      <w:tr>
        <w:trPr>
          <w:trHeight w:val="169"/>
        </w:trPr>
        <w:tc>
          <w:tcPr>
            <w:tcW w:w="354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340"/>
              <w:spacing w:after="0"/>
              <w:rPr>
                <w:sz w:val="20"/>
                <w:szCs w:val="20"/>
                <w:color w:val="auto"/>
              </w:rPr>
            </w:pPr>
            <w:r>
              <w:rPr>
                <w:rFonts w:ascii="Arial" w:cs="Arial" w:eastAsia="Arial" w:hAnsi="Arial"/>
                <w:sz w:val="14"/>
                <w:szCs w:val="14"/>
                <w:color w:val="auto"/>
              </w:rPr>
              <w:t>receivables</w:t>
            </w: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5,299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5,299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3,054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45"/>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(4,245)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(3,993)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9"/>
        </w:trPr>
        <w:tc>
          <w:tcPr>
            <w:tcW w:w="3540" w:type="dxa"/>
            <w:vAlign w:val="bottom"/>
          </w:tcPr>
          <w:p>
            <w:pPr>
              <w:ind w:left="180"/>
              <w:spacing w:after="0"/>
              <w:rPr>
                <w:sz w:val="20"/>
                <w:szCs w:val="20"/>
                <w:color w:val="auto"/>
              </w:rPr>
            </w:pPr>
            <w:r>
              <w:rPr>
                <w:rFonts w:ascii="Arial" w:cs="Arial" w:eastAsia="Arial" w:hAnsi="Arial"/>
                <w:sz w:val="14"/>
                <w:szCs w:val="14"/>
                <w:color w:val="auto"/>
              </w:rPr>
              <w:t>Proceeds from issuance of debt (original maturities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340"/>
              <w:spacing w:after="0"/>
              <w:rPr>
                <w:sz w:val="20"/>
                <w:szCs w:val="20"/>
                <w:color w:val="auto"/>
              </w:rPr>
            </w:pPr>
            <w:r>
              <w:rPr>
                <w:rFonts w:ascii="Arial" w:cs="Arial" w:eastAsia="Arial" w:hAnsi="Arial"/>
                <w:sz w:val="14"/>
                <w:szCs w:val="14"/>
                <w:color w:val="auto"/>
              </w:rPr>
              <w:t>greater than three months)</w:t>
            </w:r>
          </w:p>
        </w:tc>
        <w:tc>
          <w:tcPr>
            <w:tcW w:w="1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12,194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12,697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11,007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11,417</w:t>
            </w:r>
          </w:p>
        </w:tc>
        <w:tc>
          <w:tcPr>
            <w:tcW w:w="0" w:type="dxa"/>
            <w:vAlign w:val="bottom"/>
          </w:tcPr>
          <w:p>
            <w:pPr>
              <w:spacing w:after="0"/>
              <w:rPr>
                <w:sz w:val="1"/>
                <w:szCs w:val="1"/>
                <w:color w:val="auto"/>
              </w:rPr>
            </w:pPr>
          </w:p>
        </w:tc>
      </w:tr>
      <w:tr>
        <w:trPr>
          <w:trHeight w:val="169"/>
        </w:trPr>
        <w:tc>
          <w:tcPr>
            <w:tcW w:w="3540" w:type="dxa"/>
            <w:vAlign w:val="bottom"/>
          </w:tcPr>
          <w:p>
            <w:pPr>
              <w:ind w:left="180"/>
              <w:spacing w:after="0"/>
              <w:rPr>
                <w:sz w:val="20"/>
                <w:szCs w:val="20"/>
                <w:color w:val="auto"/>
              </w:rPr>
            </w:pPr>
            <w:r>
              <w:rPr>
                <w:rFonts w:ascii="Arial" w:cs="Arial" w:eastAsia="Arial" w:hAnsi="Arial"/>
                <w:sz w:val="14"/>
                <w:szCs w:val="14"/>
                <w:color w:val="auto"/>
                <w:w w:val="96"/>
              </w:rPr>
              <w:t>Payments on debt (original maturities greater than three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340"/>
              <w:spacing w:after="0"/>
              <w:rPr>
                <w:sz w:val="20"/>
                <w:szCs w:val="20"/>
                <w:color w:val="auto"/>
              </w:rPr>
            </w:pPr>
            <w:r>
              <w:rPr>
                <w:rFonts w:ascii="Arial" w:cs="Arial" w:eastAsia="Arial" w:hAnsi="Arial"/>
                <w:sz w:val="14"/>
                <w:szCs w:val="14"/>
                <w:color w:val="auto"/>
              </w:rPr>
              <w:t>months)</w:t>
            </w:r>
          </w:p>
        </w:tc>
        <w:tc>
          <w:tcPr>
            <w:tcW w:w="1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(9,282)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(9,075)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financing activities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45"/>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1,853</w:t>
            </w:r>
          </w:p>
        </w:tc>
        <w:tc>
          <w:tcPr>
            <w:tcW w:w="0" w:type="dxa"/>
            <w:vAlign w:val="bottom"/>
          </w:tcPr>
          <w:p>
            <w:pPr>
              <w:spacing w:after="0"/>
              <w:rPr>
                <w:sz w:val="1"/>
                <w:szCs w:val="1"/>
                <w:color w:val="auto"/>
              </w:rPr>
            </w:pPr>
          </w:p>
        </w:tc>
      </w:tr>
      <w:tr>
        <w:trPr>
          <w:trHeight w:val="169"/>
        </w:trPr>
        <w:tc>
          <w:tcPr>
            <w:tcW w:w="3540" w:type="dxa"/>
            <w:vAlign w:val="bottom"/>
          </w:tcPr>
          <w:p>
            <w:pPr>
              <w:ind w:left="180"/>
              <w:spacing w:after="0"/>
              <w:rPr>
                <w:sz w:val="20"/>
                <w:szCs w:val="20"/>
                <w:color w:val="auto"/>
              </w:rPr>
            </w:pPr>
            <w:r>
              <w:rPr>
                <w:rFonts w:ascii="Arial" w:cs="Arial" w:eastAsia="Arial" w:hAnsi="Arial"/>
                <w:sz w:val="14"/>
                <w:szCs w:val="14"/>
                <w:color w:val="auto"/>
              </w:rPr>
              <w:t>Effect of exchange rate changes on cash and cash</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340"/>
              <w:spacing w:after="0"/>
              <w:rPr>
                <w:sz w:val="20"/>
                <w:szCs w:val="20"/>
                <w:color w:val="auto"/>
              </w:rPr>
            </w:pPr>
            <w:r>
              <w:rPr>
                <w:rFonts w:ascii="Arial" w:cs="Arial" w:eastAsia="Arial" w:hAnsi="Arial"/>
                <w:sz w:val="14"/>
                <w:szCs w:val="14"/>
                <w:color w:val="auto"/>
              </w:rPr>
              <w:t>equivalents</w:t>
            </w:r>
          </w:p>
        </w:tc>
        <w:tc>
          <w:tcPr>
            <w:tcW w:w="1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Net transactions with Automotive/GM Financial</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3540" w:type="dxa"/>
            <w:vAlign w:val="bottom"/>
          </w:tcPr>
          <w:p>
            <w:pPr>
              <w:ind w:left="180"/>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76"/>
        </w:trPr>
        <w:tc>
          <w:tcPr>
            <w:tcW w:w="35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18,947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20,021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17,133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18,452</w:t>
            </w:r>
          </w:p>
        </w:tc>
        <w:tc>
          <w:tcPr>
            <w:tcW w:w="120" w:type="dxa"/>
            <w:vAlign w:val="bottom"/>
          </w:tcPr>
          <w:p>
            <w:pPr>
              <w:spacing w:after="0"/>
              <w:rPr>
                <w:sz w:val="21"/>
                <w:szCs w:val="21"/>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19,864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17,940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19,697</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color w:val="auto"/>
              </w:rPr>
              <w:t>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Reclassification of purchases/collections of wholesale finance receivables resulting from vehicles sold by GM to dealers that have arranged their inventory floor plan financing through GM Financial.</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2019-12-07T20:51:22Z</dcterms:created>
  <dcterms:modified xsi:type="dcterms:W3CDTF">2019-12-07T20:51:22Z</dcterms:modified>
</cp:coreProperties>
</file>