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9"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207645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18"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39"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20,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196215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43"/>
          <w:szCs w:val="43"/>
          <w:b w:val="1"/>
          <w:bCs w:val="1"/>
          <w:color w:val="auto"/>
        </w:rPr>
        <w:t>GENERAL MOTORS COMPANY</w:t>
      </w:r>
    </w:p>
    <w:p>
      <w:pPr>
        <w:spacing w:after="0" w:line="62"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08" w:right="639" w:bottom="1440" w:gutter="0" w:footer="0" w:header="0"/>
        </w:sectPr>
      </w:pPr>
    </w:p>
    <w:p>
      <w:pPr>
        <w:spacing w:after="0" w:line="200" w:lineRule="exact"/>
        <w:rPr>
          <w:sz w:val="24"/>
          <w:szCs w:val="24"/>
          <w:color w:val="auto"/>
        </w:rPr>
      </w:pPr>
    </w:p>
    <w:p>
      <w:pPr>
        <w:spacing w:after="0" w:line="327"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6"/>
          <w:szCs w:val="16"/>
          <w:b w:val="1"/>
          <w:bCs w:val="1"/>
          <w:color w:val="auto"/>
        </w:rPr>
        <w:t>333-160471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7" w:lineRule="exact"/>
        <w:rPr>
          <w:sz w:val="24"/>
          <w:szCs w:val="24"/>
          <w:color w:val="auto"/>
        </w:rPr>
      </w:pPr>
    </w:p>
    <w:p>
      <w:pPr>
        <w:jc w:val="center"/>
        <w:ind w:right="212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27-0756180</w:t>
      </w:r>
    </w:p>
    <w:p>
      <w:pPr>
        <w:spacing w:after="0" w:line="37" w:lineRule="exact"/>
        <w:rPr>
          <w:sz w:val="24"/>
          <w:szCs w:val="24"/>
          <w:color w:val="auto"/>
        </w:rPr>
      </w:pPr>
    </w:p>
    <w:p>
      <w:pPr>
        <w:sectPr>
          <w:pgSz w:w="11900" w:h="16838" w:orient="portrait"/>
          <w:cols w:equalWidth="0" w:num="3">
            <w:col w:w="4620" w:space="720"/>
            <w:col w:w="3120" w:space="720"/>
            <w:col w:w="1840"/>
          </w:cols>
          <w:pgMar w:left="240" w:top="308" w:right="639" w:bottom="1440" w:gutter="0" w:footer="0" w:header="0"/>
          <w:type w:val="continuous"/>
        </w:sectPr>
      </w:pPr>
    </w:p>
    <w:p>
      <w:pPr>
        <w:spacing w:after="0" w:line="9"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2"/>
          <w:szCs w:val="12"/>
          <w:b w:val="1"/>
          <w:bCs w:val="1"/>
          <w:color w:val="auto"/>
        </w:rPr>
        <w:t>(Commission</w:t>
      </w:r>
    </w:p>
    <w:p>
      <w:pPr>
        <w:spacing w:after="0" w:line="14"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Times New Roman" w:cs="Times New Roman" w:eastAsia="Times New Roman" w:hAnsi="Times New Roman"/>
          <w:sz w:val="12"/>
          <w:szCs w:val="12"/>
          <w:b w:val="1"/>
          <w:bCs w:val="1"/>
          <w:color w:val="auto"/>
        </w:rPr>
        <w:t>(State or other jurisdiction</w:t>
      </w:r>
    </w:p>
    <w:p>
      <w:pPr>
        <w:spacing w:after="0" w:line="13"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09" w:lineRule="exact"/>
        <w:rPr>
          <w:sz w:val="24"/>
          <w:szCs w:val="24"/>
          <w:color w:val="auto"/>
        </w:rPr>
      </w:pPr>
    </w:p>
    <w:p>
      <w:pPr>
        <w:sectPr>
          <w:pgSz w:w="11900" w:h="16838" w:orient="portrait"/>
          <w:cols w:equalWidth="0" w:num="3">
            <w:col w:w="4360" w:space="720"/>
            <w:col w:w="3260" w:space="720"/>
            <w:col w:w="1960"/>
          </w:cols>
          <w:pgMar w:left="240" w:top="308" w:right="639" w:bottom="1440" w:gutter="0" w:footer="0" w:header="0"/>
          <w:type w:val="continuous"/>
        </w:sectPr>
      </w:pPr>
    </w:p>
    <w:p>
      <w:pPr>
        <w:ind w:left="1280"/>
        <w:spacing w:after="0"/>
        <w:rPr>
          <w:sz w:val="20"/>
          <w:szCs w:val="20"/>
          <w:color w:val="auto"/>
        </w:rPr>
      </w:pPr>
      <w:r>
        <w:rPr>
          <w:rFonts w:ascii="Times New Roman" w:cs="Times New Roman" w:eastAsia="Times New Roman" w:hAnsi="Times New Roman"/>
          <w:sz w:val="16"/>
          <w:szCs w:val="16"/>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48265-3000</w:t>
      </w:r>
    </w:p>
    <w:p>
      <w:pPr>
        <w:spacing w:after="0" w:line="46" w:lineRule="exact"/>
        <w:rPr>
          <w:sz w:val="24"/>
          <w:szCs w:val="24"/>
          <w:color w:val="auto"/>
        </w:rPr>
      </w:pPr>
    </w:p>
    <w:p>
      <w:pPr>
        <w:sectPr>
          <w:pgSz w:w="11900" w:h="16838" w:orient="portrait"/>
          <w:cols w:equalWidth="0" w:num="2">
            <w:col w:w="7540" w:space="720"/>
            <w:col w:w="2760"/>
          </w:cols>
          <w:pgMar w:left="240" w:top="308" w:right="639" w:bottom="1440" w:gutter="0" w:footer="0" w:header="0"/>
          <w:type w:val="continuous"/>
        </w:sectPr>
      </w:pPr>
    </w:p>
    <w:p>
      <w:pPr>
        <w:ind w:left="172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(Zip Code)</w:t>
      </w:r>
    </w:p>
    <w:p>
      <w:pPr>
        <w:spacing w:after="0" w:line="172" w:lineRule="exact"/>
        <w:rPr>
          <w:sz w:val="24"/>
          <w:szCs w:val="24"/>
          <w:color w:val="auto"/>
        </w:rPr>
      </w:pPr>
    </w:p>
    <w:p>
      <w:pPr>
        <w:sectPr>
          <w:pgSz w:w="11900" w:h="16838" w:orient="portrait"/>
          <w:cols w:equalWidth="0" w:num="2">
            <w:col w:w="7660" w:space="720"/>
            <w:col w:w="2640"/>
          </w:cols>
          <w:pgMar w:left="240" w:top="308" w:right="639" w:bottom="1440" w:gutter="0" w:footer="0" w:header="0"/>
          <w:type w:val="continuous"/>
        </w:sect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(313) 556-5000</w:t>
      </w:r>
    </w:p>
    <w:p>
      <w:pPr>
        <w:spacing w:after="0" w:line="23"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35"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3"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3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08" w:right="6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 Other Events</w:t>
      </w:r>
    </w:p>
    <w:p>
      <w:pPr>
        <w:spacing w:after="0" w:line="92"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6"/>
          <w:szCs w:val="16"/>
          <w:color w:val="auto"/>
        </w:rPr>
        <w:t>On April 20, 2010, General Motors Holdings LLC (GM Holdings), a wholly owned subsidiary of General Motors Company, repaid all loans and other amounts outstanding under its secured credit agreement (UST Credit Agreement) with the United States Department of the Treasury (U.S. Treasury) in an aggregate amount of $4.7 billion. General Motors of Canada Limited (GMCL), a wholly owned subsidiary of GM Holdings, repaid all loans and other amounts outstanding under GMCL’s loan agreement (Canadian Loan Agreement) with Export Development Canada in an aggregate amount of CAD $1.1 billion.</w:t>
      </w:r>
    </w:p>
    <w:p>
      <w:pPr>
        <w:spacing w:after="0" w:line="103"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color w:val="auto"/>
        </w:rPr>
        <w:t>Following the repayment of the obligations under the UST Credit Agreement and the Canadian Loan Agreement, funds in an amount of $6.6 billion that were held in escrow have been released to GM Holdings, and the availability of those funds is no longer subject to the conditions set forth in the UST Credit Agreement.</w:t>
      </w:r>
    </w:p>
    <w:p>
      <w:pPr>
        <w:sectPr>
          <w:pgSz w:w="11900" w:h="16838" w:orient="portrait"/>
          <w:cols w:equalWidth="0" w:num="1">
            <w:col w:w="11340"/>
          </w:cols>
          <w:pgMar w:left="240" w:top="272" w:right="319" w:bottom="1440" w:gutter="0" w:footer="0" w:header="0"/>
        </w:sectPr>
      </w:pPr>
    </w:p>
    <w:bookmarkStart w:id="2" w:name="page3"/>
    <w:bookmarkEnd w:id="2"/>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3"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u w:val="single" w:color="auto"/>
          <w:color w:val="auto"/>
        </w:rPr>
        <w:t>GENERAL MOTORS COMPANY</w:t>
      </w:r>
    </w:p>
    <w:p>
      <w:pPr>
        <w:spacing w:after="0" w:line="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(Registrant)</w:t>
      </w:r>
    </w:p>
    <w:p>
      <w:pPr>
        <w:spacing w:after="0" w:line="213" w:lineRule="exact"/>
        <w:rPr>
          <w:sz w:val="20"/>
          <w:szCs w:val="20"/>
          <w:color w:val="auto"/>
        </w:rPr>
      </w:pPr>
    </w:p>
    <w:p>
      <w:pPr>
        <w:spacing w:after="0"/>
        <w:tabs>
          <w:tab w:leader="none" w:pos="5560" w:val="left"/>
        </w:tabs>
        <w:rPr>
          <w:sz w:val="20"/>
          <w:szCs w:val="20"/>
          <w:color w:val="auto"/>
        </w:rPr>
      </w:pPr>
      <w:r>
        <w:rPr>
          <w:rFonts w:ascii="Times New Roman" w:cs="Times New Roman" w:eastAsia="Times New Roman" w:hAnsi="Times New Roman"/>
          <w:sz w:val="18"/>
          <w:szCs w:val="18"/>
          <w:color w:val="auto"/>
        </w:rPr>
        <w:t>Date: April 22, 2010</w:t>
      </w:r>
      <w:r>
        <w:rPr>
          <w:sz w:val="20"/>
          <w:szCs w:val="20"/>
          <w:color w:val="auto"/>
        </w:rPr>
        <w:tab/>
      </w:r>
      <w:r>
        <w:rPr>
          <w:rFonts w:ascii="Times New Roman" w:cs="Times New Roman" w:eastAsia="Times New Roman" w:hAnsi="Times New Roman"/>
          <w:sz w:val="18"/>
          <w:szCs w:val="18"/>
          <w:color w:val="auto"/>
        </w:rPr>
        <w:t>By: /s/ Nick S. Cyprus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Nick S. Cyprus</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Vice President, Controller and Chief Accounting Officer</w:t>
      </w:r>
    </w:p>
    <w:sectPr>
      <w:pgSz w:w="11900" w:h="16838" w:orient="portrait"/>
      <w:cols w:equalWidth="0" w:num="1">
        <w:col w:w="11000"/>
      </w:cols>
      <w:pgMar w:left="240" w:top="272"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2019-12-15T16:11:39Z</dcterms:created>
  <dcterms:modified xsi:type="dcterms:W3CDTF">2019-12-15T16:11:39Z</dcterms:modified>
</cp:coreProperties>
</file>