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3587750</wp:posOffset>
            </wp:positionH>
            <wp:positionV relativeFrom="page">
              <wp:posOffset>723265</wp:posOffset>
            </wp:positionV>
            <wp:extent cx="39433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Thomas S. Timko</w:t>
      </w:r>
    </w:p>
    <w:p>
      <w:pPr>
        <w:spacing w:after="0" w:line="26" w:lineRule="exact"/>
        <w:rPr>
          <w:sz w:val="24"/>
          <w:szCs w:val="24"/>
          <w:color w:val="auto"/>
        </w:rPr>
      </w:pPr>
    </w:p>
    <w:p>
      <w:pPr>
        <w:ind w:left="6200"/>
        <w:spacing w:after="0"/>
        <w:rPr>
          <w:sz w:val="20"/>
          <w:szCs w:val="20"/>
          <w:color w:val="auto"/>
        </w:rPr>
      </w:pPr>
      <w:r>
        <w:rPr>
          <w:rFonts w:ascii="Arial" w:cs="Arial" w:eastAsia="Arial" w:hAnsi="Arial"/>
          <w:sz w:val="21"/>
          <w:szCs w:val="21"/>
          <w:i w:val="1"/>
          <w:iCs w:val="1"/>
          <w:color w:val="808080"/>
        </w:rPr>
        <w:t>Vice President, Controller,</w:t>
      </w:r>
    </w:p>
    <w:p>
      <w:pPr>
        <w:spacing w:after="0" w:line="29" w:lineRule="exact"/>
        <w:rPr>
          <w:sz w:val="24"/>
          <w:szCs w:val="24"/>
          <w:color w:val="auto"/>
        </w:rPr>
      </w:pPr>
    </w:p>
    <w:p>
      <w:pPr>
        <w:ind w:left="6200"/>
        <w:spacing w:after="0"/>
        <w:rPr>
          <w:sz w:val="20"/>
          <w:szCs w:val="20"/>
          <w:color w:val="auto"/>
        </w:rPr>
      </w:pPr>
      <w:r>
        <w:rPr>
          <w:rFonts w:ascii="Arial" w:cs="Arial" w:eastAsia="Arial" w:hAnsi="Arial"/>
          <w:sz w:val="23"/>
          <w:szCs w:val="23"/>
          <w:i w:val="1"/>
          <w:iCs w:val="1"/>
          <w:color w:val="808080"/>
        </w:rPr>
        <w:t>&amp; CAO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ind w:right="780"/>
        <w:spacing w:after="0" w:line="304" w:lineRule="auto"/>
        <w:rPr>
          <w:sz w:val="20"/>
          <w:szCs w:val="20"/>
          <w:color w:val="auto"/>
        </w:rPr>
      </w:pPr>
      <w:r>
        <w:rPr>
          <w:rFonts w:ascii="Arial" w:cs="Arial" w:eastAsia="Arial" w:hAnsi="Arial"/>
          <w:sz w:val="14"/>
          <w:szCs w:val="14"/>
          <w:color w:val="808080"/>
        </w:rPr>
        <w:t>General Motors Company M/C 482-C34-D71</w:t>
      </w:r>
    </w:p>
    <w:p>
      <w:pPr>
        <w:spacing w:after="0" w:line="1" w:lineRule="exact"/>
        <w:rPr>
          <w:sz w:val="24"/>
          <w:szCs w:val="24"/>
          <w:color w:val="auto"/>
        </w:rPr>
      </w:pPr>
    </w:p>
    <w:p>
      <w:pPr>
        <w:ind w:right="920"/>
        <w:spacing w:after="0" w:line="276" w:lineRule="auto"/>
        <w:rPr>
          <w:sz w:val="20"/>
          <w:szCs w:val="20"/>
          <w:color w:val="auto"/>
        </w:rPr>
      </w:pPr>
      <w:r>
        <w:rPr>
          <w:rFonts w:ascii="Arial" w:cs="Arial" w:eastAsia="Arial" w:hAnsi="Arial"/>
          <w:sz w:val="16"/>
          <w:szCs w:val="16"/>
          <w:color w:val="808080"/>
        </w:rPr>
        <w:t>300 Renaissance Center Detroit, MI 48265 313-667-3434</w:t>
      </w:r>
    </w:p>
    <w:p>
      <w:pPr>
        <w:spacing w:after="0" w:line="200" w:lineRule="exact"/>
        <w:rPr>
          <w:sz w:val="24"/>
          <w:szCs w:val="24"/>
          <w:color w:val="auto"/>
        </w:rPr>
      </w:pPr>
    </w:p>
    <w:p>
      <w:pPr>
        <w:sectPr>
          <w:pgSz w:w="11900" w:h="16838" w:orient="portrait"/>
          <w:cols w:equalWidth="0" w:num="2">
            <w:col w:w="8680" w:space="140"/>
            <w:col w:w="2480"/>
          </w:cols>
          <w:pgMar w:left="240" w:top="1440" w:right="359" w:bottom="1440" w:gutter="0" w:footer="0" w:header="0"/>
        </w:sectPr>
      </w:pPr>
    </w:p>
    <w:p>
      <w:pPr>
        <w:spacing w:after="0" w:line="19" w:lineRule="exact"/>
        <w:rPr>
          <w:sz w:val="24"/>
          <w:szCs w:val="24"/>
          <w:color w:val="auto"/>
        </w:rPr>
      </w:pPr>
    </w:p>
    <w:p>
      <w:pPr>
        <w:spacing w:after="0"/>
        <w:rPr>
          <w:sz w:val="20"/>
          <w:szCs w:val="20"/>
          <w:color w:val="auto"/>
        </w:rPr>
      </w:pPr>
      <w:r>
        <w:rPr>
          <w:rFonts w:ascii="Arial" w:cs="Arial" w:eastAsia="Arial" w:hAnsi="Arial"/>
          <w:sz w:val="20"/>
          <w:szCs w:val="20"/>
          <w:color w:val="auto"/>
        </w:rPr>
        <w:t>October 17, 2016</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 AND OVERNIGHT DELIVERY</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Andrew Mew</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Senior Assistant Chief Accountant</w:t>
      </w: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Division of Corporate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7" w:lineRule="exact"/>
        <w:rPr>
          <w:sz w:val="24"/>
          <w:szCs w:val="24"/>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General Motors Company</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Form 8-K dated July 21, 2016</w:t>
      </w:r>
    </w:p>
    <w:p>
      <w:pPr>
        <w:ind w:left="660"/>
        <w:spacing w:after="0"/>
        <w:rPr>
          <w:sz w:val="20"/>
          <w:szCs w:val="20"/>
          <w:color w:val="auto"/>
        </w:rPr>
      </w:pPr>
      <w:r>
        <w:rPr>
          <w:rFonts w:ascii="Arial" w:cs="Arial" w:eastAsia="Arial" w:hAnsi="Arial"/>
          <w:sz w:val="20"/>
          <w:szCs w:val="20"/>
          <w:b w:val="1"/>
          <w:bCs w:val="1"/>
          <w:color w:val="auto"/>
        </w:rPr>
        <w:t>Filed July 21, 2016</w:t>
      </w:r>
    </w:p>
    <w:p>
      <w:pPr>
        <w:ind w:left="660"/>
        <w:spacing w:after="0"/>
        <w:rPr>
          <w:sz w:val="20"/>
          <w:szCs w:val="20"/>
          <w:color w:val="auto"/>
        </w:rPr>
      </w:pPr>
      <w:r>
        <w:rPr>
          <w:rFonts w:ascii="Arial" w:cs="Arial" w:eastAsia="Arial" w:hAnsi="Arial"/>
          <w:sz w:val="20"/>
          <w:szCs w:val="20"/>
          <w:b w:val="1"/>
          <w:bCs w:val="1"/>
          <w:color w:val="auto"/>
        </w:rPr>
        <w:t>File No. 001-34960</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Dear Mr. Mew:</w:t>
      </w:r>
    </w:p>
    <w:p>
      <w:pPr>
        <w:spacing w:after="0" w:line="229" w:lineRule="exact"/>
        <w:rPr>
          <w:sz w:val="24"/>
          <w:szCs w:val="24"/>
          <w:color w:val="auto"/>
        </w:rPr>
      </w:pPr>
    </w:p>
    <w:p>
      <w:pPr>
        <w:jc w:val="both"/>
        <w:ind w:right="80"/>
        <w:spacing w:after="0" w:line="250" w:lineRule="auto"/>
        <w:rPr>
          <w:sz w:val="20"/>
          <w:szCs w:val="20"/>
          <w:color w:val="auto"/>
        </w:rPr>
      </w:pPr>
      <w:r>
        <w:rPr>
          <w:rFonts w:ascii="Arial" w:cs="Arial" w:eastAsia="Arial" w:hAnsi="Arial"/>
          <w:sz w:val="20"/>
          <w:szCs w:val="20"/>
          <w:color w:val="auto"/>
        </w:rPr>
        <w:t>This letter from General Motors Company (the “Company” or “GM”) is in response to comments from the staff (the “Staff”) of the Securities and Exchange Commission (the “Commission”) received by letter dated September 28, 2016, relating to the Company’s Form 8-K dated July 21, 2016 (File No. 001-34960) filed with the Commission on July 21, 2016 (the “Form 8-K”).</w:t>
      </w:r>
    </w:p>
    <w:p>
      <w:pPr>
        <w:spacing w:after="0" w:line="200"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We appreciated the opportunity to discuss the comments raised in your letter with your staff during our conference call on Tuesday, October 4, 2016.</w:t>
      </w:r>
    </w:p>
    <w:p>
      <w:pPr>
        <w:spacing w:after="0" w:line="190" w:lineRule="exact"/>
        <w:rPr>
          <w:sz w:val="24"/>
          <w:szCs w:val="24"/>
          <w:color w:val="auto"/>
        </w:rPr>
      </w:pPr>
    </w:p>
    <w:p>
      <w:pPr>
        <w:ind w:right="520"/>
        <w:spacing w:after="0" w:line="260" w:lineRule="auto"/>
        <w:rPr>
          <w:sz w:val="20"/>
          <w:szCs w:val="20"/>
          <w:color w:val="auto"/>
        </w:rPr>
      </w:pPr>
      <w:r>
        <w:rPr>
          <w:rFonts w:ascii="Arial" w:cs="Arial" w:eastAsia="Arial" w:hAnsi="Arial"/>
          <w:sz w:val="20"/>
          <w:szCs w:val="20"/>
          <w:color w:val="auto"/>
        </w:rPr>
        <w:t>In this letter, we have recited the comments from the Staff in italicized, bold type and have followed each comment with the Company’s response thereto.</w:t>
      </w:r>
    </w:p>
    <w:p>
      <w:pPr>
        <w:spacing w:after="0" w:line="184"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8-K dated July 21, 2016</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Exhibit 99.1</w:t>
      </w:r>
    </w:p>
    <w:p>
      <w:pPr>
        <w:spacing w:after="0" w:line="229" w:lineRule="exact"/>
        <w:rPr>
          <w:sz w:val="24"/>
          <w:szCs w:val="24"/>
          <w:color w:val="auto"/>
        </w:rPr>
      </w:pPr>
    </w:p>
    <w:p>
      <w:pPr>
        <w:ind w:left="660" w:right="40" w:hanging="328"/>
        <w:spacing w:after="0" w:line="287" w:lineRule="auto"/>
        <w:tabs>
          <w:tab w:leader="none" w:pos="66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9"/>
          <w:szCs w:val="19"/>
          <w:b w:val="1"/>
          <w:bCs w:val="1"/>
          <w:i w:val="1"/>
          <w:iCs w:val="1"/>
          <w:color w:val="auto"/>
        </w:rPr>
        <w:t>In your next earnings release, please provide a more substantive and concise discussion of how each of your non-GAAP measures is useful to investors. Please provide us with your proposed changes in your response letter.</w:t>
      </w:r>
    </w:p>
    <w:p>
      <w:pPr>
        <w:spacing w:after="0" w:line="166" w:lineRule="exact"/>
        <w:rPr>
          <w:sz w:val="24"/>
          <w:szCs w:val="24"/>
          <w:color w:val="auto"/>
        </w:rPr>
      </w:pPr>
    </w:p>
    <w:p>
      <w:pPr>
        <w:ind w:right="200"/>
        <w:spacing w:after="0" w:line="287" w:lineRule="auto"/>
        <w:rPr>
          <w:sz w:val="20"/>
          <w:szCs w:val="20"/>
          <w:color w:val="auto"/>
        </w:rPr>
      </w:pPr>
      <w:r>
        <w:rPr>
          <w:rFonts w:ascii="Arial" w:cs="Arial" w:eastAsia="Arial" w:hAnsi="Arial"/>
          <w:sz w:val="19"/>
          <w:szCs w:val="19"/>
          <w:color w:val="auto"/>
        </w:rPr>
        <w:t>The Company will revise its disclosures prospectively to provide more substantive and concise discussion as to why each of our non-GAAP measures is useful to investors. Set forth below is how the Company will enhance its disclosure in future filings.</w:t>
      </w:r>
    </w:p>
    <w:p>
      <w:pPr>
        <w:sectPr>
          <w:pgSz w:w="11900" w:h="16838" w:orient="portrait"/>
          <w:cols w:equalWidth="0" w:num="1">
            <w:col w:w="11300"/>
          </w:cols>
          <w:pgMar w:left="240" w:top="1440" w:right="359" w:bottom="144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9"/>
          <w:szCs w:val="19"/>
          <w:color w:val="auto"/>
        </w:rPr>
        <w:t>Our non-GAAP measures include earnings before interest and taxes adjusted for special items, presented net of noncontrolling interests (EBIT-adjusted), earnings per share (EPS)-diluted-adjusted,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 These non-GAAP measures have not been audited or reviewed by General Motors Company's (GM) independent auditors.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EBIT-adjusted is used by management and can be used by investors to review GM's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EPS-diluted-adjusted is used by management and can be used by investors to review GM's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certain income tax adjustments divided by weighted-average common shares outstanding-diluted. Examples of income tax adjustments include the establishment or reversal of significant deferred tax asset valuation allowances.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ROIC-adjusted is used by management and can be used by investors to review GM’s investment and capital allocation decisions. GM defines ROIC-adjusted as EBIT-adjusted for the trailing four quarters divided by average net assets, which is considered to be the average equity balances adjusted for average automotive debt and interest liabilities, exclusive of capital leases; average automotive net pension &amp; OPEB liabilities; and average automotive net income tax assets during the same period.</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Adjusted automotive free cash flow is used by management and can be used by investors to review the liquidity of GM's automotive operations and to measure and monitor our performance against our capital allocation framework and evaluate our automotive liquidity against the substantial cash requirements of our automotive operations. GM measures adjusted automotive free cash flow as automotive cash flow from operations less capital expenditures adjusted for management actions, primarily related to strengthening its balance sheet, such as prepayments of debt and discretionary contributions to employee benefit plans.</w:t>
      </w:r>
    </w:p>
    <w:p>
      <w:pPr>
        <w:spacing w:after="0" w:line="194" w:lineRule="exact"/>
        <w:rPr>
          <w:sz w:val="20"/>
          <w:szCs w:val="20"/>
          <w:color w:val="auto"/>
        </w:rPr>
      </w:pPr>
    </w:p>
    <w:p>
      <w:pPr>
        <w:ind w:left="660" w:right="140" w:hanging="328"/>
        <w:spacing w:after="0" w:line="250"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Please revise your next earnings release to (a) provide at least an equally prominent descriptive characterization of your GAAP measures when describing your non-GAAP measures (e.g., “record EBIT”); and (b) begin your reconciliations with GAAP results rather than non-GAAP results. See</w:t>
      </w:r>
    </w:p>
    <w:p>
      <w:pPr>
        <w:sectPr>
          <w:pgSz w:w="11900" w:h="16838" w:orient="portrait"/>
          <w:cols w:equalWidth="0" w:num="1">
            <w:col w:w="11420"/>
          </w:cols>
          <w:pgMar w:left="240" w:top="1014"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20"/>
          <w:szCs w:val="20"/>
          <w:b w:val="1"/>
          <w:bCs w:val="1"/>
          <w:i w:val="1"/>
          <w:iCs w:val="1"/>
          <w:color w:val="auto"/>
        </w:rPr>
        <w:t>Question 102.10 of the updated Non-GAAP Compliance and Disclosure Interpretations issued on May 17, 2016.</w:t>
      </w:r>
    </w:p>
    <w:p>
      <w:pPr>
        <w:spacing w:after="0" w:line="243"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In response to subpart (a) of the Staff’s comment, the Company acknowledges that the Compliance and Disclosures Interpretation (“CDI”) 102.10 as revised on May 17, 2016, states that it is generally not appropriate to characterize a non-GAAP measure without at least an equally prominent descriptive characterization of the comparable GAAP measure.</w:t>
      </w:r>
    </w:p>
    <w:p>
      <w:pPr>
        <w:spacing w:after="0" w:line="200" w:lineRule="exact"/>
        <w:rPr>
          <w:sz w:val="20"/>
          <w:szCs w:val="20"/>
          <w:color w:val="auto"/>
        </w:rPr>
      </w:pPr>
    </w:p>
    <w:p>
      <w:pPr>
        <w:ind w:right="240"/>
        <w:spacing w:after="0" w:line="328" w:lineRule="auto"/>
        <w:rPr>
          <w:sz w:val="20"/>
          <w:szCs w:val="20"/>
          <w:color w:val="auto"/>
        </w:rPr>
      </w:pPr>
      <w:r>
        <w:rPr>
          <w:rFonts w:ascii="Arial" w:cs="Arial" w:eastAsia="Arial" w:hAnsi="Arial"/>
          <w:sz w:val="16"/>
          <w:szCs w:val="16"/>
          <w:color w:val="auto"/>
        </w:rPr>
        <w:t>The Company carefully considered the CDI when preparing the earnings release and, respectfully, believes that the earnings release includes equally prominent descriptive characterizations for both GAAP and our non-GAAP measures. The headline of the earnings release contained only GAAP measures, and the highlights began with a characterization of GAAP EPS diluted. Moreover, the first paragraph of the earnings release contained only GAAP measures, and the first two sentences of the release prominently characterized those measures as “strong”.</w:t>
      </w:r>
    </w:p>
    <w:p>
      <w:pPr>
        <w:spacing w:after="0" w:line="142"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With respect to the Staff’s comment, when we use a descriptive characterization to describe the non-GAAP measure (e.g., “record EBIT”) in the highlights of the earnings release we will provide a descriptive characterization (e.g., “strong” or “record”, as appropriate) to describe the GAAP measure highlighted in the headline in future filings.</w:t>
      </w:r>
    </w:p>
    <w:p>
      <w:pPr>
        <w:spacing w:after="0" w:line="200"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In prospective earnings releases, we will continue to balance our characterization of GAAP and non-GAAP measures to ensure equal or greater prominence of the GAAP measure.</w:t>
      </w:r>
    </w:p>
    <w:p>
      <w:pPr>
        <w:spacing w:after="0" w:line="190"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With respect to subpart (b) of the Staff’s comment, the Company will provide reconciliations that begin with GAAP results rather than non-GAAP results in all future filings.</w:t>
      </w:r>
    </w:p>
    <w:p>
      <w:pPr>
        <w:spacing w:after="0" w:line="1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Please quantify significant components of “special items” in the narrative discussion of those adjustments.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response to the Staff’s comment, the Company will quantify the significant components of “special items” in its narrative discussion in future filings. Set forth below is an example of how the Company will enhance its disclosure of the significant components of “special items” in future disclosures. Although not addressed in your comment, we also believe it is important to provide disclosure regarding “why” an item is considered a special item. We have included in our response to this comment this enhanced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segment profit (loss) to Net income attributable to common stockholders (dollars in millions):</w:t>
      </w:r>
    </w:p>
    <w:p>
      <w:pPr>
        <w:sectPr>
          <w:pgSz w:w="11900" w:h="16838" w:orient="portrait"/>
          <w:cols w:equalWidth="0" w:num="1">
            <w:col w:w="11420"/>
          </w:cols>
          <w:pgMar w:left="240" w:top="1028" w:right="239" w:bottom="1440" w:gutter="0" w:footer="0" w:header="0"/>
        </w:sectPr>
      </w:pPr>
    </w:p>
    <w:bookmarkStart w:id="3" w:name="page4"/>
    <w:bookmarkEnd w:id="3"/>
    <w:tbl>
      <w:tblPr>
        <w:tblLayout w:type="fixed"/>
        <w:tblInd w:w="2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220" w:type="dxa"/>
            <w:vAlign w:val="bottom"/>
            <w:gridSpan w:val="4"/>
          </w:tcPr>
          <w:p>
            <w:pPr>
              <w:jc w:val="right"/>
              <w:ind w:right="46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2016</w:t>
            </w: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2015</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2016</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5"/>
              </w:rPr>
              <w:t>June 30, 2015</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Arial" w:cs="Arial" w:eastAsia="Arial" w:hAnsi="Arial"/>
                <w:sz w:val="20"/>
                <w:szCs w:val="20"/>
                <w:color w:val="auto"/>
              </w:rPr>
              <w:t>Operating segments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GM North America (GMNA)</w:t>
            </w:r>
          </w:p>
        </w:tc>
        <w:tc>
          <w:tcPr>
            <w:tcW w:w="300" w:type="dxa"/>
            <w:vAlign w:val="bottom"/>
          </w:tcPr>
          <w:p>
            <w:pPr>
              <w:jc w:val="right"/>
              <w:ind w:right="84"/>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3,647</w:t>
            </w:r>
          </w:p>
        </w:tc>
        <w:tc>
          <w:tcPr>
            <w:tcW w:w="120" w:type="dxa"/>
            <w:vAlign w:val="bottom"/>
          </w:tcPr>
          <w:p>
            <w:pPr>
              <w:spacing w:after="0"/>
              <w:rPr>
                <w:sz w:val="24"/>
                <w:szCs w:val="24"/>
                <w:color w:val="auto"/>
              </w:rPr>
            </w:pPr>
          </w:p>
        </w:tc>
        <w:tc>
          <w:tcPr>
            <w:tcW w:w="360" w:type="dxa"/>
            <w:vAlign w:val="bottom"/>
          </w:tcPr>
          <w:p>
            <w:pPr>
              <w:jc w:val="right"/>
              <w:ind w:right="144"/>
              <w:spacing w:after="0"/>
              <w:rPr>
                <w:sz w:val="20"/>
                <w:szCs w:val="20"/>
                <w:color w:val="auto"/>
              </w:rPr>
            </w:pPr>
            <w:r>
              <w:rPr>
                <w:rFonts w:ascii="Arial" w:cs="Arial" w:eastAsia="Arial" w:hAnsi="Arial"/>
                <w:sz w:val="20"/>
                <w:szCs w:val="20"/>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2,780</w:t>
            </w:r>
          </w:p>
        </w:tc>
        <w:tc>
          <w:tcPr>
            <w:tcW w:w="120" w:type="dxa"/>
            <w:vAlign w:val="bottom"/>
          </w:tcPr>
          <w:p>
            <w:pPr>
              <w:spacing w:after="0"/>
              <w:rPr>
                <w:sz w:val="24"/>
                <w:szCs w:val="24"/>
                <w:color w:val="auto"/>
              </w:rPr>
            </w:pPr>
          </w:p>
        </w:tc>
        <w:tc>
          <w:tcPr>
            <w:tcW w:w="340" w:type="dxa"/>
            <w:vAlign w:val="bottom"/>
          </w:tcPr>
          <w:p>
            <w:pPr>
              <w:jc w:val="right"/>
              <w:ind w:right="124"/>
              <w:spacing w:after="0"/>
              <w:rPr>
                <w:sz w:val="20"/>
                <w:szCs w:val="20"/>
                <w:color w:val="auto"/>
              </w:rPr>
            </w:pPr>
            <w:r>
              <w:rPr>
                <w:rFonts w:ascii="Arial" w:cs="Arial" w:eastAsia="Arial" w:hAnsi="Arial"/>
                <w:sz w:val="20"/>
                <w:szCs w:val="20"/>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5,943</w:t>
            </w:r>
          </w:p>
        </w:tc>
        <w:tc>
          <w:tcPr>
            <w:tcW w:w="100" w:type="dxa"/>
            <w:vAlign w:val="bottom"/>
          </w:tcPr>
          <w:p>
            <w:pPr>
              <w:spacing w:after="0"/>
              <w:rPr>
                <w:sz w:val="24"/>
                <w:szCs w:val="24"/>
                <w:color w:val="auto"/>
              </w:rPr>
            </w:pPr>
          </w:p>
        </w:tc>
        <w:tc>
          <w:tcPr>
            <w:tcW w:w="380" w:type="dxa"/>
            <w:vAlign w:val="bottom"/>
          </w:tcPr>
          <w:p>
            <w:pPr>
              <w:jc w:val="right"/>
              <w:ind w:right="144"/>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4,962</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GM Europe (GME)</w:t>
            </w:r>
          </w:p>
        </w:tc>
        <w:tc>
          <w:tcPr>
            <w:tcW w:w="3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137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(284)</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GM International Operations (GMIO)</w:t>
            </w:r>
          </w:p>
        </w:tc>
        <w:tc>
          <w:tcPr>
            <w:tcW w:w="3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349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548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GM South America (GMSA)</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(358)</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General Motors Financial Company, Inc. (GM Financial)(a)</w:t>
            </w:r>
          </w:p>
        </w:tc>
        <w:tc>
          <w:tcPr>
            <w:tcW w:w="3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266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225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439</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740" w:type="dxa"/>
            <w:vAlign w:val="bottom"/>
          </w:tcPr>
          <w:p>
            <w:pPr>
              <w:ind w:left="160"/>
              <w:spacing w:after="0"/>
              <w:rPr>
                <w:sz w:val="20"/>
                <w:szCs w:val="20"/>
                <w:color w:val="auto"/>
              </w:rPr>
            </w:pPr>
            <w:r>
              <w:rPr>
                <w:rFonts w:ascii="Arial" w:cs="Arial" w:eastAsia="Arial" w:hAnsi="Arial"/>
                <w:sz w:val="20"/>
                <w:szCs w:val="20"/>
                <w:color w:val="auto"/>
              </w:rPr>
              <w:t>Total operating segments(b)</w:t>
            </w:r>
          </w:p>
        </w:tc>
        <w:tc>
          <w:tcPr>
            <w:tcW w:w="30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4,098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3,165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6,925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Corporate and eliminations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(526)</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20"/>
                <w:szCs w:val="20"/>
                <w:color w:val="auto"/>
              </w:rPr>
              <w:t>EBIT-adjusted</w:t>
            </w:r>
          </w:p>
        </w:tc>
        <w:tc>
          <w:tcPr>
            <w:tcW w:w="30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3,947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b w:val="1"/>
                <w:bCs w:val="1"/>
                <w:color w:val="auto"/>
              </w:rPr>
              <w:t>2,871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b w:val="1"/>
                <w:bCs w:val="1"/>
                <w:color w:val="auto"/>
              </w:rPr>
              <w:t>6,602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b w:val="1"/>
                <w:bCs w:val="1"/>
                <w:color w:val="auto"/>
              </w:rPr>
              <w:t>4,953</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Special items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Ignition switch recall and related legal matters(c)</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Thailand asset impairment(d)</w:t>
            </w:r>
          </w:p>
        </w:tc>
        <w:tc>
          <w:tcPr>
            <w:tcW w:w="3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(297)</w:t>
            </w:r>
          </w:p>
        </w:tc>
        <w:tc>
          <w:tcPr>
            <w:tcW w:w="0" w:type="dxa"/>
            <w:vAlign w:val="bottom"/>
          </w:tcPr>
          <w:p>
            <w:pPr>
              <w:spacing w:after="0"/>
              <w:rPr>
                <w:sz w:val="1"/>
                <w:szCs w:val="1"/>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Venezuelan currency devaluation and asset impairment(e)</w:t>
            </w:r>
          </w:p>
        </w:tc>
        <w:tc>
          <w:tcPr>
            <w:tcW w:w="3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(720)</w:t>
            </w:r>
          </w:p>
        </w:tc>
        <w:tc>
          <w:tcPr>
            <w:tcW w:w="0" w:type="dxa"/>
            <w:vAlign w:val="bottom"/>
          </w:tcPr>
          <w:p>
            <w:pPr>
              <w:spacing w:after="0"/>
              <w:rPr>
                <w:sz w:val="1"/>
                <w:szCs w:val="1"/>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Russia exit(f)</w:t>
            </w:r>
          </w:p>
        </w:tc>
        <w:tc>
          <w:tcPr>
            <w:tcW w:w="3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r>
        <w:trPr>
          <w:trHeight w:val="284"/>
        </w:trPr>
        <w:tc>
          <w:tcPr>
            <w:tcW w:w="5740" w:type="dxa"/>
            <w:vAlign w:val="bottom"/>
          </w:tcPr>
          <w:p>
            <w:pPr>
              <w:ind w:left="160"/>
              <w:spacing w:after="0"/>
              <w:rPr>
                <w:sz w:val="20"/>
                <w:szCs w:val="20"/>
                <w:color w:val="auto"/>
              </w:rPr>
            </w:pPr>
            <w:r>
              <w:rPr>
                <w:rFonts w:ascii="Arial" w:cs="Arial" w:eastAsia="Arial" w:hAnsi="Arial"/>
                <w:sz w:val="20"/>
                <w:szCs w:val="20"/>
                <w:color w:val="auto"/>
              </w:rPr>
              <w:t>Other</w:t>
            </w:r>
          </w:p>
        </w:tc>
        <w:tc>
          <w:tcPr>
            <w:tcW w:w="3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20"/>
                <w:szCs w:val="20"/>
                <w:color w:val="auto"/>
              </w:rPr>
              <w:t>Total special items</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(1,657)</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0"/>
                <w:szCs w:val="20"/>
                <w:color w:val="auto"/>
              </w:rPr>
            </w:pPr>
            <w:r>
              <w:rPr>
                <w:rFonts w:ascii="Arial" w:cs="Arial" w:eastAsia="Arial" w:hAnsi="Arial"/>
                <w:sz w:val="20"/>
                <w:szCs w:val="20"/>
                <w:color w:val="auto"/>
              </w:rPr>
              <w:t>Automotive interest income</w:t>
            </w:r>
          </w:p>
        </w:tc>
        <w:tc>
          <w:tcPr>
            <w:tcW w:w="30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Automotive interest expense</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20"/>
                <w:szCs w:val="20"/>
                <w:color w:val="auto"/>
              </w:rPr>
              <w:t>Income tax expense</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(1,106)</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740" w:type="dxa"/>
            <w:vAlign w:val="bottom"/>
          </w:tcPr>
          <w:p>
            <w:pPr>
              <w:spacing w:after="0"/>
              <w:rPr>
                <w:sz w:val="20"/>
                <w:szCs w:val="20"/>
                <w:color w:val="auto"/>
              </w:rPr>
            </w:pPr>
            <w:r>
              <w:rPr>
                <w:rFonts w:ascii="Arial" w:cs="Arial" w:eastAsia="Arial" w:hAnsi="Arial"/>
                <w:sz w:val="20"/>
                <w:szCs w:val="20"/>
                <w:color w:val="auto"/>
              </w:rPr>
              <w:t>Net income attributable to common stockholders</w:t>
            </w:r>
          </w:p>
        </w:tc>
        <w:tc>
          <w:tcPr>
            <w:tcW w:w="300" w:type="dxa"/>
            <w:vAlign w:val="bottom"/>
          </w:tcPr>
          <w:p>
            <w:pPr>
              <w:jc w:val="right"/>
              <w:ind w:right="84"/>
              <w:spacing w:after="0"/>
              <w:rPr>
                <w:sz w:val="20"/>
                <w:szCs w:val="20"/>
                <w:color w:val="auto"/>
              </w:rPr>
            </w:pPr>
            <w:r>
              <w:rPr>
                <w:rFonts w:ascii="Arial" w:cs="Arial" w:eastAsia="Arial" w:hAnsi="Arial"/>
                <w:sz w:val="20"/>
                <w:szCs w:val="20"/>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2,866</w:t>
            </w:r>
          </w:p>
        </w:tc>
        <w:tc>
          <w:tcPr>
            <w:tcW w:w="120" w:type="dxa"/>
            <w:vAlign w:val="bottom"/>
          </w:tcPr>
          <w:p>
            <w:pPr>
              <w:spacing w:after="0"/>
              <w:rPr>
                <w:sz w:val="23"/>
                <w:szCs w:val="23"/>
                <w:color w:val="auto"/>
              </w:rPr>
            </w:pPr>
          </w:p>
        </w:tc>
        <w:tc>
          <w:tcPr>
            <w:tcW w:w="360" w:type="dxa"/>
            <w:vAlign w:val="bottom"/>
          </w:tcPr>
          <w:p>
            <w:pPr>
              <w:jc w:val="right"/>
              <w:ind w:right="144"/>
              <w:spacing w:after="0"/>
              <w:rPr>
                <w:sz w:val="20"/>
                <w:szCs w:val="20"/>
                <w:color w:val="auto"/>
              </w:rPr>
            </w:pPr>
            <w:r>
              <w:rPr>
                <w:rFonts w:ascii="Arial" w:cs="Arial" w:eastAsia="Arial" w:hAnsi="Arial"/>
                <w:sz w:val="20"/>
                <w:szCs w:val="20"/>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20"/>
                <w:szCs w:val="20"/>
                <w:b w:val="1"/>
                <w:bCs w:val="1"/>
                <w:color w:val="auto"/>
              </w:rPr>
              <w:t>1,117</w:t>
            </w:r>
          </w:p>
        </w:tc>
        <w:tc>
          <w:tcPr>
            <w:tcW w:w="120" w:type="dxa"/>
            <w:vAlign w:val="bottom"/>
          </w:tcPr>
          <w:p>
            <w:pPr>
              <w:spacing w:after="0"/>
              <w:rPr>
                <w:sz w:val="23"/>
                <w:szCs w:val="23"/>
                <w:color w:val="auto"/>
              </w:rPr>
            </w:pPr>
          </w:p>
        </w:tc>
        <w:tc>
          <w:tcPr>
            <w:tcW w:w="340" w:type="dxa"/>
            <w:vAlign w:val="bottom"/>
          </w:tcPr>
          <w:p>
            <w:pPr>
              <w:jc w:val="right"/>
              <w:ind w:right="124"/>
              <w:spacing w:after="0"/>
              <w:rPr>
                <w:sz w:val="20"/>
                <w:szCs w:val="20"/>
                <w:color w:val="auto"/>
              </w:rPr>
            </w:pPr>
            <w:r>
              <w:rPr>
                <w:rFonts w:ascii="Arial" w:cs="Arial" w:eastAsia="Arial" w:hAnsi="Arial"/>
                <w:sz w:val="20"/>
                <w:szCs w:val="20"/>
                <w:b w:val="1"/>
                <w:bCs w:val="1"/>
                <w:color w:val="auto"/>
                <w:w w:val="89"/>
              </w:rPr>
              <w:t>$</w:t>
            </w:r>
          </w:p>
        </w:tc>
        <w:tc>
          <w:tcPr>
            <w:tcW w:w="880" w:type="dxa"/>
            <w:vAlign w:val="bottom"/>
          </w:tcPr>
          <w:p>
            <w:pPr>
              <w:jc w:val="right"/>
              <w:ind w:right="1"/>
              <w:spacing w:after="0"/>
              <w:rPr>
                <w:sz w:val="20"/>
                <w:szCs w:val="20"/>
                <w:color w:val="auto"/>
              </w:rPr>
            </w:pPr>
            <w:r>
              <w:rPr>
                <w:rFonts w:ascii="Arial" w:cs="Arial" w:eastAsia="Arial" w:hAnsi="Arial"/>
                <w:sz w:val="20"/>
                <w:szCs w:val="20"/>
                <w:b w:val="1"/>
                <w:bCs w:val="1"/>
                <w:color w:val="auto"/>
              </w:rPr>
              <w:t>4,819</w:t>
            </w:r>
          </w:p>
        </w:tc>
        <w:tc>
          <w:tcPr>
            <w:tcW w:w="100" w:type="dxa"/>
            <w:vAlign w:val="bottom"/>
          </w:tcPr>
          <w:p>
            <w:pPr>
              <w:spacing w:after="0"/>
              <w:rPr>
                <w:sz w:val="23"/>
                <w:szCs w:val="23"/>
                <w:color w:val="auto"/>
              </w:rPr>
            </w:pPr>
          </w:p>
        </w:tc>
        <w:tc>
          <w:tcPr>
            <w:tcW w:w="380" w:type="dxa"/>
            <w:vAlign w:val="bottom"/>
          </w:tcPr>
          <w:p>
            <w:pPr>
              <w:jc w:val="right"/>
              <w:ind w:right="144"/>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ind w:right="21"/>
              <w:spacing w:after="0"/>
              <w:rPr>
                <w:sz w:val="20"/>
                <w:szCs w:val="20"/>
                <w:color w:val="auto"/>
              </w:rPr>
            </w:pPr>
            <w:r>
              <w:rPr>
                <w:rFonts w:ascii="Arial" w:cs="Arial" w:eastAsia="Arial" w:hAnsi="Arial"/>
                <w:sz w:val="20"/>
                <w:szCs w:val="20"/>
                <w:b w:val="1"/>
                <w:bCs w:val="1"/>
                <w:color w:val="auto"/>
              </w:rPr>
              <w:t>2,062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6350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-143510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20"/>
          <w:szCs w:val="20"/>
          <w:color w:val="auto"/>
        </w:rPr>
        <w:t>GM Financial amounts represent earnings before income taxes-adjusted.</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20"/>
          <w:szCs w:val="20"/>
          <w:color w:val="auto"/>
        </w:rPr>
        <w:t>GM's automotive operations' interest income and interest expense are recorded centrally in Corporate.</w:t>
      </w:r>
    </w:p>
    <w:p>
      <w:pPr>
        <w:ind w:left="500" w:right="100" w:hanging="492"/>
        <w:spacing w:after="0" w:line="299"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items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500" w:right="100" w:hanging="492"/>
        <w:spacing w:after="0" w:line="239" w:lineRule="auto"/>
        <w:tabs>
          <w:tab w:leader="none" w:pos="5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item was excluded because of the significant restructuring of our Thailand operations and the strategic actions taken to focus on the production of pick-up trucks and SUVs.</w:t>
      </w:r>
    </w:p>
    <w:p>
      <w:pPr>
        <w:spacing w:after="0" w:line="1" w:lineRule="exact"/>
        <w:rPr>
          <w:rFonts w:ascii="Arial" w:cs="Arial" w:eastAsia="Arial" w:hAnsi="Arial"/>
          <w:sz w:val="20"/>
          <w:szCs w:val="20"/>
          <w:color w:val="auto"/>
        </w:rPr>
      </w:pPr>
    </w:p>
    <w:p>
      <w:pPr>
        <w:ind w:left="500" w:right="60" w:hanging="492"/>
        <w:spacing w:after="0" w:line="239" w:lineRule="auto"/>
        <w:tabs>
          <w:tab w:leader="none" w:pos="5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These items were excluded because of the devaluation of the Venezuela Bolivar Fuerte (BsF), our inability to transact at the Complementary System of Foreign Currency (SICAD) rate to obtain U.S. Dollars and the market restrictions imposed by the Venezuelan government.</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These items were excluded because of our decision to exit the Russia market as a result of a strategic shift in our operations.</w:t>
      </w:r>
    </w:p>
    <w:p>
      <w:pPr>
        <w:spacing w:after="0" w:line="225" w:lineRule="exact"/>
        <w:rPr>
          <w:sz w:val="20"/>
          <w:szCs w:val="20"/>
          <w:color w:val="auto"/>
        </w:rPr>
      </w:pPr>
    </w:p>
    <w:p>
      <w:pPr>
        <w:ind w:left="660" w:right="140" w:hanging="328"/>
        <w:spacing w:after="0" w:line="260"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20"/>
          <w:szCs w:val="20"/>
          <w:b w:val="1"/>
          <w:bCs w:val="1"/>
          <w:i w:val="1"/>
          <w:iCs w:val="1"/>
          <w:color w:val="auto"/>
        </w:rPr>
        <w:t>Please retitle return on invested capital (ROIC) to make clear that it is calculated on an adjusted basis using EBIT-adjusted rather than net income in your next earnings release.</w:t>
      </w:r>
    </w:p>
    <w:p>
      <w:pPr>
        <w:spacing w:after="0" w:line="190"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In response to the Staff’s comment, the Company will retitle return on invested capital (ROIC) to return on invested capital-adjusted (ROIC-adjusted) in future filings to make it clear that it is calculated on an adjusted basis using EBIT-adjusted rather than net income.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assistance in our compliance with applicable disclosure requirements and in enhancing the overall disclosures in our filings.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Should you have any questions or comments regarding the responses in this letter, please feel free to contact me at (313) 667-3434.</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ectPr>
          <w:pgSz w:w="11900" w:h="16838" w:orient="portrait"/>
          <w:cols w:equalWidth="0" w:num="1">
            <w:col w:w="11400"/>
          </w:cols>
          <w:pgMar w:left="240" w:top="1175" w:right="25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3601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Thomas S. Timko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0179"/>
      </w:cols>
      <w:pgMar w:left="280" w:top="11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2019-12-08T19:12:31Z</dcterms:created>
  <dcterms:modified xsi:type="dcterms:W3CDTF">2019-12-08T19:12:31Z</dcterms:modified>
</cp:coreProperties>
</file>