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06/30/2011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98"/>
        <w:spacing w:after="0"/>
        <w:rPr>
          <w:sz w:val="20"/>
          <w:szCs w:val="20"/>
          <w:color w:val="auto"/>
        </w:rPr>
      </w:pPr>
      <w:r>
        <w:rPr>
          <w:rFonts w:ascii="Arial" w:cs="Arial" w:eastAsia="Arial" w:hAnsi="Arial"/>
          <w:sz w:val="17"/>
          <w:szCs w:val="17"/>
          <w:color w:val="0000FF"/>
        </w:rPr>
        <w:t>Senior 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142"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1,386</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20,317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427</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19,890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4,329</w:t>
            </w:r>
            <w:r>
              <w:rPr>
                <w:rFonts w:ascii="Arial" w:cs="Arial" w:eastAsia="Arial" w:hAnsi="Arial"/>
                <w:sz w:val="22"/>
                <w:szCs w:val="22"/>
                <w:color w:val="008000"/>
                <w:w w:val="85"/>
                <w:vertAlign w:val="superscript"/>
              </w:rPr>
              <w:t>(5)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24,219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1,334</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30.39</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22,885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(6)</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06/30/2011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2"/>
              </w:rPr>
              <w:t>16,865</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39,750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00FF"/>
              </w:rPr>
              <w:t>1,386</w:t>
            </w:r>
            <w:r>
              <w:rPr>
                <w:rFonts w:ascii="Arial" w:cs="Arial" w:eastAsia="Arial" w:hAnsi="Arial"/>
                <w:sz w:val="22"/>
                <w:szCs w:val="22"/>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w w:val="92"/>
              </w:rPr>
              <w:t>1,386</w:t>
            </w:r>
            <w:r>
              <w:rPr>
                <w:rFonts w:ascii="Arial" w:cs="Arial" w:eastAsia="Arial" w:hAnsi="Arial"/>
                <w:sz w:val="22"/>
                <w:szCs w:val="22"/>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1,386</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ind w:left="380"/>
              <w:spacing w:after="0"/>
              <w:rPr>
                <w:sz w:val="20"/>
                <w:szCs w:val="20"/>
                <w:color w:val="auto"/>
              </w:rPr>
            </w:pPr>
            <w:r>
              <w:rPr>
                <w:rFonts w:ascii="Arial" w:cs="Arial" w:eastAsia="Arial" w:hAnsi="Arial"/>
                <w:sz w:val="13"/>
                <w:szCs w:val="13"/>
                <w:color w:val="0000FF"/>
              </w:rPr>
              <w:t>4,329</w:t>
            </w:r>
            <w:r>
              <w:rPr>
                <w:rFonts w:ascii="Arial" w:cs="Arial" w:eastAsia="Arial" w:hAnsi="Arial"/>
                <w:sz w:val="22"/>
                <w:szCs w:val="22"/>
                <w:color w:val="008000"/>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w w:val="92"/>
              </w:rPr>
              <w:t>4,329</w:t>
            </w:r>
            <w:r>
              <w:rPr>
                <w:rFonts w:ascii="Arial" w:cs="Arial" w:eastAsia="Arial" w:hAnsi="Arial"/>
                <w:sz w:val="22"/>
                <w:szCs w:val="22"/>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8,652</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06/30/2011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520" w:firstLine="6"/>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Common Stock reported in this item was issued upon the settlement of a portion of a grant of Salary Stock Units ("SSUs) deemed to have been issued, nunc pro tunc, on June 30, 2009 pursuant to the Company's Salary Stock Plan (the "GMSSP") and vested upon grant. The portion of this award currently payable was settled on June 30, 2011 in shares of Common Stock, less a portion withheld for taxes.</w:t>
      </w:r>
    </w:p>
    <w:p>
      <w:pPr>
        <w:ind w:left="40" w:right="20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2009 the employee received a grant of 1,386 SSUs, of which 462 SSUs were scheduled to be payable on June 30,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4,158 SSUs granted on June 30, 2009, of which 1,386 SSUs became payable on June 30,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$30.39.</w:t>
      </w:r>
    </w:p>
    <w:p>
      <w:pPr>
        <w:spacing w:after="0" w:line="25" w:lineRule="exact"/>
        <w:rPr>
          <w:rFonts w:ascii="Arial" w:cs="Arial" w:eastAsia="Arial" w:hAnsi="Arial"/>
          <w:sz w:val="13"/>
          <w:szCs w:val="13"/>
          <w:color w:val="008000"/>
        </w:rPr>
      </w:pPr>
    </w:p>
    <w:p>
      <w:pPr>
        <w:ind w:left="40" w:right="5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June 30, 2010 pursuant to the GMSSP and vested upon grant. The portion of this award currently payable was settled on June 30, 2011 in shares of Common Stock, less a portion withheld for taxes.</w:t>
      </w:r>
    </w:p>
    <w:p>
      <w:pPr>
        <w:spacing w:after="0" w:line="15" w:lineRule="exact"/>
        <w:rPr>
          <w:rFonts w:ascii="Arial" w:cs="Arial" w:eastAsia="Arial" w:hAnsi="Arial"/>
          <w:sz w:val="13"/>
          <w:szCs w:val="13"/>
          <w:color w:val="008000"/>
        </w:rPr>
      </w:pPr>
    </w:p>
    <w:p>
      <w:pPr>
        <w:ind w:left="40" w:right="36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30, 2010 the employee received a grant of 4,329 SSUs, of which 1,443 SSUs were scheduled to be payable on June 30, 2011. Pursuant to the terms of the GMSSP, each issued and outstanding SSUs was automatically converted upon the effectiveness of the Stock Split into three SSUs, so that the employee was credited with a total of 12,987 SSUs granted on June 30, 2010, of which 4,329 SSUs became payable on June 30, 2011.</w:t>
      </w:r>
    </w:p>
    <w:p>
      <w:pPr>
        <w:spacing w:after="0" w:line="25" w:lineRule="exact"/>
        <w:rPr>
          <w:rFonts w:ascii="Arial" w:cs="Arial" w:eastAsia="Arial" w:hAnsi="Arial"/>
          <w:sz w:val="13"/>
          <w:szCs w:val="13"/>
          <w:color w:val="008000"/>
        </w:rPr>
      </w:pPr>
    </w:p>
    <w:p>
      <w:pPr>
        <w:ind w:left="40" w:right="5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2011 pursuant to the GMSSP and were fully vested upon grant. The SSUs will be delivered in the form of shares of Common Stock in three equal, annual installments beginning on June 30,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07/05/2011</w:t>
            </w:r>
          </w:p>
        </w:tc>
        <w:tc>
          <w:tcPr>
            <w:tcW w:w="0" w:type="dxa"/>
            <w:vAlign w:val="bottom"/>
          </w:tcPr>
          <w:p>
            <w:pPr>
              <w:spacing w:after="0"/>
              <w:rPr>
                <w:sz w:val="1"/>
                <w:szCs w:val="1"/>
                <w:color w:val="auto"/>
              </w:rPr>
            </w:pPr>
          </w:p>
        </w:tc>
      </w:tr>
      <w:tr>
        <w:trPr>
          <w:trHeight w:val="91"/>
        </w:trPr>
        <w:tc>
          <w:tcPr>
            <w:tcW w:w="1240" w:type="dxa"/>
            <w:vAlign w:val="bottom"/>
            <w:vMerge w:val="restart"/>
          </w:tcPr>
          <w:p>
            <w:pPr>
              <w:spacing w:after="0" w:line="193" w:lineRule="exact"/>
              <w:rPr>
                <w:sz w:val="20"/>
                <w:szCs w:val="20"/>
                <w:color w:val="auto"/>
              </w:rPr>
            </w:pPr>
            <w:r>
              <w:rPr>
                <w:rFonts w:ascii="Arial" w:cs="Arial" w:eastAsia="Arial" w:hAnsi="Arial"/>
                <w:sz w:val="17"/>
                <w:szCs w:val="17"/>
                <w:color w:val="0000FF"/>
                <w:w w:val="93"/>
              </w:rPr>
              <w:t>fact for Ms. Barra</w:t>
            </w:r>
          </w:p>
        </w:tc>
        <w:tc>
          <w:tcPr>
            <w:tcW w:w="10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40" w:type="dxa"/>
            <w:vAlign w:val="bottom"/>
            <w:tcBorders>
              <w:bottom w:val="single" w:sz="8" w:color="auto"/>
            </w:tcBorders>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2019-12-17T01:16:46Z</dcterms:created>
  <dcterms:modified xsi:type="dcterms:W3CDTF">2019-12-17T01:16:46Z</dcterms:modified>
</cp:coreProperties>
</file>