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and Class of Securities)</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37045V100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Motors Liquidation Company GUC Trust</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 Wilmington Trust Company, as Trust administrator and trustee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Attn: David A. Vanaskey Jr., Vice President</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Rodney Square North</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1100 North Market Street</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Wilmington, Delaware 19890-1615</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(302) 636-6019</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i w:val="1"/>
          <w:iCs w:val="1"/>
          <w:color w:val="auto"/>
        </w:rPr>
        <w:t>with copies to:</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James J. Moloney</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David C. Lee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Gibson, Dunn &amp; Crutcher LLP</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3161 Michelson Drive, Suite 1200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Irvine, California 92612</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(949) 451-4343</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April 21, 2011</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Statement on 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260"/>
        <w:spacing w:after="0" w:line="268"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whom copies are to be sent.</w:t>
      </w:r>
    </w:p>
    <w:p>
      <w:pPr>
        <w:spacing w:after="0" w:line="172" w:lineRule="exact"/>
        <w:rPr>
          <w:sz w:val="24"/>
          <w:szCs w:val="24"/>
          <w:color w:val="auto"/>
        </w:rPr>
      </w:pPr>
    </w:p>
    <w:p>
      <w:pPr>
        <w:ind w:left="22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5040" w:type="dxa"/>
            <w:vAlign w:val="bottom"/>
            <w:gridSpan w:val="3"/>
          </w:tcPr>
          <w:p>
            <w:pPr>
              <w:spacing w:after="0"/>
              <w:rPr>
                <w:sz w:val="20"/>
                <w:szCs w:val="20"/>
                <w:color w:val="auto"/>
              </w:rPr>
            </w:pPr>
            <w:r>
              <w:rPr>
                <w:rFonts w:ascii="Arial" w:cs="Arial" w:eastAsia="Arial" w:hAnsi="Arial"/>
                <w:sz w:val="18"/>
                <w:szCs w:val="18"/>
                <w:color w:val="auto"/>
              </w:rPr>
              <w:t>CUSIP No. 37045V100</w:t>
            </w:r>
          </w:p>
        </w:tc>
        <w:tc>
          <w:tcPr>
            <w:tcW w:w="3180" w:type="dxa"/>
            <w:vAlign w:val="bottom"/>
          </w:tcPr>
          <w:p>
            <w:pPr>
              <w:ind w:left="240"/>
              <w:spacing w:after="0"/>
              <w:rPr>
                <w:sz w:val="20"/>
                <w:szCs w:val="20"/>
                <w:color w:val="auto"/>
              </w:rPr>
            </w:pPr>
            <w:r>
              <w:rPr>
                <w:rFonts w:ascii="Arial" w:cs="Arial" w:eastAsia="Arial" w:hAnsi="Arial"/>
                <w:sz w:val="18"/>
                <w:szCs w:val="18"/>
                <w:color w:val="auto"/>
              </w:rPr>
              <w:t>Schedule 13D</w:t>
            </w:r>
          </w:p>
        </w:tc>
        <w:tc>
          <w:tcPr>
            <w:tcW w:w="3200" w:type="dxa"/>
            <w:vAlign w:val="bottom"/>
          </w:tcPr>
          <w:p>
            <w:pPr>
              <w:ind w:left="1960"/>
              <w:spacing w:after="0"/>
              <w:rPr>
                <w:sz w:val="20"/>
                <w:szCs w:val="20"/>
                <w:color w:val="auto"/>
              </w:rPr>
            </w:pPr>
            <w:r>
              <w:rPr>
                <w:rFonts w:ascii="Arial" w:cs="Arial" w:eastAsia="Arial" w:hAnsi="Arial"/>
                <w:sz w:val="18"/>
                <w:szCs w:val="18"/>
                <w:color w:val="auto"/>
                <w:w w:val="82"/>
              </w:rPr>
              <w:t>Page 2 of 6 Pages</w:t>
            </w:r>
          </w:p>
        </w:tc>
      </w:tr>
      <w:tr>
        <w:trPr>
          <w:trHeight w:val="83"/>
        </w:trPr>
        <w:tc>
          <w:tcPr>
            <w:tcW w:w="580" w:type="dxa"/>
            <w:vAlign w:val="bottom"/>
            <w:gridSpan w:val="2"/>
          </w:tcPr>
          <w:p>
            <w:pPr>
              <w:spacing w:after="0"/>
              <w:rPr>
                <w:sz w:val="7"/>
                <w:szCs w:val="7"/>
                <w:color w:val="auto"/>
              </w:rPr>
            </w:pPr>
          </w:p>
        </w:tc>
        <w:tc>
          <w:tcPr>
            <w:tcW w:w="4460" w:type="dxa"/>
            <w:vAlign w:val="bottom"/>
          </w:tcPr>
          <w:p>
            <w:pPr>
              <w:spacing w:after="0"/>
              <w:rPr>
                <w:sz w:val="7"/>
                <w:szCs w:val="7"/>
                <w:color w:val="auto"/>
              </w:rPr>
            </w:pPr>
          </w:p>
        </w:tc>
        <w:tc>
          <w:tcPr>
            <w:tcW w:w="3180" w:type="dxa"/>
            <w:vAlign w:val="bottom"/>
          </w:tcPr>
          <w:p>
            <w:pPr>
              <w:spacing w:after="0"/>
              <w:rPr>
                <w:sz w:val="7"/>
                <w:szCs w:val="7"/>
                <w:color w:val="auto"/>
              </w:rPr>
            </w:pPr>
          </w:p>
        </w:tc>
        <w:tc>
          <w:tcPr>
            <w:tcW w:w="3200" w:type="dxa"/>
            <w:vAlign w:val="bottom"/>
          </w:tcPr>
          <w:p>
            <w:pPr>
              <w:spacing w:after="0"/>
              <w:rPr>
                <w:sz w:val="7"/>
                <w:szCs w:val="7"/>
                <w:color w:val="auto"/>
              </w:rPr>
            </w:pPr>
          </w:p>
        </w:tc>
      </w:tr>
      <w:tr>
        <w:trPr>
          <w:trHeight w:val="201"/>
        </w:trPr>
        <w:tc>
          <w:tcPr>
            <w:tcW w:w="20" w:type="dxa"/>
            <w:vAlign w:val="bottom"/>
          </w:tcPr>
          <w:p>
            <w:pPr>
              <w:spacing w:after="0"/>
              <w:rPr>
                <w:sz w:val="17"/>
                <w:szCs w:val="17"/>
                <w:color w:val="auto"/>
              </w:rPr>
            </w:pPr>
          </w:p>
        </w:tc>
        <w:tc>
          <w:tcPr>
            <w:tcW w:w="560" w:type="dxa"/>
            <w:vAlign w:val="bottom"/>
            <w:tcBorders>
              <w:top w:val="single" w:sz="8" w:color="auto"/>
            </w:tcBorders>
          </w:tcPr>
          <w:p>
            <w:pPr>
              <w:jc w:val="right"/>
              <w:ind w:right="72"/>
              <w:spacing w:after="0" w:line="201" w:lineRule="exact"/>
              <w:rPr>
                <w:sz w:val="20"/>
                <w:szCs w:val="20"/>
                <w:color w:val="auto"/>
              </w:rPr>
            </w:pPr>
            <w:r>
              <w:rPr>
                <w:rFonts w:ascii="Arial" w:cs="Arial" w:eastAsia="Arial" w:hAnsi="Arial"/>
                <w:sz w:val="18"/>
                <w:szCs w:val="18"/>
                <w:color w:val="auto"/>
              </w:rPr>
              <w:t>(1)</w:t>
            </w:r>
          </w:p>
        </w:tc>
        <w:tc>
          <w:tcPr>
            <w:tcW w:w="4460" w:type="dxa"/>
            <w:vAlign w:val="bottom"/>
            <w:tcBorders>
              <w:top w:val="single" w:sz="8" w:color="auto"/>
            </w:tcBorders>
          </w:tcPr>
          <w:p>
            <w:pPr>
              <w:ind w:left="160"/>
              <w:spacing w:after="0" w:line="201" w:lineRule="exact"/>
              <w:rPr>
                <w:sz w:val="20"/>
                <w:szCs w:val="20"/>
                <w:color w:val="auto"/>
              </w:rPr>
            </w:pPr>
            <w:r>
              <w:rPr>
                <w:rFonts w:ascii="Arial" w:cs="Arial" w:eastAsia="Arial" w:hAnsi="Arial"/>
                <w:sz w:val="18"/>
                <w:szCs w:val="18"/>
                <w:color w:val="auto"/>
              </w:rPr>
              <w:t>Name of Reporting Persons:</w:t>
            </w:r>
          </w:p>
        </w:tc>
        <w:tc>
          <w:tcPr>
            <w:tcW w:w="3180" w:type="dxa"/>
            <w:vAlign w:val="bottom"/>
            <w:tcBorders>
              <w:top w:val="single" w:sz="8" w:color="auto"/>
            </w:tcBorders>
          </w:tcPr>
          <w:p>
            <w:pPr>
              <w:spacing w:after="0"/>
              <w:rPr>
                <w:sz w:val="17"/>
                <w:szCs w:val="17"/>
                <w:color w:val="auto"/>
              </w:rPr>
            </w:pPr>
          </w:p>
        </w:tc>
        <w:tc>
          <w:tcPr>
            <w:tcW w:w="3200" w:type="dxa"/>
            <w:vAlign w:val="bottom"/>
            <w:tcBorders>
              <w:top w:val="single" w:sz="8" w:color="auto"/>
            </w:tcBorders>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w w:val="95"/>
              </w:rPr>
              <w:t>I.R.S. Identification No. of Above Persons (entities only):</w:t>
            </w:r>
          </w:p>
        </w:tc>
        <w:tc>
          <w:tcPr>
            <w:tcW w:w="3180" w:type="dxa"/>
            <w:vAlign w:val="bottom"/>
          </w:tcPr>
          <w:p>
            <w:pPr>
              <w:spacing w:after="0"/>
              <w:rPr>
                <w:sz w:val="19"/>
                <w:szCs w:val="19"/>
                <w:color w:val="auto"/>
              </w:rPr>
            </w:pPr>
          </w:p>
        </w:tc>
        <w:tc>
          <w:tcPr>
            <w:tcW w:w="3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-281305</wp:posOffset>
            </wp:positionV>
            <wp:extent cx="8890" cy="24098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24098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8890" cy="5754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75437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-281305</wp:posOffset>
            </wp:positionV>
            <wp:extent cx="8890" cy="5754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575437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78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Motors Liquidation Company GUC Trust</w:t>
            </w:r>
          </w:p>
        </w:tc>
        <w:tc>
          <w:tcPr>
            <w:tcW w:w="0" w:type="dxa"/>
            <w:vAlign w:val="bottom"/>
          </w:tcPr>
          <w:p>
            <w:pPr>
              <w:spacing w:after="0"/>
              <w:rPr>
                <w:sz w:val="1"/>
                <w:szCs w:val="1"/>
                <w:color w:val="auto"/>
              </w:rPr>
            </w:pPr>
          </w:p>
        </w:tc>
      </w:tr>
      <w:tr>
        <w:trPr>
          <w:trHeight w:val="170"/>
        </w:trPr>
        <w:tc>
          <w:tcPr>
            <w:tcW w:w="4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4"/>
                <w:szCs w:val="14"/>
                <w:color w:val="auto"/>
              </w:rPr>
            </w:pPr>
          </w:p>
        </w:tc>
        <w:tc>
          <w:tcPr>
            <w:tcW w:w="1078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96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180" w:type="dxa"/>
            <w:vAlign w:val="bottom"/>
            <w:gridSpan w:val="4"/>
          </w:tcPr>
          <w:p>
            <w:pPr>
              <w:ind w:left="100"/>
              <w:spacing w:after="0"/>
              <w:rPr>
                <w:sz w:val="20"/>
                <w:szCs w:val="20"/>
                <w:color w:val="auto"/>
              </w:rPr>
            </w:pPr>
            <w:r>
              <w:rPr>
                <w:rFonts w:ascii="Arial" w:cs="Arial" w:eastAsia="Arial" w:hAnsi="Arial"/>
                <w:sz w:val="18"/>
                <w:szCs w:val="18"/>
                <w:color w:val="auto"/>
                <w:w w:val="87"/>
              </w:rPr>
              <w:t>SEC Use Only:</w:t>
            </w:r>
          </w:p>
        </w:tc>
        <w:tc>
          <w:tcPr>
            <w:tcW w:w="9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spacing w:after="0"/>
              <w:rPr>
                <w:sz w:val="18"/>
                <w:szCs w:val="18"/>
                <w:color w:val="auto"/>
              </w:rPr>
            </w:pPr>
          </w:p>
        </w:tc>
        <w:tc>
          <w:tcPr>
            <w:tcW w:w="962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1"/>
        </w:trPr>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OO</w:t>
            </w: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3"/>
                <w:szCs w:val="23"/>
                <w:color w:val="auto"/>
              </w:rPr>
            </w:pPr>
          </w:p>
        </w:tc>
        <w:tc>
          <w:tcPr>
            <w:tcW w:w="1078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spacing w:after="0"/>
              <w:rPr>
                <w:sz w:val="13"/>
                <w:szCs w:val="13"/>
                <w:color w:val="auto"/>
              </w:rPr>
            </w:pPr>
          </w:p>
        </w:tc>
        <w:tc>
          <w:tcPr>
            <w:tcW w:w="962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w w:val="90"/>
              </w:rPr>
              <w:t>Delaware</w:t>
            </w:r>
          </w:p>
        </w:tc>
        <w:tc>
          <w:tcPr>
            <w:tcW w:w="9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96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0 (See Items 4 and 5)</w:t>
            </w:r>
          </w:p>
        </w:tc>
        <w:tc>
          <w:tcPr>
            <w:tcW w:w="0" w:type="dxa"/>
            <w:vAlign w:val="bottom"/>
          </w:tcPr>
          <w:p>
            <w:pPr>
              <w:spacing w:after="0"/>
              <w:rPr>
                <w:sz w:val="1"/>
                <w:szCs w:val="1"/>
                <w:color w:val="auto"/>
              </w:rPr>
            </w:pPr>
          </w:p>
        </w:tc>
      </w:tr>
      <w:tr>
        <w:trPr>
          <w:trHeight w:val="228"/>
        </w:trPr>
        <w:tc>
          <w:tcPr>
            <w:tcW w:w="136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1"/>
              </w:rPr>
              <w:t>SHARES</w:t>
            </w:r>
          </w:p>
        </w:tc>
        <w:tc>
          <w:tcPr>
            <w:tcW w:w="40" w:type="dxa"/>
            <w:vAlign w:val="bottom"/>
          </w:tcPr>
          <w:p>
            <w:pPr>
              <w:spacing w:after="0"/>
              <w:rPr>
                <w:sz w:val="19"/>
                <w:szCs w:val="19"/>
                <w:color w:val="auto"/>
              </w:rPr>
            </w:pP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960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600" w:type="dxa"/>
            <w:vAlign w:val="bottom"/>
            <w:vMerge w:val="restart"/>
          </w:tcPr>
          <w:p>
            <w:pPr>
              <w:ind w:left="280"/>
              <w:spacing w:after="0"/>
              <w:rPr>
                <w:sz w:val="20"/>
                <w:szCs w:val="20"/>
                <w:color w:val="auto"/>
              </w:rPr>
            </w:pPr>
            <w:r>
              <w:rPr>
                <w:rFonts w:ascii="Arial" w:cs="Arial" w:eastAsia="Arial" w:hAnsi="Arial"/>
                <w:sz w:val="22"/>
                <w:szCs w:val="22"/>
                <w:color w:val="auto"/>
              </w:rPr>
              <w:t>0 (See Items 4 and 5)</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900" w:type="dxa"/>
            <w:vAlign w:val="bottom"/>
            <w:tcBorders>
              <w:right w:val="single" w:sz="8" w:color="auto"/>
            </w:tcBorders>
            <w:gridSpan w:val="2"/>
          </w:tcPr>
          <w:p>
            <w:pPr>
              <w:jc w:val="center"/>
              <w:ind w:right="245"/>
              <w:spacing w:after="0" w:line="190" w:lineRule="exact"/>
              <w:rPr>
                <w:sz w:val="20"/>
                <w:szCs w:val="20"/>
                <w:color w:val="auto"/>
              </w:rPr>
            </w:pPr>
            <w:r>
              <w:rPr>
                <w:rFonts w:ascii="Arial" w:cs="Arial" w:eastAsia="Arial" w:hAnsi="Arial"/>
                <w:sz w:val="18"/>
                <w:szCs w:val="18"/>
                <w:color w:val="auto"/>
                <w:w w:val="95"/>
              </w:rPr>
              <w:t>EACH</w:t>
            </w:r>
          </w:p>
        </w:tc>
        <w:tc>
          <w:tcPr>
            <w:tcW w:w="40" w:type="dxa"/>
            <w:vAlign w:val="bottom"/>
          </w:tcPr>
          <w:p>
            <w:pPr>
              <w:spacing w:after="0"/>
              <w:rPr>
                <w:sz w:val="16"/>
                <w:szCs w:val="16"/>
                <w:color w:val="auto"/>
              </w:rPr>
            </w:pPr>
          </w:p>
        </w:tc>
        <w:tc>
          <w:tcPr>
            <w:tcW w:w="40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6"/>
                <w:szCs w:val="16"/>
                <w:color w:val="auto"/>
              </w:rPr>
            </w:pPr>
          </w:p>
        </w:tc>
        <w:tc>
          <w:tcPr>
            <w:tcW w:w="9600" w:type="dxa"/>
            <w:vAlign w:val="bottom"/>
          </w:tcPr>
          <w:p>
            <w:pPr>
              <w:ind w:left="6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600" w:type="dxa"/>
            <w:vAlign w:val="bottom"/>
            <w:vMerge w:val="restart"/>
          </w:tcPr>
          <w:p>
            <w:pPr>
              <w:ind w:left="280"/>
              <w:spacing w:after="0"/>
              <w:rPr>
                <w:sz w:val="20"/>
                <w:szCs w:val="20"/>
                <w:color w:val="auto"/>
              </w:rPr>
            </w:pPr>
            <w:r>
              <w:rPr>
                <w:rFonts w:ascii="Arial" w:cs="Arial" w:eastAsia="Arial" w:hAnsi="Arial"/>
                <w:sz w:val="22"/>
                <w:szCs w:val="22"/>
                <w:color w:val="auto"/>
              </w:rPr>
              <w:t>0 (See Items 4 and 5)</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PERSON</w:t>
            </w:r>
          </w:p>
        </w:tc>
        <w:tc>
          <w:tcPr>
            <w:tcW w:w="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460" w:type="dxa"/>
            <w:vAlign w:val="bottom"/>
          </w:tcPr>
          <w:p>
            <w:pPr>
              <w:spacing w:after="0"/>
              <w:rPr>
                <w:sz w:val="4"/>
                <w:szCs w:val="4"/>
                <w:color w:val="auto"/>
              </w:rPr>
            </w:pPr>
          </w:p>
        </w:tc>
        <w:tc>
          <w:tcPr>
            <w:tcW w:w="900" w:type="dxa"/>
            <w:vAlign w:val="bottom"/>
            <w:tcBorders>
              <w:right w:val="single" w:sz="8" w:color="auto"/>
            </w:tcBorders>
            <w:gridSpan w:val="2"/>
            <w:vMerge w:val="restart"/>
          </w:tcPr>
          <w:p>
            <w:pPr>
              <w:jc w:val="center"/>
              <w:ind w:right="245"/>
              <w:spacing w:after="0"/>
              <w:rPr>
                <w:sz w:val="20"/>
                <w:szCs w:val="20"/>
                <w:color w:val="auto"/>
              </w:rPr>
            </w:pPr>
            <w:r>
              <w:rPr>
                <w:rFonts w:ascii="Arial" w:cs="Arial" w:eastAsia="Arial" w:hAnsi="Arial"/>
                <w:sz w:val="18"/>
                <w:szCs w:val="18"/>
                <w:color w:val="auto"/>
              </w:rPr>
              <w:t>WITH:</w:t>
            </w: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0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20" w:type="dxa"/>
            <w:vAlign w:val="bottom"/>
          </w:tcPr>
          <w:p>
            <w:pPr>
              <w:spacing w:after="0"/>
              <w:rPr>
                <w:sz w:val="18"/>
                <w:szCs w:val="18"/>
                <w:color w:val="auto"/>
              </w:rPr>
            </w:pPr>
          </w:p>
        </w:tc>
        <w:tc>
          <w:tcPr>
            <w:tcW w:w="960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103,923,989 (See Items 4 and 5)</w:t>
            </w:r>
          </w:p>
        </w:tc>
        <w:tc>
          <w:tcPr>
            <w:tcW w:w="0" w:type="dxa"/>
            <w:vAlign w:val="bottom"/>
          </w:tcPr>
          <w:p>
            <w:pPr>
              <w:spacing w:after="0"/>
              <w:rPr>
                <w:sz w:val="1"/>
                <w:szCs w:val="1"/>
                <w:color w:val="auto"/>
              </w:rPr>
            </w:pPr>
          </w:p>
        </w:tc>
      </w:tr>
      <w:tr>
        <w:trPr>
          <w:trHeight w:val="218"/>
        </w:trPr>
        <w:tc>
          <w:tcPr>
            <w:tcW w:w="640" w:type="dxa"/>
            <w:vAlign w:val="bottom"/>
            <w:tcBorders>
              <w:right w:val="single" w:sz="8" w:color="auto"/>
            </w:tcBorders>
            <w:gridSpan w:val="2"/>
          </w:tcPr>
          <w:p>
            <w:pPr>
              <w:jc w:val="right"/>
              <w:ind w:right="132"/>
              <w:spacing w:after="0"/>
              <w:rPr>
                <w:sz w:val="20"/>
                <w:szCs w:val="20"/>
                <w:color w:val="auto"/>
              </w:rPr>
            </w:pPr>
            <w:r>
              <w:rPr>
                <w:rFonts w:ascii="Arial" w:cs="Arial" w:eastAsia="Arial" w:hAnsi="Arial"/>
                <w:sz w:val="18"/>
                <w:szCs w:val="18"/>
                <w:color w:val="auto"/>
              </w:rPr>
              <w:t>(11)</w:t>
            </w: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78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103,923,989</w:t>
            </w:r>
          </w:p>
        </w:tc>
        <w:tc>
          <w:tcPr>
            <w:tcW w:w="0" w:type="dxa"/>
            <w:vAlign w:val="bottom"/>
          </w:tcPr>
          <w:p>
            <w:pPr>
              <w:spacing w:after="0"/>
              <w:rPr>
                <w:sz w:val="1"/>
                <w:szCs w:val="1"/>
                <w:color w:val="auto"/>
              </w:rPr>
            </w:pP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right w:val="single" w:sz="8" w:color="auto"/>
            </w:tcBorders>
          </w:tcPr>
          <w:p>
            <w:pPr>
              <w:spacing w:after="0"/>
              <w:rPr>
                <w:sz w:val="23"/>
                <w:szCs w:val="23"/>
                <w:color w:val="auto"/>
              </w:rPr>
            </w:pPr>
          </w:p>
        </w:tc>
        <w:tc>
          <w:tcPr>
            <w:tcW w:w="1078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10780" w:type="dxa"/>
            <w:vAlign w:val="bottom"/>
            <w:tcBorders>
              <w:bottom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1"/>
        </w:trPr>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78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6.4% (See Item 5)</w:t>
            </w:r>
          </w:p>
        </w:tc>
        <w:tc>
          <w:tcPr>
            <w:tcW w:w="0" w:type="dxa"/>
            <w:vAlign w:val="bottom"/>
          </w:tcPr>
          <w:p>
            <w:pPr>
              <w:spacing w:after="0"/>
              <w:rPr>
                <w:sz w:val="1"/>
                <w:szCs w:val="1"/>
                <w:color w:val="auto"/>
              </w:rPr>
            </w:pPr>
          </w:p>
        </w:tc>
      </w:tr>
      <w:tr>
        <w:trPr>
          <w:trHeight w:val="218"/>
        </w:trPr>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OO</w:t>
            </w: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 w:name="page3"/>
    <w:bookmarkEnd w:id="2"/>
    <w:p>
      <w:pPr>
        <w:spacing w:after="0"/>
        <w:tabs>
          <w:tab w:leader="none" w:pos="5260" w:val="left"/>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37045V100</w:t>
      </w:r>
      <w:r>
        <w:rPr>
          <w:sz w:val="20"/>
          <w:szCs w:val="20"/>
          <w:color w:val="auto"/>
        </w:rPr>
        <w:tab/>
      </w: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3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5908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908675"/>
                    </a:xfrm>
                    <a:prstGeom prst="rect">
                      <a:avLst/>
                    </a:prstGeom>
                    <a:noFill/>
                  </pic:spPr>
                </pic:pic>
              </a:graphicData>
            </a:graphic>
          </wp:anchor>
        </w:drawing>
      </w:r>
    </w:p>
    <w:p>
      <w:pPr>
        <w:spacing w:after="0" w:line="84" w:lineRule="exact"/>
        <w:rPr>
          <w:sz w:val="20"/>
          <w:szCs w:val="20"/>
          <w:color w:val="auto"/>
        </w:rPr>
      </w:pPr>
    </w:p>
    <w:p>
      <w:pPr>
        <w:ind w:left="740" w:hanging="523"/>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192" w:lineRule="exact"/>
        <w:rPr>
          <w:sz w:val="20"/>
          <w:szCs w:val="20"/>
          <w:color w:val="auto"/>
        </w:rPr>
      </w:pPr>
    </w:p>
    <w:p>
      <w:pPr>
        <w:ind w:left="740" w:right="580"/>
        <w:spacing w:after="0" w:line="249" w:lineRule="auto"/>
        <w:rPr>
          <w:sz w:val="20"/>
          <w:szCs w:val="20"/>
          <w:color w:val="auto"/>
        </w:rPr>
      </w:pPr>
      <w:r>
        <w:rPr>
          <w:rFonts w:ascii="Arial" w:cs="Arial" w:eastAsia="Arial" w:hAnsi="Arial"/>
          <w:sz w:val="22"/>
          <w:szCs w:val="22"/>
          <w:color w:val="auto"/>
        </w:rPr>
        <w:t>Wilmington Trust Company, not in its individual capacity, but solely as Trust administrator and trustee of the Motors Liquidation Company GUC Trust.</w:t>
      </w:r>
    </w:p>
    <w:p>
      <w:pPr>
        <w:spacing w:after="0" w:line="1" w:lineRule="exact"/>
        <w:rPr>
          <w:sz w:val="20"/>
          <w:szCs w:val="20"/>
          <w:color w:val="auto"/>
        </w:rPr>
      </w:pPr>
    </w:p>
    <w:p>
      <w:pPr>
        <w:ind w:left="740" w:hanging="523"/>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sz w:val="20"/>
          <w:szCs w:val="20"/>
          <w:color w:val="auto"/>
        </w:rPr>
      </w:pPr>
    </w:p>
    <w:p>
      <w:pPr>
        <w:ind w:left="740"/>
        <w:spacing w:after="0" w:line="207" w:lineRule="exact"/>
        <w:tabs>
          <w:tab w:leader="none" w:pos="15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(b) </w:t>
      </w:r>
      <w:r>
        <w:rPr>
          <w:rFonts w:ascii="MS PGothic" w:cs="MS PGothic" w:eastAsia="MS PGothic" w:hAnsi="MS PGothic"/>
          <w:sz w:val="16"/>
          <w:szCs w:val="16"/>
          <w:color w:val="auto"/>
        </w:rPr>
        <w:t>☒</w:t>
      </w:r>
    </w:p>
    <w:p>
      <w:pPr>
        <w:spacing w:after="0" w:line="178" w:lineRule="exact"/>
        <w:rPr>
          <w:sz w:val="20"/>
          <w:szCs w:val="20"/>
          <w:color w:val="auto"/>
        </w:rPr>
      </w:pPr>
    </w:p>
    <w:p>
      <w:pPr>
        <w:ind w:left="740" w:hanging="523"/>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740" w:hanging="523"/>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99" w:lineRule="exact"/>
        <w:rPr>
          <w:sz w:val="20"/>
          <w:szCs w:val="20"/>
          <w:color w:val="auto"/>
        </w:rPr>
      </w:pPr>
    </w:p>
    <w:p>
      <w:pPr>
        <w:ind w:left="960"/>
        <w:spacing w:after="0"/>
        <w:rPr>
          <w:sz w:val="20"/>
          <w:szCs w:val="20"/>
          <w:color w:val="auto"/>
        </w:rPr>
      </w:pPr>
      <w:r>
        <w:rPr>
          <w:rFonts w:ascii="Arial" w:cs="Arial" w:eastAsia="Arial" w:hAnsi="Arial"/>
          <w:sz w:val="22"/>
          <w:szCs w:val="22"/>
          <w:color w:val="auto"/>
        </w:rPr>
        <w:t>OO</w:t>
      </w:r>
    </w:p>
    <w:p>
      <w:pPr>
        <w:spacing w:after="0" w:line="22" w:lineRule="exact"/>
        <w:rPr>
          <w:sz w:val="20"/>
          <w:szCs w:val="20"/>
          <w:color w:val="auto"/>
        </w:rPr>
      </w:pPr>
    </w:p>
    <w:p>
      <w:pPr>
        <w:ind w:left="740" w:hanging="523"/>
        <w:spacing w:after="0" w:line="207" w:lineRule="exact"/>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47" w:lineRule="exact"/>
        <w:rPr>
          <w:rFonts w:ascii="Arial" w:cs="Arial" w:eastAsia="Arial" w:hAnsi="Arial"/>
          <w:sz w:val="18"/>
          <w:szCs w:val="18"/>
          <w:color w:val="auto"/>
        </w:rPr>
      </w:pPr>
    </w:p>
    <w:p>
      <w:pPr>
        <w:ind w:left="740" w:hanging="523"/>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99" w:lineRule="exact"/>
        <w:rPr>
          <w:sz w:val="20"/>
          <w:szCs w:val="20"/>
          <w:color w:val="auto"/>
        </w:rPr>
      </w:pPr>
    </w:p>
    <w:p>
      <w:pPr>
        <w:ind w:left="960"/>
        <w:spacing w:after="0"/>
        <w:rPr>
          <w:sz w:val="20"/>
          <w:szCs w:val="20"/>
          <w:color w:val="auto"/>
        </w:rPr>
      </w:pPr>
      <w:r>
        <w:rPr>
          <w:rFonts w:ascii="Arial" w:cs="Arial" w:eastAsia="Arial" w:hAnsi="Arial"/>
          <w:sz w:val="22"/>
          <w:szCs w:val="22"/>
          <w:color w:val="auto"/>
        </w:rPr>
        <w:t>Delaware</w:t>
      </w:r>
    </w:p>
    <w:p>
      <w:pPr>
        <w:spacing w:after="0" w:line="30"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96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61"/>
        </w:trPr>
        <w:tc>
          <w:tcPr>
            <w:tcW w:w="1220" w:type="dxa"/>
            <w:vAlign w:val="bottom"/>
          </w:tcPr>
          <w:p>
            <w:pPr>
              <w:jc w:val="center"/>
              <w:spacing w:after="0"/>
              <w:rPr>
                <w:sz w:val="20"/>
                <w:szCs w:val="20"/>
                <w:color w:val="auto"/>
              </w:rPr>
            </w:pPr>
            <w:r>
              <w:rPr>
                <w:rFonts w:ascii="Arial" w:cs="Arial" w:eastAsia="Arial" w:hAnsi="Arial"/>
                <w:sz w:val="18"/>
                <w:szCs w:val="18"/>
                <w:color w:val="auto"/>
                <w:w w:val="94"/>
              </w:rPr>
              <w:t>NUMBER OF</w:t>
            </w: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 (See Items 4 and 5)</w:t>
            </w:r>
          </w:p>
        </w:tc>
        <w:tc>
          <w:tcPr>
            <w:tcW w:w="0" w:type="dxa"/>
            <w:vAlign w:val="bottom"/>
          </w:tcPr>
          <w:p>
            <w:pPr>
              <w:spacing w:after="0"/>
              <w:rPr>
                <w:sz w:val="1"/>
                <w:szCs w:val="1"/>
                <w:color w:val="auto"/>
              </w:rPr>
            </w:pPr>
          </w:p>
        </w:tc>
      </w:tr>
      <w:tr>
        <w:trPr>
          <w:trHeight w:val="228"/>
        </w:trPr>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962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620" w:type="dxa"/>
            <w:vAlign w:val="bottom"/>
            <w:vMerge w:val="restart"/>
          </w:tcPr>
          <w:p>
            <w:pPr>
              <w:ind w:left="300"/>
              <w:spacing w:after="0"/>
              <w:rPr>
                <w:sz w:val="20"/>
                <w:szCs w:val="20"/>
                <w:color w:val="auto"/>
              </w:rPr>
            </w:pPr>
            <w:r>
              <w:rPr>
                <w:rFonts w:ascii="Arial" w:cs="Arial" w:eastAsia="Arial" w:hAnsi="Arial"/>
                <w:sz w:val="22"/>
                <w:szCs w:val="22"/>
                <w:color w:val="auto"/>
              </w:rPr>
              <w:t>0 (See Items 4 and 5)</w:t>
            </w:r>
          </w:p>
        </w:tc>
        <w:tc>
          <w:tcPr>
            <w:tcW w:w="0" w:type="dxa"/>
            <w:vAlign w:val="bottom"/>
          </w:tcPr>
          <w:p>
            <w:pPr>
              <w:spacing w:after="0"/>
              <w:rPr>
                <w:sz w:val="1"/>
                <w:szCs w:val="1"/>
                <w:color w:val="auto"/>
              </w:rPr>
            </w:pPr>
          </w:p>
        </w:tc>
      </w:tr>
      <w:tr>
        <w:trPr>
          <w:trHeight w:val="222"/>
        </w:trPr>
        <w:tc>
          <w:tcPr>
            <w:tcW w:w="128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OWNED BY</w:t>
            </w:r>
          </w:p>
        </w:tc>
        <w:tc>
          <w:tcPr>
            <w:tcW w:w="400" w:type="dxa"/>
            <w:vAlign w:val="bottom"/>
          </w:tcPr>
          <w:p>
            <w:pPr>
              <w:spacing w:after="0"/>
              <w:rPr>
                <w:sz w:val="19"/>
                <w:szCs w:val="19"/>
                <w:color w:val="auto"/>
              </w:rPr>
            </w:pPr>
          </w:p>
        </w:tc>
        <w:tc>
          <w:tcPr>
            <w:tcW w:w="9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20" w:type="dxa"/>
            <w:vAlign w:val="bottom"/>
          </w:tcPr>
          <w:p>
            <w:pPr>
              <w:jc w:val="center"/>
              <w:spacing w:after="0" w:line="190"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9620" w:type="dxa"/>
            <w:vAlign w:val="bottom"/>
            <w:tcBorders>
              <w:top w:val="single" w:sz="8" w:color="auto"/>
            </w:tcBorders>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REPORTING</w:t>
            </w:r>
          </w:p>
        </w:tc>
        <w:tc>
          <w:tcPr>
            <w:tcW w:w="400" w:type="dxa"/>
            <w:vAlign w:val="bottom"/>
          </w:tcPr>
          <w:p>
            <w:pPr>
              <w:spacing w:after="0"/>
              <w:rPr>
                <w:sz w:val="18"/>
                <w:szCs w:val="18"/>
                <w:color w:val="auto"/>
              </w:rPr>
            </w:pPr>
          </w:p>
        </w:tc>
        <w:tc>
          <w:tcPr>
            <w:tcW w:w="9620" w:type="dxa"/>
            <w:vAlign w:val="bottom"/>
            <w:vMerge w:val="restart"/>
          </w:tcPr>
          <w:p>
            <w:pPr>
              <w:ind w:left="300"/>
              <w:spacing w:after="0"/>
              <w:rPr>
                <w:sz w:val="20"/>
                <w:szCs w:val="20"/>
                <w:color w:val="auto"/>
              </w:rPr>
            </w:pPr>
            <w:r>
              <w:rPr>
                <w:rFonts w:ascii="Arial" w:cs="Arial" w:eastAsia="Arial" w:hAnsi="Arial"/>
                <w:sz w:val="22"/>
                <w:szCs w:val="22"/>
                <w:color w:val="auto"/>
              </w:rPr>
              <w:t>0 (See Items 4 and 5)</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PERSON</w:t>
            </w:r>
          </w:p>
        </w:tc>
        <w:tc>
          <w:tcPr>
            <w:tcW w:w="400" w:type="dxa"/>
            <w:vAlign w:val="bottom"/>
          </w:tcPr>
          <w:p>
            <w:pPr>
              <w:spacing w:after="0"/>
              <w:rPr>
                <w:sz w:val="18"/>
                <w:szCs w:val="18"/>
                <w:color w:val="auto"/>
              </w:rPr>
            </w:pPr>
          </w:p>
        </w:tc>
        <w:tc>
          <w:tcPr>
            <w:tcW w:w="9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22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96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103,923,989 (See Items 4 and 5)</w:t>
      </w:r>
    </w:p>
    <w:p>
      <w:pPr>
        <w:spacing w:after="0" w:line="30" w:lineRule="exact"/>
        <w:rPr>
          <w:sz w:val="20"/>
          <w:szCs w:val="20"/>
          <w:color w:val="auto"/>
        </w:rPr>
      </w:pPr>
    </w:p>
    <w:p>
      <w:pPr>
        <w:ind w:left="740" w:hanging="610"/>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99" w:lineRule="exact"/>
        <w:rPr>
          <w:sz w:val="20"/>
          <w:szCs w:val="20"/>
          <w:color w:val="auto"/>
        </w:rPr>
      </w:pPr>
    </w:p>
    <w:p>
      <w:pPr>
        <w:ind w:left="960"/>
        <w:spacing w:after="0"/>
        <w:rPr>
          <w:sz w:val="20"/>
          <w:szCs w:val="20"/>
          <w:color w:val="auto"/>
        </w:rPr>
      </w:pPr>
      <w:r>
        <w:rPr>
          <w:rFonts w:ascii="Arial" w:cs="Arial" w:eastAsia="Arial" w:hAnsi="Arial"/>
          <w:sz w:val="22"/>
          <w:szCs w:val="22"/>
          <w:color w:val="auto"/>
        </w:rPr>
        <w:t>103,923,989</w:t>
      </w:r>
    </w:p>
    <w:p>
      <w:pPr>
        <w:spacing w:after="0" w:line="22" w:lineRule="exact"/>
        <w:rPr>
          <w:sz w:val="20"/>
          <w:szCs w:val="20"/>
          <w:color w:val="auto"/>
        </w:rPr>
      </w:pPr>
    </w:p>
    <w:p>
      <w:pPr>
        <w:ind w:left="740" w:hanging="610"/>
        <w:spacing w:after="0" w:line="207" w:lineRule="exact"/>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47" w:lineRule="exact"/>
        <w:rPr>
          <w:rFonts w:ascii="Arial" w:cs="Arial" w:eastAsia="Arial" w:hAnsi="Arial"/>
          <w:sz w:val="18"/>
          <w:szCs w:val="18"/>
          <w:color w:val="auto"/>
        </w:rPr>
      </w:pPr>
    </w:p>
    <w:p>
      <w:pPr>
        <w:ind w:left="740" w:hanging="610"/>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99" w:lineRule="exact"/>
        <w:rPr>
          <w:sz w:val="20"/>
          <w:szCs w:val="20"/>
          <w:color w:val="auto"/>
        </w:rPr>
      </w:pPr>
    </w:p>
    <w:p>
      <w:pPr>
        <w:ind w:left="960"/>
        <w:spacing w:after="0"/>
        <w:rPr>
          <w:sz w:val="20"/>
          <w:szCs w:val="20"/>
          <w:color w:val="auto"/>
        </w:rPr>
      </w:pPr>
      <w:r>
        <w:rPr>
          <w:rFonts w:ascii="Arial" w:cs="Arial" w:eastAsia="Arial" w:hAnsi="Arial"/>
          <w:sz w:val="22"/>
          <w:szCs w:val="22"/>
          <w:color w:val="auto"/>
        </w:rPr>
        <w:t>6.4% (See Item 5)</w:t>
      </w:r>
    </w:p>
    <w:p>
      <w:pPr>
        <w:spacing w:after="0" w:line="30" w:lineRule="exact"/>
        <w:rPr>
          <w:sz w:val="20"/>
          <w:szCs w:val="20"/>
          <w:color w:val="auto"/>
        </w:rPr>
      </w:pPr>
    </w:p>
    <w:p>
      <w:pPr>
        <w:ind w:left="740" w:hanging="610"/>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99" w:lineRule="exact"/>
        <w:rPr>
          <w:sz w:val="20"/>
          <w:szCs w:val="20"/>
          <w:color w:val="auto"/>
        </w:rPr>
      </w:pPr>
    </w:p>
    <w:p>
      <w:pPr>
        <w:ind w:left="960"/>
        <w:spacing w:after="0"/>
        <w:rPr>
          <w:sz w:val="20"/>
          <w:szCs w:val="20"/>
          <w:color w:val="auto"/>
        </w:rPr>
      </w:pPr>
      <w:r>
        <w:rPr>
          <w:rFonts w:ascii="Arial" w:cs="Arial" w:eastAsia="Arial" w:hAnsi="Arial"/>
          <w:sz w:val="22"/>
          <w:szCs w:val="22"/>
          <w:color w:val="auto"/>
        </w:rPr>
        <w:t>BK/HC</w:t>
      </w:r>
    </w:p>
    <w:p>
      <w:pPr>
        <w:sectPr>
          <w:pgSz w:w="11900" w:h="16838" w:orient="portrait"/>
          <w:cols w:equalWidth="0" w:num="1">
            <w:col w:w="11420"/>
          </w:cols>
          <w:pgMar w:left="240" w:top="280" w:right="239" w:bottom="1440" w:gutter="0" w:footer="0" w:header="0"/>
        </w:sectPr>
      </w:pPr>
    </w:p>
    <w:bookmarkStart w:id="3" w:name="page4"/>
    <w:bookmarkEnd w:id="3"/>
    <w:p>
      <w:pPr>
        <w:spacing w:after="0"/>
        <w:tabs>
          <w:tab w:leader="none" w:pos="5440" w:val="left"/>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37045V100</w:t>
      </w:r>
      <w:r>
        <w:rPr>
          <w:sz w:val="20"/>
          <w:szCs w:val="20"/>
          <w:color w:val="auto"/>
        </w:rPr>
        <w:tab/>
      </w: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4 of 6 Pages</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This Amendment No. 1 (this “Amendment”) amends and supplements the Schedule 13D filed with the Securities and Exchange Commission (the “SEC”) on April 12, 2011 (the “Schedule 13D”). Except as set forth in this Amendment, the Schedule 13D remains unchanged. Capitalized terms used herein which are not defined herein have the meanings given to them in the Schedule 13D.</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is hereby amended and supplemented by adding the following after the last paragraph thereof:</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April 21, 2011, pursuant to the Plan and the GUC Trust Agreement, the Trust directed MLC to make an initial distribution (the “Initial Distribution”) of</w:t>
      </w:r>
    </w:p>
    <w:p>
      <w:pPr>
        <w:spacing w:after="0" w:line="38"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113,123,717 shares of Common Stock; (ii) Warrants to purchase 102,839,782 shares of Common Stock at an exercise price of $10.00 per share; and</w:t>
      </w:r>
    </w:p>
    <w:p>
      <w:pPr>
        <w:spacing w:after="0" w:line="32" w:lineRule="exact"/>
        <w:rPr>
          <w:rFonts w:ascii="Arial" w:cs="Arial" w:eastAsia="Arial" w:hAnsi="Arial"/>
          <w:sz w:val="16"/>
          <w:szCs w:val="16"/>
          <w:color w:val="auto"/>
        </w:rPr>
      </w:pPr>
    </w:p>
    <w:p>
      <w:pPr>
        <w:ind w:right="140" w:firstLine="8"/>
        <w:spacing w:after="0" w:line="254" w:lineRule="auto"/>
        <w:tabs>
          <w:tab w:leader="none" w:pos="3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Warrants to purchase 102,839,782 shares of Common Stock at an exercise price of $18.33 per share to holders of Allowed General Unsecured Claims. Holders of Allowed General Unsecured claims will retain the contingent right to receive, on a pro rata basis, additional shares and warrants if and to the extent that such shares and warrants are not required for the payment of administrative costs of the Trust or the satisfaction of disputed general unsecured claims which are subsequently allowed.</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is hereby amended and restated in its entirety as follows:</w:t>
      </w:r>
    </w:p>
    <w:p>
      <w:pPr>
        <w:spacing w:after="0" w:line="96" w:lineRule="exact"/>
        <w:rPr>
          <w:sz w:val="20"/>
          <w:szCs w:val="20"/>
          <w:color w:val="auto"/>
        </w:rPr>
      </w:pPr>
    </w:p>
    <w:p>
      <w:pPr>
        <w:ind w:left="460" w:right="520" w:hanging="452"/>
        <w:spacing w:after="0" w:line="286"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Trust and the Trust Administrator may be deemed the beneficial owners of 103,923,989 shares of the New GM Securities within the meaning of Section 13(d) of the Securities Exchange Act of 1934. This is based on the Trust’s and Trust Administrator’s power to direct the disposition of</w:t>
      </w:r>
    </w:p>
    <w:p>
      <w:pPr>
        <w:ind w:left="660" w:hanging="206"/>
        <w:spacing w:after="0"/>
        <w:tabs>
          <w:tab w:leader="none" w:pos="6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36,876,283 shares of Common Stock; (ii) Warrants to purchase 33,523,853 shares of Common Stock at an exercise price of $10.00 per share; and</w:t>
      </w:r>
    </w:p>
    <w:p>
      <w:pPr>
        <w:spacing w:after="0" w:line="32" w:lineRule="exact"/>
        <w:rPr>
          <w:rFonts w:ascii="Arial" w:cs="Arial" w:eastAsia="Arial" w:hAnsi="Arial"/>
          <w:sz w:val="16"/>
          <w:szCs w:val="16"/>
          <w:color w:val="auto"/>
        </w:rPr>
      </w:pPr>
    </w:p>
    <w:p>
      <w:pPr>
        <w:ind w:left="460" w:right="20" w:hanging="6"/>
        <w:spacing w:after="0" w:line="292" w:lineRule="auto"/>
        <w:tabs>
          <w:tab w:leader="none" w:pos="764" w:val="left"/>
        </w:tabs>
        <w:numPr>
          <w:ilvl w:val="1"/>
          <w:numId w:val="12"/>
        </w:numPr>
        <w:rPr>
          <w:rFonts w:ascii="Arial" w:cs="Arial" w:eastAsia="Arial" w:hAnsi="Arial"/>
          <w:sz w:val="16"/>
          <w:szCs w:val="16"/>
          <w:color w:val="auto"/>
        </w:rPr>
      </w:pPr>
      <w:r>
        <w:rPr>
          <w:rFonts w:ascii="Arial" w:cs="Arial" w:eastAsia="Arial" w:hAnsi="Arial"/>
          <w:sz w:val="16"/>
          <w:szCs w:val="16"/>
          <w:color w:val="auto"/>
        </w:rPr>
        <w:t>Warrants to purchase 33,523,853 shares of Common Stock at an exercise price of $18.33 per share. On April 21, 2011, the Trust distributed 113,123,717 shares of Common Stock to holders of Allowed General Unsecured Claims. Based on a total of 1,627,790,765 shares of Common Stock (which is the sum of the 1,560,743,059 shares of Common Stock outstanding as of February 15, 2011 as reported in New GM’s Annual Report on Form 10-K filed with the SEC on March 1, 2011 and 67,047,706 shares of Common Stock that would be required to be issued pursuant to the exercise of the Warrants), the Trust and the Trust Administrator may be deemed the beneficial owners of 6.4% of the outstanding shares of Common Stock.</w:t>
      </w:r>
    </w:p>
    <w:p>
      <w:pPr>
        <w:spacing w:after="0" w:line="35" w:lineRule="exact"/>
        <w:rPr>
          <w:rFonts w:ascii="Arial" w:cs="Arial" w:eastAsia="Arial" w:hAnsi="Arial"/>
          <w:sz w:val="16"/>
          <w:szCs w:val="16"/>
          <w:color w:val="auto"/>
        </w:rPr>
      </w:pPr>
    </w:p>
    <w:p>
      <w:pPr>
        <w:ind w:left="460" w:hanging="452"/>
        <w:spacing w:after="0" w:line="29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Until the dissolution of the Debtors, the Trust is obligated to distribute all New GM Securities received from MLC within thirty (30) days of receipt thereof, and the Trust therefore intends to only request the amount of New GM Securities necessary to make immediately forthcoming distributions pursuant to the Plan and the GUC Trust Agreement. The Trust, through the Trust Administrator, has the power, subject to the Plan and the GUC Trust Agreement, to direct the disposition of the New GM Securities held by MLC on behalf of the Trust. Neither the Trust nor the Trust Administrator has sole or shared power to vote or direct the voting of the New GM Securities because the Trust is required by the terms of the GUC Trust Agreement to vote the New GM Securities in the same manner and proportion as all other relevant securities of the same class(es) are voted.</w:t>
      </w:r>
    </w:p>
    <w:p>
      <w:pPr>
        <w:sectPr>
          <w:pgSz w:w="11900" w:h="16838" w:orient="portrait"/>
          <w:cols w:equalWidth="0" w:num="1">
            <w:col w:w="11420"/>
          </w:cols>
          <w:pgMar w:left="240" w:top="28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2"/>
        </w:trPr>
        <w:tc>
          <w:tcPr>
            <w:tcW w:w="5120" w:type="dxa"/>
            <w:vAlign w:val="bottom"/>
            <w:gridSpan w:val="3"/>
          </w:tcPr>
          <w:p>
            <w:pPr>
              <w:spacing w:after="0"/>
              <w:rPr>
                <w:sz w:val="20"/>
                <w:szCs w:val="20"/>
                <w:color w:val="auto"/>
              </w:rPr>
            </w:pPr>
            <w:r>
              <w:rPr>
                <w:rFonts w:ascii="Arial" w:cs="Arial" w:eastAsia="Arial" w:hAnsi="Arial"/>
                <w:sz w:val="18"/>
                <w:szCs w:val="18"/>
                <w:color w:val="auto"/>
              </w:rPr>
              <w:t>CUSIP No. 37045V100</w:t>
            </w:r>
          </w:p>
        </w:tc>
        <w:tc>
          <w:tcPr>
            <w:tcW w:w="2200" w:type="dxa"/>
            <w:vAlign w:val="bottom"/>
            <w:gridSpan w:val="3"/>
          </w:tcPr>
          <w:p>
            <w:pPr>
              <w:jc w:val="right"/>
              <w:ind w:right="787"/>
              <w:spacing w:after="0"/>
              <w:rPr>
                <w:sz w:val="20"/>
                <w:szCs w:val="20"/>
                <w:color w:val="auto"/>
              </w:rPr>
            </w:pPr>
            <w:r>
              <w:rPr>
                <w:rFonts w:ascii="Arial" w:cs="Arial" w:eastAsia="Arial" w:hAnsi="Arial"/>
                <w:sz w:val="18"/>
                <w:szCs w:val="18"/>
                <w:color w:val="auto"/>
              </w:rPr>
              <w:t>Schedule 13D</w:t>
            </w: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w w:val="91"/>
              </w:rPr>
              <w:t>Page 5 of 6 Pages</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color w:val="auto"/>
                <w:w w:val="88"/>
              </w:rPr>
              <w:t>Number of</w:t>
            </w: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Number of</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6"/>
              </w:rPr>
              <w:t>Aggregate</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6"/>
              </w:rPr>
              <w:t>Shares With</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6"/>
              </w:rPr>
              <w:t>Shares With</w:t>
            </w:r>
          </w:p>
        </w:tc>
        <w:tc>
          <w:tcPr>
            <w:tcW w:w="50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8"/>
              </w:rPr>
              <w:t>Number of</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1"/>
              </w:rPr>
              <w:t>Number of</w:t>
            </w:r>
          </w:p>
        </w:tc>
        <w:tc>
          <w:tcPr>
            <w:tcW w:w="5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8"/>
              </w:rPr>
              <w:t>Sole Voting or</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79"/>
              </w:rPr>
              <w:t>Shared</w:t>
            </w:r>
          </w:p>
        </w:tc>
        <w:tc>
          <w:tcPr>
            <w:tcW w:w="50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6"/>
              </w:rPr>
              <w:t>Shares With</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1"/>
              </w:rPr>
              <w:t>Shares</w:t>
            </w:r>
          </w:p>
        </w:tc>
        <w:tc>
          <w:tcPr>
            <w:tcW w:w="5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6"/>
              </w:rPr>
              <w:t>of Class</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280" w:type="dxa"/>
            <w:vAlign w:val="bottom"/>
            <w:gridSpan w:val="2"/>
          </w:tcPr>
          <w:p>
            <w:pPr>
              <w:jc w:val="center"/>
              <w:ind w:right="500"/>
              <w:spacing w:after="0" w:line="133" w:lineRule="exact"/>
              <w:rPr>
                <w:sz w:val="20"/>
                <w:szCs w:val="20"/>
                <w:color w:val="auto"/>
              </w:rPr>
            </w:pPr>
            <w:r>
              <w:rPr>
                <w:rFonts w:ascii="Arial" w:cs="Arial" w:eastAsia="Arial" w:hAnsi="Arial"/>
                <w:sz w:val="14"/>
                <w:szCs w:val="14"/>
                <w:color w:val="auto"/>
                <w:w w:val="91"/>
              </w:rPr>
              <w:t>Dispositive</w:t>
            </w:r>
          </w:p>
        </w:tc>
        <w:tc>
          <w:tcPr>
            <w:tcW w:w="920" w:type="dxa"/>
            <w:vAlign w:val="bottom"/>
          </w:tcPr>
          <w:p>
            <w:pPr>
              <w:jc w:val="center"/>
              <w:spacing w:after="0" w:line="133" w:lineRule="exact"/>
              <w:rPr>
                <w:sz w:val="20"/>
                <w:szCs w:val="20"/>
                <w:color w:val="auto"/>
              </w:rPr>
            </w:pPr>
            <w:r>
              <w:rPr>
                <w:rFonts w:ascii="Arial" w:cs="Arial" w:eastAsia="Arial" w:hAnsi="Arial"/>
                <w:sz w:val="14"/>
                <w:szCs w:val="14"/>
                <w:color w:val="auto"/>
                <w:w w:val="88"/>
              </w:rPr>
              <w:t>Dispositive</w:t>
            </w:r>
          </w:p>
        </w:tc>
        <w:tc>
          <w:tcPr>
            <w:tcW w:w="500" w:type="dxa"/>
            <w:vAlign w:val="bottom"/>
          </w:tcPr>
          <w:p>
            <w:pPr>
              <w:spacing w:after="0"/>
              <w:rPr>
                <w:sz w:val="11"/>
                <w:szCs w:val="11"/>
                <w:color w:val="auto"/>
              </w:rPr>
            </w:pPr>
          </w:p>
        </w:tc>
        <w:tc>
          <w:tcPr>
            <w:tcW w:w="1300" w:type="dxa"/>
            <w:vAlign w:val="bottom"/>
            <w:gridSpan w:val="2"/>
          </w:tcPr>
          <w:p>
            <w:pPr>
              <w:jc w:val="center"/>
              <w:ind w:right="500"/>
              <w:spacing w:after="0" w:line="133" w:lineRule="exact"/>
              <w:rPr>
                <w:sz w:val="20"/>
                <w:szCs w:val="20"/>
                <w:color w:val="auto"/>
              </w:rPr>
            </w:pPr>
            <w:r>
              <w:rPr>
                <w:rFonts w:ascii="Arial" w:cs="Arial" w:eastAsia="Arial" w:hAnsi="Arial"/>
                <w:sz w:val="14"/>
                <w:szCs w:val="14"/>
                <w:color w:val="auto"/>
                <w:w w:val="85"/>
              </w:rPr>
              <w:t>Shared Voting</w:t>
            </w:r>
          </w:p>
        </w:tc>
        <w:tc>
          <w:tcPr>
            <w:tcW w:w="920" w:type="dxa"/>
            <w:vAlign w:val="bottom"/>
          </w:tcPr>
          <w:p>
            <w:pPr>
              <w:jc w:val="center"/>
              <w:spacing w:after="0" w:line="133" w:lineRule="exact"/>
              <w:rPr>
                <w:sz w:val="20"/>
                <w:szCs w:val="20"/>
                <w:color w:val="auto"/>
              </w:rPr>
            </w:pPr>
            <w:r>
              <w:rPr>
                <w:rFonts w:ascii="Arial" w:cs="Arial" w:eastAsia="Arial" w:hAnsi="Arial"/>
                <w:sz w:val="14"/>
                <w:szCs w:val="14"/>
                <w:color w:val="auto"/>
                <w:w w:val="93"/>
              </w:rPr>
              <w:t>Beneficially</w:t>
            </w:r>
          </w:p>
        </w:tc>
        <w:tc>
          <w:tcPr>
            <w:tcW w:w="520" w:type="dxa"/>
            <w:vAlign w:val="bottom"/>
          </w:tcPr>
          <w:p>
            <w:pPr>
              <w:spacing w:after="0"/>
              <w:rPr>
                <w:sz w:val="11"/>
                <w:szCs w:val="11"/>
                <w:color w:val="auto"/>
              </w:rPr>
            </w:pPr>
          </w:p>
        </w:tc>
        <w:tc>
          <w:tcPr>
            <w:tcW w:w="860" w:type="dxa"/>
            <w:vAlign w:val="bottom"/>
            <w:gridSpan w:val="2"/>
          </w:tcPr>
          <w:p>
            <w:pPr>
              <w:jc w:val="center"/>
              <w:ind w:right="200"/>
              <w:spacing w:after="0" w:line="133" w:lineRule="exact"/>
              <w:rPr>
                <w:sz w:val="20"/>
                <w:szCs w:val="20"/>
                <w:color w:val="auto"/>
              </w:rPr>
            </w:pPr>
            <w:r>
              <w:rPr>
                <w:rFonts w:ascii="Arial" w:cs="Arial" w:eastAsia="Arial" w:hAnsi="Arial"/>
                <w:sz w:val="14"/>
                <w:szCs w:val="14"/>
                <w:color w:val="auto"/>
                <w:w w:val="93"/>
              </w:rPr>
              <w:t>Beneficially</w:t>
            </w:r>
          </w:p>
        </w:tc>
        <w:tc>
          <w:tcPr>
            <w:tcW w:w="0" w:type="dxa"/>
            <w:vAlign w:val="bottom"/>
          </w:tcPr>
          <w:p>
            <w:pPr>
              <w:spacing w:after="0"/>
              <w:rPr>
                <w:sz w:val="1"/>
                <w:szCs w:val="1"/>
                <w:color w:val="auto"/>
              </w:rPr>
            </w:pPr>
          </w:p>
        </w:tc>
      </w:tr>
      <w:tr>
        <w:trPr>
          <w:trHeight w:val="176"/>
        </w:trPr>
        <w:tc>
          <w:tcPr>
            <w:tcW w:w="5120" w:type="dxa"/>
            <w:vAlign w:val="bottom"/>
            <w:gridSpan w:val="3"/>
          </w:tcPr>
          <w:p>
            <w:pPr>
              <w:spacing w:after="0"/>
              <w:rPr>
                <w:sz w:val="20"/>
                <w:szCs w:val="20"/>
                <w:color w:val="auto"/>
              </w:rPr>
            </w:pPr>
            <w:r>
              <w:rPr>
                <w:rFonts w:ascii="Arial" w:cs="Arial" w:eastAsia="Arial" w:hAnsi="Arial"/>
                <w:sz w:val="14"/>
                <w:szCs w:val="14"/>
                <w:color w:val="auto"/>
              </w:rPr>
              <w:t>Reporting Person</w:t>
            </w: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color w:val="auto"/>
                <w:w w:val="85"/>
              </w:rPr>
              <w:t>Power</w:t>
            </w: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Power</w:t>
            </w:r>
          </w:p>
        </w:tc>
        <w:tc>
          <w:tcPr>
            <w:tcW w:w="500" w:type="dxa"/>
            <w:vAlign w:val="bottom"/>
          </w:tcPr>
          <w:p>
            <w:pPr>
              <w:spacing w:after="0"/>
              <w:rPr>
                <w:sz w:val="15"/>
                <w:szCs w:val="15"/>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color w:val="auto"/>
                <w:w w:val="85"/>
              </w:rPr>
              <w:t>Power</w:t>
            </w:r>
          </w:p>
        </w:tc>
        <w:tc>
          <w:tcPr>
            <w:tcW w:w="920" w:type="dxa"/>
            <w:vAlign w:val="bottom"/>
          </w:tcPr>
          <w:p>
            <w:pPr>
              <w:jc w:val="center"/>
              <w:spacing w:after="0" w:line="176" w:lineRule="exact"/>
              <w:rPr>
                <w:sz w:val="20"/>
                <w:szCs w:val="20"/>
                <w:color w:val="auto"/>
              </w:rPr>
            </w:pPr>
            <w:r>
              <w:rPr>
                <w:rFonts w:ascii="Arial" w:cs="Arial" w:eastAsia="Arial" w:hAnsi="Arial"/>
                <w:sz w:val="13"/>
                <w:szCs w:val="13"/>
                <w:color w:val="auto"/>
                <w:w w:val="90"/>
              </w:rPr>
              <w:t>Owned</w:t>
            </w:r>
            <w:r>
              <w:rPr>
                <w:rFonts w:ascii="Arial" w:cs="Arial" w:eastAsia="Arial" w:hAnsi="Arial"/>
                <w:sz w:val="20"/>
                <w:szCs w:val="20"/>
                <w:color w:val="auto"/>
                <w:w w:val="90"/>
                <w:vertAlign w:val="superscript"/>
              </w:rPr>
              <w:t>1</w:t>
            </w:r>
          </w:p>
        </w:tc>
        <w:tc>
          <w:tcPr>
            <w:tcW w:w="5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Owned</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41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Motors Liquidation Company GUC Trust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103,923,989</w:t>
            </w:r>
          </w:p>
        </w:tc>
        <w:tc>
          <w:tcPr>
            <w:tcW w:w="1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103,923,989</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22"/>
        </w:trPr>
        <w:tc>
          <w:tcPr>
            <w:tcW w:w="5120" w:type="dxa"/>
            <w:vAlign w:val="bottom"/>
            <w:gridSpan w:val="3"/>
          </w:tcPr>
          <w:p>
            <w:pPr>
              <w:spacing w:after="0"/>
              <w:rPr>
                <w:sz w:val="20"/>
                <w:szCs w:val="20"/>
                <w:color w:val="auto"/>
              </w:rPr>
            </w:pPr>
            <w:r>
              <w:rPr>
                <w:rFonts w:ascii="Arial" w:cs="Arial" w:eastAsia="Arial" w:hAnsi="Arial"/>
                <w:sz w:val="18"/>
                <w:szCs w:val="18"/>
                <w:color w:val="auto"/>
              </w:rPr>
              <w:t>Wilmington Trust Company, as Trust Administrator</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103,923,989</w:t>
            </w:r>
          </w:p>
        </w:tc>
        <w:tc>
          <w:tcPr>
            <w:tcW w:w="1800" w:type="dxa"/>
            <w:vAlign w:val="bottom"/>
            <w:gridSpan w:val="3"/>
          </w:tcPr>
          <w:p>
            <w:pPr>
              <w:jc w:val="right"/>
              <w:ind w:right="520"/>
              <w:spacing w:after="0"/>
              <w:rPr>
                <w:sz w:val="20"/>
                <w:szCs w:val="20"/>
                <w:color w:val="auto"/>
              </w:rPr>
            </w:pPr>
            <w:r>
              <w:rPr>
                <w:rFonts w:ascii="Arial" w:cs="Arial" w:eastAsia="Arial" w:hAnsi="Arial"/>
                <w:sz w:val="18"/>
                <w:szCs w:val="18"/>
                <w:color w:val="auto"/>
              </w:rPr>
              <w:t>0</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103,923,989</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table sets forth all transactions with respect to shares of Common Stock effected during the past 60 days by any of the Reporting Persons. The March 31, 2011 acquisition was effected by the execution of the GUC Trust Agreement and the effectiveness of the Plan, as described in Items 3, 4 and 5. The April 21, 2011 disposition was effected by the Initial Distribution, as described in Item 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8"/>
              </w:rPr>
              <w:t>Date of</w:t>
            </w:r>
          </w:p>
        </w:tc>
        <w:tc>
          <w:tcPr>
            <w:tcW w:w="620" w:type="dxa"/>
            <w:vAlign w:val="bottom"/>
          </w:tcPr>
          <w:p>
            <w:pPr>
              <w:spacing w:after="0"/>
              <w:rPr>
                <w:sz w:val="14"/>
                <w:szCs w:val="14"/>
                <w:color w:val="auto"/>
              </w:rPr>
            </w:pPr>
          </w:p>
        </w:tc>
        <w:tc>
          <w:tcPr>
            <w:tcW w:w="2440" w:type="dxa"/>
            <w:vAlign w:val="bottom"/>
            <w:gridSpan w:val="2"/>
          </w:tcPr>
          <w:p>
            <w:pPr>
              <w:jc w:val="right"/>
              <w:ind w:right="740"/>
              <w:spacing w:after="0"/>
              <w:rPr>
                <w:sz w:val="20"/>
                <w:szCs w:val="20"/>
                <w:color w:val="auto"/>
              </w:rPr>
            </w:pPr>
            <w:r>
              <w:rPr>
                <w:rFonts w:ascii="Arial" w:cs="Arial" w:eastAsia="Arial" w:hAnsi="Arial"/>
                <w:sz w:val="14"/>
                <w:szCs w:val="14"/>
                <w:color w:val="auto"/>
                <w:w w:val="89"/>
              </w:rPr>
              <w:t>Amount of Securities Acquired</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w w:val="82"/>
              </w:rPr>
              <w:t>Price per</w:t>
            </w:r>
          </w:p>
        </w:tc>
      </w:tr>
      <w:tr>
        <w:trPr>
          <w:trHeight w:val="159"/>
        </w:trPr>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89"/>
              </w:rPr>
              <w:t>Reporting Person</w:t>
            </w:r>
          </w:p>
        </w:tc>
        <w:tc>
          <w:tcPr>
            <w:tcW w:w="3820" w:type="dxa"/>
            <w:vAlign w:val="bottom"/>
          </w:tcPr>
          <w:p>
            <w:pPr>
              <w:spacing w:after="0"/>
              <w:rPr>
                <w:sz w:val="13"/>
                <w:szCs w:val="13"/>
                <w:color w:val="auto"/>
              </w:rPr>
            </w:pPr>
          </w:p>
        </w:tc>
        <w:tc>
          <w:tcPr>
            <w:tcW w:w="11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7"/>
              </w:rPr>
              <w:t>Transaction</w:t>
            </w:r>
          </w:p>
        </w:tc>
        <w:tc>
          <w:tcPr>
            <w:tcW w:w="620" w:type="dxa"/>
            <w:vAlign w:val="bottom"/>
          </w:tcPr>
          <w:p>
            <w:pPr>
              <w:spacing w:after="0"/>
              <w:rPr>
                <w:sz w:val="13"/>
                <w:szCs w:val="13"/>
                <w:color w:val="auto"/>
              </w:rPr>
            </w:pPr>
          </w:p>
        </w:tc>
        <w:tc>
          <w:tcPr>
            <w:tcW w:w="1700" w:type="dxa"/>
            <w:vAlign w:val="bottom"/>
            <w:tcBorders>
              <w:bottom w:val="single" w:sz="8" w:color="auto"/>
            </w:tcBorders>
          </w:tcPr>
          <w:p>
            <w:pPr>
              <w:jc w:val="right"/>
              <w:ind w:right="412"/>
              <w:spacing w:after="0" w:line="159" w:lineRule="exact"/>
              <w:rPr>
                <w:sz w:val="20"/>
                <w:szCs w:val="20"/>
                <w:color w:val="auto"/>
              </w:rPr>
            </w:pPr>
            <w:r>
              <w:rPr>
                <w:rFonts w:ascii="Arial" w:cs="Arial" w:eastAsia="Arial" w:hAnsi="Arial"/>
                <w:sz w:val="14"/>
                <w:szCs w:val="14"/>
                <w:color w:val="auto"/>
              </w:rPr>
              <w:t>or (Disposed)</w:t>
            </w:r>
          </w:p>
        </w:tc>
        <w:tc>
          <w:tcPr>
            <w:tcW w:w="740" w:type="dxa"/>
            <w:vAlign w:val="bottom"/>
          </w:tcPr>
          <w:p>
            <w:pPr>
              <w:spacing w:after="0"/>
              <w:rPr>
                <w:sz w:val="13"/>
                <w:szCs w:val="13"/>
                <w:color w:val="auto"/>
              </w:rPr>
            </w:pPr>
          </w:p>
        </w:tc>
        <w:tc>
          <w:tcPr>
            <w:tcW w:w="480" w:type="dxa"/>
            <w:vAlign w:val="bottom"/>
            <w:tcBorders>
              <w:bottom w:val="single" w:sz="8" w:color="auto"/>
            </w:tcBorders>
          </w:tcPr>
          <w:p>
            <w:pPr>
              <w:ind w:left="100"/>
              <w:spacing w:after="0" w:line="159" w:lineRule="exact"/>
              <w:rPr>
                <w:sz w:val="20"/>
                <w:szCs w:val="20"/>
                <w:color w:val="auto"/>
              </w:rPr>
            </w:pPr>
            <w:r>
              <w:rPr>
                <w:rFonts w:ascii="Arial" w:cs="Arial" w:eastAsia="Arial" w:hAnsi="Arial"/>
                <w:sz w:val="14"/>
                <w:szCs w:val="14"/>
                <w:color w:val="auto"/>
                <w:w w:val="96"/>
              </w:rPr>
              <w:t>Share</w:t>
            </w:r>
          </w:p>
        </w:tc>
        <w:tc>
          <w:tcPr>
            <w:tcW w:w="100" w:type="dxa"/>
            <w:vAlign w:val="bottom"/>
          </w:tcPr>
          <w:p>
            <w:pPr>
              <w:spacing w:after="0"/>
              <w:rPr>
                <w:sz w:val="13"/>
                <w:szCs w:val="13"/>
                <w:color w:val="auto"/>
              </w:rPr>
            </w:pPr>
          </w:p>
        </w:tc>
      </w:tr>
      <w:tr>
        <w:trPr>
          <w:trHeight w:val="210"/>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Motors Liquidation Company GUC Trust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March 31, 2011</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422,727,270</w:t>
            </w:r>
          </w:p>
        </w:tc>
        <w:tc>
          <w:tcPr>
            <w:tcW w:w="7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Wilmington Trust Company, as Trust Administrator</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March 31, 2011</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422,727,270</w:t>
            </w:r>
          </w:p>
        </w:tc>
        <w:tc>
          <w:tcPr>
            <w:tcW w:w="7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Motors Liquidation Company GUC Trust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April 21, 2011</w:t>
            </w:r>
          </w:p>
        </w:tc>
        <w:tc>
          <w:tcPr>
            <w:tcW w:w="30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(318,803,281)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22"/>
        </w:trPr>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Wilmington Trust Company, as Trust Administrator</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April 21, 2011</w:t>
            </w:r>
          </w:p>
        </w:tc>
        <w:tc>
          <w:tcPr>
            <w:tcW w:w="3060" w:type="dxa"/>
            <w:vAlign w:val="bottom"/>
            <w:gridSpan w:val="3"/>
          </w:tcPr>
          <w:p>
            <w:pPr>
              <w:jc w:val="right"/>
              <w:ind w:right="680"/>
              <w:spacing w:after="0"/>
              <w:rPr>
                <w:sz w:val="20"/>
                <w:szCs w:val="20"/>
                <w:color w:val="auto"/>
              </w:rPr>
            </w:pPr>
            <w:r>
              <w:rPr>
                <w:rFonts w:ascii="Arial" w:cs="Arial" w:eastAsia="Arial" w:hAnsi="Arial"/>
                <w:sz w:val="18"/>
                <w:szCs w:val="18"/>
                <w:color w:val="auto"/>
              </w:rPr>
              <w:t>(318,803,281)</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404"/>
        </w:trPr>
        <w:tc>
          <w:tcPr>
            <w:tcW w:w="340" w:type="dxa"/>
            <w:vAlign w:val="bottom"/>
          </w:tcPr>
          <w:p>
            <w:pPr>
              <w:spacing w:after="0"/>
              <w:rPr>
                <w:sz w:val="20"/>
                <w:szCs w:val="20"/>
                <w:color w:val="auto"/>
              </w:rPr>
            </w:pPr>
            <w:r>
              <w:rPr>
                <w:rFonts w:ascii="Arial" w:cs="Arial" w:eastAsia="Arial" w:hAnsi="Arial"/>
                <w:sz w:val="18"/>
                <w:szCs w:val="18"/>
                <w:color w:val="auto"/>
              </w:rPr>
              <w:t>(d)</w:t>
            </w:r>
          </w:p>
        </w:tc>
        <w:tc>
          <w:tcPr>
            <w:tcW w:w="5400" w:type="dxa"/>
            <w:vAlign w:val="bottom"/>
            <w:gridSpan w:val="3"/>
          </w:tcPr>
          <w:p>
            <w:pPr>
              <w:ind w:left="120"/>
              <w:spacing w:after="0"/>
              <w:rPr>
                <w:sz w:val="20"/>
                <w:szCs w:val="20"/>
                <w:color w:val="auto"/>
              </w:rPr>
            </w:pPr>
            <w:r>
              <w:rPr>
                <w:rFonts w:ascii="Arial" w:cs="Arial" w:eastAsia="Arial" w:hAnsi="Arial"/>
                <w:sz w:val="18"/>
                <w:szCs w:val="18"/>
                <w:color w:val="auto"/>
              </w:rPr>
              <w:t>Not applicable.</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340" w:type="dxa"/>
            <w:vAlign w:val="bottom"/>
          </w:tcPr>
          <w:p>
            <w:pPr>
              <w:spacing w:after="0"/>
              <w:rPr>
                <w:sz w:val="20"/>
                <w:szCs w:val="20"/>
                <w:color w:val="auto"/>
              </w:rPr>
            </w:pPr>
            <w:r>
              <w:rPr>
                <w:rFonts w:ascii="Arial" w:cs="Arial" w:eastAsia="Arial" w:hAnsi="Arial"/>
                <w:sz w:val="18"/>
                <w:szCs w:val="18"/>
                <w:color w:val="auto"/>
              </w:rPr>
              <w:t>(e)</w:t>
            </w:r>
          </w:p>
        </w:tc>
        <w:tc>
          <w:tcPr>
            <w:tcW w:w="5400" w:type="dxa"/>
            <w:vAlign w:val="bottom"/>
            <w:gridSpan w:val="3"/>
          </w:tcPr>
          <w:p>
            <w:pPr>
              <w:ind w:left="120"/>
              <w:spacing w:after="0"/>
              <w:rPr>
                <w:sz w:val="20"/>
                <w:szCs w:val="20"/>
                <w:color w:val="auto"/>
              </w:rPr>
            </w:pPr>
            <w:r>
              <w:rPr>
                <w:rFonts w:ascii="Arial" w:cs="Arial" w:eastAsia="Arial" w:hAnsi="Arial"/>
                <w:sz w:val="18"/>
                <w:szCs w:val="18"/>
                <w:color w:val="auto"/>
              </w:rPr>
              <w:t>Not applicable.</w:t>
            </w: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8" w:lineRule="exact"/>
        <w:rPr>
          <w:sz w:val="20"/>
          <w:szCs w:val="20"/>
          <w:color w:val="auto"/>
        </w:rPr>
      </w:pPr>
    </w:p>
    <w:p>
      <w:pPr>
        <w:ind w:left="220" w:right="20" w:hanging="212"/>
        <w:spacing w:after="0" w:line="235" w:lineRule="auto"/>
        <w:tabs>
          <w:tab w:leader="none" w:pos="22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The undetermined number of shares over which neither the Trust nor the Trust Administrator had dispositive or voting power that were disclosed in Footnote 2 to Item 5 of the Schedule 13D were transferred from MLC to the another trust formed under the Plan that is unaffiliated with the Trust and the Trust Administrator. Thus, those shares are no longer reflected in these figures.</w:t>
      </w:r>
    </w:p>
    <w:p>
      <w:pPr>
        <w:sectPr>
          <w:pgSz w:w="11900" w:h="16838" w:orient="portrait"/>
          <w:cols w:equalWidth="0" w:num="1">
            <w:col w:w="11420"/>
          </w:cols>
          <w:pgMar w:left="240" w:top="280" w:right="239" w:bottom="1440" w:gutter="0" w:footer="0" w:header="0"/>
        </w:sectPr>
      </w:pPr>
    </w:p>
    <w:bookmarkStart w:id="5" w:name="page6"/>
    <w:bookmarkEnd w:id="5"/>
    <w:p>
      <w:pPr>
        <w:spacing w:after="0"/>
        <w:tabs>
          <w:tab w:leader="none" w:pos="5440" w:val="left"/>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37045V100</w:t>
      </w:r>
      <w:r>
        <w:rPr>
          <w:sz w:val="20"/>
          <w:szCs w:val="20"/>
          <w:color w:val="auto"/>
        </w:rPr>
        <w:tab/>
      </w: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6 of 6 Pages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After reasonable inquiry and to the best of my knowledge and belief, each of the undersigned certifies that the information set forth in this Amendment No. 1 to Schedule 13D is true, complete and correct.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Dated as of April 21, 2011</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MOTORS LIQUIDATION COMPANY GUC TRUST</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By: Wilmington Trust Company, not in its individual capacity, but solely as</w:t>
      </w:r>
    </w:p>
    <w:p>
      <w:pPr>
        <w:spacing w:after="0" w:line="32"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trust administrator and trustee</w:t>
      </w:r>
    </w:p>
    <w:p>
      <w:pPr>
        <w:spacing w:after="0" w:line="219" w:lineRule="exact"/>
        <w:rPr>
          <w:sz w:val="20"/>
          <w:szCs w:val="20"/>
          <w:color w:val="auto"/>
        </w:rPr>
      </w:pPr>
    </w:p>
    <w:tbl>
      <w:tblPr>
        <w:tblLayout w:type="fixed"/>
        <w:tblInd w:w="5480" w:type="dxa"/>
        <w:tblCellMar>
          <w:top w:w="0" w:type="dxa"/>
          <w:left w:w="0" w:type="dxa"/>
          <w:bottom w:w="0" w:type="dxa"/>
          <w:right w:w="0" w:type="dxa"/>
        </w:tblCellMar>
      </w:tblP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Vanaskey, Jr.</w:t>
            </w:r>
          </w:p>
        </w:tc>
      </w:tr>
      <w:tr>
        <w:trPr>
          <w:trHeight w:val="215"/>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David A. Vanaskey, Jr.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Vice President of Wilmington Trust Company</w:t>
            </w:r>
          </w:p>
        </w:tc>
      </w:tr>
    </w:tbl>
    <w:p>
      <w:pPr>
        <w:spacing w:after="0" w:line="204"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WILMINGTON TRUST COMPANY,</w:t>
      </w:r>
    </w:p>
    <w:p>
      <w:pPr>
        <w:spacing w:after="0" w:line="21"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not in its individual capacity, but solely as trust administrator and trustee</w:t>
      </w:r>
    </w:p>
    <w:p>
      <w:pPr>
        <w:spacing w:after="0" w:line="147" w:lineRule="exact"/>
        <w:rPr>
          <w:sz w:val="20"/>
          <w:szCs w:val="20"/>
          <w:color w:val="auto"/>
        </w:rPr>
      </w:pPr>
    </w:p>
    <w:tbl>
      <w:tblPr>
        <w:tblLayout w:type="fixed"/>
        <w:tblInd w:w="5480" w:type="dxa"/>
        <w:tblCellMar>
          <w:top w:w="0" w:type="dxa"/>
          <w:left w:w="0" w:type="dxa"/>
          <w:bottom w:w="0" w:type="dxa"/>
          <w:right w:w="0" w:type="dxa"/>
        </w:tblCellMar>
      </w:tblP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Vanaskey, Jr.</w:t>
            </w:r>
          </w:p>
        </w:tc>
      </w:tr>
      <w:tr>
        <w:trPr>
          <w:trHeight w:val="3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David A. Vanaskey, Jr.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Vice President of Wilmington Trust Company</w:t>
            </w: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1)"/>
      <w:numFmt w:val="decimal"/>
      <w:start w:val="11"/>
    </w:lvl>
  </w:abstractNum>
  <w:abstractNum w:abstractNumId="6">
    <w:nsid w:val="1F16E9E8"/>
    <w:multiLevelType w:val="hybridMultilevel"/>
    <w:lvl w:ilvl="0">
      <w:lvlJc w:val="left"/>
      <w:lvlText w:val="(%1)"/>
      <w:numFmt w:val="decimal"/>
      <w:start w:val="12"/>
    </w:lvl>
  </w:abstractNum>
  <w:abstractNum w:abstractNumId="7">
    <w:nsid w:val="1190CDE7"/>
    <w:multiLevelType w:val="hybridMultilevel"/>
    <w:lvl w:ilvl="0">
      <w:lvlJc w:val="left"/>
      <w:lvlText w:val="(%1)"/>
      <w:numFmt w:val="decimal"/>
      <w:start w:val="14"/>
    </w:lvl>
  </w:abstractNum>
  <w:abstractNum w:abstractNumId="8">
    <w:nsid w:val="66EF438D"/>
    <w:multiLevelType w:val="hybridMultilevel"/>
    <w:lvl w:ilvl="0">
      <w:lvlJc w:val="left"/>
      <w:lvlText w:val="(%1)"/>
      <w:numFmt w:val="lowerRoman"/>
      <w:start w:val="1"/>
    </w:lvl>
  </w:abstractNum>
  <w:abstractNum w:abstractNumId="9">
    <w:nsid w:val="140E0F76"/>
    <w:multiLevelType w:val="hybridMultilevel"/>
    <w:lvl w:ilvl="0">
      <w:lvlJc w:val="left"/>
      <w:lvlText w:val="(%1)"/>
      <w:numFmt w:val="lowerRoman"/>
      <w:start w:val="3"/>
    </w:lvl>
  </w:abstractNum>
  <w:abstractNum w:abstractNumId="10">
    <w:nsid w:val="3352255A"/>
    <w:multiLevelType w:val="hybridMultilevel"/>
    <w:lvl w:ilvl="0">
      <w:lvlJc w:val="left"/>
      <w:lvlText w:val="(%1)"/>
      <w:numFmt w:val="lowerLetter"/>
      <w:start w:val="1"/>
    </w:lvl>
    <w:lvl w:ilvl="1">
      <w:lvlJc w:val="left"/>
      <w:lvlText w:val="(%2)"/>
      <w:numFmt w:val="lowerLetter"/>
      <w:start w:val="9"/>
    </w:lvl>
  </w:abstractNum>
  <w:abstractNum w:abstractNumId="11">
    <w:nsid w:val="109CF92E"/>
    <w:multiLevelType w:val="hybridMultilevel"/>
    <w:lvl w:ilvl="0">
      <w:lvlJc w:val="left"/>
      <w:lvlText w:val="%1"/>
      <w:numFmt w:val="lowerLetter"/>
      <w:start w:val="1"/>
    </w:lvl>
    <w:lvl w:ilvl="1">
      <w:lvlJc w:val="left"/>
      <w:lvlText w:val="(%2)"/>
      <w:numFmt w:val="lowerLetter"/>
      <w:start w:val="61"/>
    </w:lvl>
  </w:abstractNum>
  <w:abstractNum w:abstractNumId="12">
    <w:nsid w:val="DED7263"/>
    <w:multiLevelType w:val="hybridMultilevel"/>
    <w:lvl w:ilvl="0">
      <w:lvlJc w:val="left"/>
      <w:lvlText w:val="(%1)"/>
      <w:numFmt w:val="lowerLetter"/>
      <w:start w:val="2"/>
    </w:lvl>
    <w:lvl w:ilvl="1">
      <w:lvlJc w:val="left"/>
      <w:lvlText w:val="%2"/>
      <w:numFmt w:val="lowerLetter"/>
      <w:start w:val="1"/>
    </w:lvl>
  </w:abstractNum>
  <w:abstractNum w:abstractNumId="13">
    <w:nsid w:val="7FDCC233"/>
    <w:multiLevelType w:val="hybridMultilevel"/>
    <w:lvl w:ilvl="0">
      <w:lvlJc w:val="left"/>
      <w:lvlText w:val="(%1)"/>
      <w:numFmt w:val="lowerLetter"/>
      <w:start w:val="3"/>
    </w:lvl>
  </w:abstractNum>
  <w:abstractNum w:abstractNumId="14">
    <w:nsid w:val="1BEFD79F"/>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2019-12-11T09:13:44Z</dcterms:created>
  <dcterms:modified xsi:type="dcterms:W3CDTF">2019-12-11T09:13:44Z</dcterms:modified>
</cp:coreProperties>
</file>