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us37045v1008_012523.txt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114836260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125771387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125771387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48265-3000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125771387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114836260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125771387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line="5" w:lineRule="exact"/>
        <w:rPr>
          <w:sz w:val="20"/>
          <w:szCs w:val="20"/>
          <w:color w:val="auto"/>
        </w:rPr>
      </w:pPr>
    </w:p>
    <w:p>
      <w:pPr>
        <w:ind w:left="120" w:right="3819"/>
        <w:spacing w:after="0" w:line="236" w:lineRule="auto"/>
        <w:rPr>
          <w:sz w:val="20"/>
          <w:szCs w:val="20"/>
          <w:color w:val="auto"/>
        </w:rPr>
      </w:pPr>
      <w:r>
        <w:rPr>
          <w:rFonts w:ascii="Courier New" w:cs="Courier New" w:eastAsia="Courier New" w:hAnsi="Courier New"/>
          <w:sz w:val="18"/>
          <w:szCs w:val="18"/>
          <w:color w:val="auto"/>
        </w:rPr>
        <w:t>BlackRock Institutional Trust Company, National Association BlackRock Asset Management Ireland Limited 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5" w:lineRule="exact"/>
        <w:rPr>
          <w:sz w:val="20"/>
          <w:szCs w:val="20"/>
          <w:color w:val="auto"/>
        </w:rPr>
      </w:pPr>
    </w:p>
    <w:p>
      <w:pPr>
        <w:ind w:left="120" w:right="3819"/>
        <w:spacing w:after="0" w:line="235" w:lineRule="auto"/>
        <w:rPr>
          <w:sz w:val="20"/>
          <w:szCs w:val="20"/>
          <w:color w:val="auto"/>
        </w:rPr>
      </w:pPr>
      <w:r>
        <w:rPr>
          <w:rFonts w:ascii="Courier New" w:cs="Courier New" w:eastAsia="Courier New" w:hAnsi="Courier New"/>
          <w:sz w:val="18"/>
          <w:szCs w:val="18"/>
          <w:color w:val="auto"/>
        </w:rPr>
        <w:t>BlackRock Mexico Operadora, S.A. de C.V., Sociedad Operador BlackRock (Luxembourg) S.A.</w:t>
      </w:r>
    </w:p>
    <w:p>
      <w:pPr>
        <w:spacing w:after="0" w:line="6" w:lineRule="exact"/>
        <w:rPr>
          <w:sz w:val="20"/>
          <w:szCs w:val="20"/>
          <w:color w:val="auto"/>
        </w:rPr>
      </w:pPr>
    </w:p>
    <w:p>
      <w:pPr>
        <w:ind w:left="120" w:right="4659"/>
        <w:spacing w:after="0" w:line="236" w:lineRule="auto"/>
        <w:rPr>
          <w:sz w:val="20"/>
          <w:szCs w:val="20"/>
          <w:color w:val="auto"/>
        </w:rPr>
      </w:pPr>
      <w:r>
        <w:rPr>
          <w:rFonts w:ascii="Courier New" w:cs="Courier New" w:eastAsia="Courier New" w:hAnsi="Courier New"/>
          <w:sz w:val="18"/>
          <w:szCs w:val="18"/>
          <w:color w:val="auto"/>
        </w:rPr>
        <w:t>BlackRock Investment Management (Australia) Limited BlackRock Advisors (UK) Limited 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2023-01-25T09:43:47Z</dcterms:created>
  <dcterms:modified xsi:type="dcterms:W3CDTF">2023-01-25T09:43:47Z</dcterms:modified>
</cp:coreProperties>
</file>