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As filed with the Securities and Exchange Commission on February 5, 2020</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REGISTRATION STATEMENT</w:t>
      </w:r>
    </w:p>
    <w:p>
      <w:pPr>
        <w:jc w:val="center"/>
        <w:ind w:right="-2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27-0756180</w:t>
            </w:r>
          </w:p>
        </w:tc>
      </w:tr>
      <w:tr>
        <w:trPr>
          <w:trHeight w:val="149"/>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Christopher T. Hatto</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Vice President, Global Business Solutions and Chief Accounting Officer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80"/>
        <w:spacing w:after="0"/>
        <w:rPr>
          <w:sz w:val="20"/>
          <w:szCs w:val="20"/>
          <w:color w:val="auto"/>
        </w:rPr>
      </w:pPr>
      <w:r>
        <w:rPr>
          <w:rFonts w:ascii="Arial" w:cs="Arial" w:eastAsia="Arial" w:hAnsi="Arial"/>
          <w:sz w:val="18"/>
          <w:szCs w:val="18"/>
          <w:b w:val="1"/>
          <w:bCs w:val="1"/>
          <w:i w:val="1"/>
          <w:iCs w:val="1"/>
          <w:color w:val="auto"/>
        </w:rPr>
        <w:t>Copies of all communications, including communications sent to agent for service, should be sent to:</w:t>
      </w:r>
    </w:p>
    <w:p>
      <w:pPr>
        <w:spacing w:after="0" w:line="248" w:lineRule="exact"/>
        <w:rPr>
          <w:sz w:val="24"/>
          <w:szCs w:val="24"/>
          <w:color w:val="auto"/>
        </w:rPr>
      </w:pPr>
    </w:p>
    <w:tbl>
      <w:tblPr>
        <w:tblLayout w:type="fixed"/>
        <w:tblInd w:w="1840" w:type="dxa"/>
        <w:tblCellMar>
          <w:top w:w="0" w:type="dxa"/>
          <w:left w:w="0" w:type="dxa"/>
          <w:bottom w:w="0" w:type="dxa"/>
          <w:right w:w="0" w:type="dxa"/>
        </w:tblCellMar>
      </w:tblPr>
      <w:tr>
        <w:trPr>
          <w:trHeight w:val="216"/>
        </w:trPr>
        <w:tc>
          <w:tcPr>
            <w:tcW w:w="39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Rick E. Hansen, Esq.</w:t>
            </w: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Donald J. Kunz, Esq.</w:t>
            </w:r>
          </w:p>
        </w:tc>
      </w:tr>
      <w:tr>
        <w:trPr>
          <w:trHeight w:val="216"/>
        </w:trPr>
        <w:tc>
          <w:tcPr>
            <w:tcW w:w="39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2"/>
              </w:rPr>
              <w:t>General Motors Company</w:t>
            </w: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Gabrielle Sims White, Esq.</w:t>
            </w:r>
          </w:p>
        </w:tc>
      </w:tr>
      <w:tr>
        <w:trPr>
          <w:trHeight w:val="216"/>
        </w:trPr>
        <w:tc>
          <w:tcPr>
            <w:tcW w:w="3960" w:type="dxa"/>
            <w:vAlign w:val="bottom"/>
          </w:tcPr>
          <w:p>
            <w:pPr>
              <w:jc w:val="center"/>
              <w:ind w:right="1570"/>
              <w:spacing w:after="0"/>
              <w:rPr>
                <w:sz w:val="20"/>
                <w:szCs w:val="20"/>
                <w:color w:val="auto"/>
              </w:rPr>
            </w:pPr>
            <w:r>
              <w:rPr>
                <w:rFonts w:ascii="Arial" w:cs="Arial" w:eastAsia="Arial" w:hAnsi="Arial"/>
                <w:sz w:val="18"/>
                <w:szCs w:val="18"/>
                <w:b w:val="1"/>
                <w:bCs w:val="1"/>
                <w:color w:val="auto"/>
                <w:w w:val="87"/>
              </w:rPr>
              <w:t>300 Renaissance Center</w:t>
            </w: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6"/>
              </w:rPr>
              <w:t>Honigman LLP</w:t>
            </w:r>
          </w:p>
        </w:tc>
      </w:tr>
      <w:tr>
        <w:trPr>
          <w:trHeight w:val="216"/>
        </w:trPr>
        <w:tc>
          <w:tcPr>
            <w:tcW w:w="39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2"/>
              </w:rPr>
              <w:t>Detroit, Michigan 48265-3000</w:t>
            </w: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2290 First National Building</w:t>
            </w:r>
          </w:p>
        </w:tc>
      </w:tr>
      <w:tr>
        <w:trPr>
          <w:trHeight w:val="216"/>
        </w:trPr>
        <w:tc>
          <w:tcPr>
            <w:tcW w:w="39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(313) 667-1500</w:t>
            </w: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660 Woodward Avenue</w:t>
            </w:r>
          </w:p>
        </w:tc>
      </w:tr>
      <w:tr>
        <w:trPr>
          <w:trHeight w:val="216"/>
        </w:trPr>
        <w:tc>
          <w:tcPr>
            <w:tcW w:w="3960" w:type="dxa"/>
            <w:vAlign w:val="bottom"/>
          </w:tcPr>
          <w:p>
            <w:pPr>
              <w:spacing w:after="0"/>
              <w:rPr>
                <w:sz w:val="18"/>
                <w:szCs w:val="18"/>
                <w:color w:val="auto"/>
              </w:rPr>
            </w:pP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Detroit, MI 48226-3506</w:t>
            </w:r>
          </w:p>
        </w:tc>
      </w:tr>
      <w:tr>
        <w:trPr>
          <w:trHeight w:val="234"/>
        </w:trPr>
        <w:tc>
          <w:tcPr>
            <w:tcW w:w="3960" w:type="dxa"/>
            <w:vAlign w:val="bottom"/>
          </w:tcPr>
          <w:p>
            <w:pPr>
              <w:spacing w:after="0"/>
              <w:rPr>
                <w:sz w:val="20"/>
                <w:szCs w:val="20"/>
                <w:color w:val="auto"/>
              </w:rPr>
            </w:pPr>
          </w:p>
        </w:tc>
        <w:tc>
          <w:tcPr>
            <w:tcW w:w="3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2"/>
              </w:rPr>
              <w:t>(313) 465-7000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200" w:right="640" w:firstLine="441"/>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100" w:firstLine="441"/>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22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12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firstLine="441"/>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160"/>
          </w:cols>
          <w:pgMar w:left="240" w:top="230" w:right="499" w:bottom="0" w:gutter="0" w:footer="0" w:header="0"/>
        </w:sectPr>
      </w:pPr>
    </w:p>
    <w:bookmarkStart w:id="1" w:name="page2"/>
    <w:bookmarkEnd w:id="1"/>
    <w:p>
      <w:pPr>
        <w:ind w:right="720" w:firstLine="441"/>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right"/>
              <w:ind w:right="380"/>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right"/>
              <w:ind w:right="380"/>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40" w:type="dxa"/>
            <w:vAlign w:val="bottom"/>
            <w:tcBorders>
              <w:bottom w:val="single" w:sz="8" w:color="auto"/>
              <w:right w:val="single" w:sz="8" w:color="auto"/>
            </w:tcBorders>
          </w:tcPr>
          <w:p>
            <w:pPr>
              <w:jc w:val="right"/>
              <w:ind w:right="378"/>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par value $0.01 per share</w:t>
            </w:r>
          </w:p>
        </w:tc>
        <w:tc>
          <w:tcPr>
            <w:tcW w:w="1540" w:type="dxa"/>
            <w:vAlign w:val="bottom"/>
            <w:tcBorders>
              <w:bottom w:val="single" w:sz="8" w:color="auto"/>
              <w:right w:val="single" w:sz="8" w:color="auto"/>
            </w:tcBorders>
          </w:tcPr>
          <w:p>
            <w:pPr>
              <w:jc w:val="right"/>
              <w:ind w:right="378"/>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right"/>
              <w:ind w:right="378"/>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540" w:type="dxa"/>
            <w:vAlign w:val="bottom"/>
            <w:tcBorders>
              <w:right w:val="single" w:sz="8" w:color="auto"/>
            </w:tcBorders>
          </w:tcPr>
          <w:p>
            <w:pPr>
              <w:jc w:val="right"/>
              <w:ind w:right="378"/>
              <w:spacing w:after="0"/>
              <w:rPr>
                <w:sz w:val="20"/>
                <w:szCs w:val="20"/>
                <w:color w:val="auto"/>
              </w:rPr>
            </w:pPr>
            <w:r>
              <w:rPr>
                <w:rFonts w:ascii="Arial" w:cs="Arial" w:eastAsia="Arial" w:hAnsi="Arial"/>
                <w:sz w:val="18"/>
                <w:szCs w:val="18"/>
                <w:color w:val="auto"/>
              </w:rPr>
              <w:t>(1)</w:t>
            </w:r>
          </w:p>
        </w:tc>
        <w:tc>
          <w:tcPr>
            <w:tcW w:w="1540" w:type="dxa"/>
            <w:vAlign w:val="bottom"/>
            <w:tcBorders>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40" w:type="dxa"/>
            <w:vAlign w:val="bottom"/>
            <w:tcBorders>
              <w:right w:val="single" w:sz="8" w:color="auto"/>
            </w:tcBorders>
          </w:tcPr>
          <w:p>
            <w:pPr>
              <w:jc w:val="right"/>
              <w:ind w:right="38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3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536"/>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Omitted pursuant to General Instructions II.E of Form S-3. An indeterminate aggregate initial offering price and number or amount of the securities of each identified class is being registered as may from time to time be sold at indeterminate prices. Separate consideration may or may not be received for securities that are issuable upon conversion of, or in exchange for, or upon exercise of, convertible or exchangeable securities.</w:t>
      </w:r>
    </w:p>
    <w:p>
      <w:pPr>
        <w:spacing w:after="0" w:line="1" w:lineRule="exact"/>
        <w:rPr>
          <w:rFonts w:ascii="Arial" w:cs="Arial" w:eastAsia="Arial" w:hAnsi="Arial"/>
          <w:sz w:val="16"/>
          <w:szCs w:val="16"/>
          <w:color w:val="auto"/>
        </w:rPr>
      </w:pPr>
    </w:p>
    <w:p>
      <w:pPr>
        <w:ind w:left="540" w:hanging="536"/>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172085</wp:posOffset>
            </wp:positionV>
            <wp:extent cx="404749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4749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contains summaries of the general terms of the securities that General Motors Company may offer from time to time:</w:t>
      </w:r>
    </w:p>
    <w:p>
      <w:pPr>
        <w:spacing w:after="0" w:line="142" w:lineRule="exact"/>
        <w:rPr>
          <w:sz w:val="20"/>
          <w:szCs w:val="20"/>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right="180" w:firstLine="441"/>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Investment in our securities involves risk.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217805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February 5, 2020.</w:t>
      </w:r>
    </w:p>
    <w:p>
      <w:pPr>
        <w:sectPr>
          <w:pgSz w:w="11900" w:h="16838" w:orient="portrait"/>
          <w:cols w:equalWidth="0" w:num="1">
            <w:col w:w="11220"/>
          </w:cols>
          <w:pgMar w:left="240" w:top="45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493"/>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gridSpan w:val="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547"/>
        </w:trPr>
        <w:tc>
          <w:tcPr>
            <w:tcW w:w="200" w:type="dxa"/>
            <w:vAlign w:val="bottom"/>
          </w:tcPr>
          <w:p>
            <w:pPr>
              <w:spacing w:after="0"/>
              <w:rPr>
                <w:sz w:val="24"/>
                <w:szCs w:val="24"/>
                <w:color w:val="auto"/>
              </w:rPr>
            </w:pPr>
          </w:p>
        </w:tc>
        <w:tc>
          <w:tcPr>
            <w:tcW w:w="23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ABOUT THIS PROSPECTUS</w:t>
              </w:r>
            </w:hyperlink>
          </w:p>
        </w:tc>
        <w:tc>
          <w:tcPr>
            <w:tcW w:w="2200" w:type="dxa"/>
            <w:vAlign w:val="bottom"/>
            <w:gridSpan w:val="9"/>
          </w:tcPr>
          <w:p>
            <w:pPr>
              <w:spacing w:after="0"/>
              <w:rPr>
                <w:sz w:val="24"/>
                <w:szCs w:val="24"/>
                <w:color w:val="auto"/>
              </w:rPr>
            </w:pPr>
          </w:p>
        </w:tc>
        <w:tc>
          <w:tcPr>
            <w:tcW w:w="1920" w:type="dxa"/>
            <w:vAlign w:val="bottom"/>
            <w:tcBorders>
              <w:top w:val="single" w:sz="8" w:color="auto"/>
            </w:tcBorders>
            <w:gridSpan w:val="3"/>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200" w:type="dxa"/>
            <w:vAlign w:val="bottom"/>
          </w:tcPr>
          <w:p>
            <w:pPr>
              <w:spacing w:after="0"/>
              <w:rPr>
                <w:sz w:val="24"/>
                <w:szCs w:val="24"/>
                <w:color w:val="auto"/>
              </w:rPr>
            </w:pPr>
          </w:p>
        </w:tc>
        <w:tc>
          <w:tcPr>
            <w:tcW w:w="538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INCORPORATION OF CERTAIN DOCUMENTS BY REFERENCE</w:t>
              </w:r>
            </w:hyperlink>
          </w:p>
        </w:tc>
        <w:tc>
          <w:tcPr>
            <w:tcW w:w="326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200" w:type="dxa"/>
            <w:vAlign w:val="bottom"/>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RISK FACTORS</w:t>
              </w:r>
            </w:hyperlink>
          </w:p>
        </w:tc>
        <w:tc>
          <w:tcPr>
            <w:tcW w:w="7300" w:type="dxa"/>
            <w:vAlign w:val="bottom"/>
            <w:gridSpan w:val="1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2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GENERAL MOTORS COMPANY</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20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5"/>
              </w:rPr>
            </w:pPr>
            <w:hyperlink w:anchor="page7">
              <w:r>
                <w:rPr>
                  <w:rFonts w:ascii="Arial" w:cs="Arial" w:eastAsia="Arial" w:hAnsi="Arial"/>
                  <w:sz w:val="18"/>
                  <w:szCs w:val="18"/>
                  <w:b w:val="1"/>
                  <w:bCs w:val="1"/>
                  <w:color w:val="0000EE"/>
                  <w:w w:val="95"/>
                </w:rPr>
                <w:t>USE OF PROCEEDS</w:t>
              </w:r>
            </w:hyperlink>
          </w:p>
        </w:tc>
        <w:tc>
          <w:tcPr>
            <w:tcW w:w="1020" w:type="dxa"/>
            <w:vAlign w:val="bottom"/>
            <w:tcBorders>
              <w:top w:val="single" w:sz="8" w:color="0000EE"/>
            </w:tcBorders>
            <w:gridSpan w:val="4"/>
          </w:tcPr>
          <w:p>
            <w:pPr>
              <w:spacing w:after="0"/>
              <w:rPr>
                <w:sz w:val="24"/>
                <w:szCs w:val="24"/>
                <w:color w:val="auto"/>
              </w:rPr>
            </w:pPr>
          </w:p>
        </w:tc>
        <w:tc>
          <w:tcPr>
            <w:tcW w:w="594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200" w:type="dxa"/>
            <w:vAlign w:val="bottom"/>
          </w:tcPr>
          <w:p>
            <w:pPr>
              <w:spacing w:after="0"/>
              <w:rPr>
                <w:sz w:val="24"/>
                <w:szCs w:val="24"/>
                <w:color w:val="auto"/>
              </w:rPr>
            </w:pPr>
          </w:p>
        </w:tc>
        <w:tc>
          <w:tcPr>
            <w:tcW w:w="312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FORWARD-LOOKING STATEMENTS</w:t>
              </w:r>
            </w:hyperlink>
          </w:p>
        </w:tc>
        <w:tc>
          <w:tcPr>
            <w:tcW w:w="552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04"/>
        </w:trPr>
        <w:tc>
          <w:tcPr>
            <w:tcW w:w="200" w:type="dxa"/>
            <w:vAlign w:val="bottom"/>
          </w:tcPr>
          <w:p>
            <w:pPr>
              <w:spacing w:after="0"/>
              <w:rPr>
                <w:sz w:val="24"/>
                <w:szCs w:val="24"/>
                <w:color w:val="auto"/>
              </w:rPr>
            </w:pPr>
          </w:p>
        </w:tc>
        <w:tc>
          <w:tcPr>
            <w:tcW w:w="32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OVERVIEW OF OUR CAPITAL STOCK</w:t>
              </w:r>
            </w:hyperlink>
          </w:p>
        </w:tc>
        <w:tc>
          <w:tcPr>
            <w:tcW w:w="53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04"/>
        </w:trPr>
        <w:tc>
          <w:tcPr>
            <w:tcW w:w="2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GENERAL DESCRIPTION OF SECURITIES THAT MAY BE OFFERED</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04"/>
        </w:trPr>
        <w:tc>
          <w:tcPr>
            <w:tcW w:w="20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DESCRIPTION OF DEBT SECURITIES</w:t>
              </w:r>
            </w:hyperlink>
          </w:p>
        </w:tc>
        <w:tc>
          <w:tcPr>
            <w:tcW w:w="2580" w:type="dxa"/>
            <w:vAlign w:val="bottom"/>
            <w:tcBorders>
              <w:top w:val="single" w:sz="8" w:color="0000EE"/>
            </w:tcBorders>
            <w:gridSpan w:val="6"/>
          </w:tcPr>
          <w:p>
            <w:pPr>
              <w:spacing w:after="0"/>
              <w:rPr>
                <w:sz w:val="24"/>
                <w:szCs w:val="24"/>
                <w:color w:val="auto"/>
              </w:rPr>
            </w:pPr>
          </w:p>
        </w:tc>
        <w:tc>
          <w:tcPr>
            <w:tcW w:w="28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04"/>
        </w:trPr>
        <w:tc>
          <w:tcPr>
            <w:tcW w:w="2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DESCRIPTION OF PREFERRED STOCK</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04"/>
        </w:trPr>
        <w:tc>
          <w:tcPr>
            <w:tcW w:w="200" w:type="dxa"/>
            <w:vAlign w:val="bottom"/>
          </w:tcPr>
          <w:p>
            <w:pPr>
              <w:spacing w:after="0"/>
              <w:rPr>
                <w:sz w:val="24"/>
                <w:szCs w:val="24"/>
                <w:color w:val="auto"/>
              </w:rPr>
            </w:pPr>
          </w:p>
        </w:tc>
        <w:tc>
          <w:tcPr>
            <w:tcW w:w="336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COMMON STOCK</w:t>
              </w:r>
            </w:hyperlink>
          </w:p>
        </w:tc>
        <w:tc>
          <w:tcPr>
            <w:tcW w:w="528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04"/>
        </w:trPr>
        <w:tc>
          <w:tcPr>
            <w:tcW w:w="200" w:type="dxa"/>
            <w:vAlign w:val="bottom"/>
          </w:tcPr>
          <w:p>
            <w:pPr>
              <w:spacing w:after="0"/>
              <w:rPr>
                <w:sz w:val="24"/>
                <w:szCs w:val="24"/>
                <w:color w:val="auto"/>
              </w:rPr>
            </w:pPr>
          </w:p>
        </w:tc>
        <w:tc>
          <w:tcPr>
            <w:tcW w:w="3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WARRANTS</w:t>
              </w:r>
            </w:hyperlink>
          </w:p>
        </w:tc>
        <w:tc>
          <w:tcPr>
            <w:tcW w:w="550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04"/>
        </w:trPr>
        <w:tc>
          <w:tcPr>
            <w:tcW w:w="200" w:type="dxa"/>
            <w:vAlign w:val="bottom"/>
          </w:tcPr>
          <w:p>
            <w:pPr>
              <w:spacing w:after="0"/>
              <w:rPr>
                <w:sz w:val="24"/>
                <w:szCs w:val="24"/>
                <w:color w:val="auto"/>
              </w:rPr>
            </w:pPr>
          </w:p>
        </w:tc>
        <w:tc>
          <w:tcPr>
            <w:tcW w:w="26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PLAN OF DISTRIBUTION</w:t>
              </w:r>
            </w:hyperlink>
          </w:p>
        </w:tc>
        <w:tc>
          <w:tcPr>
            <w:tcW w:w="602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04"/>
        </w:trPr>
        <w:tc>
          <w:tcPr>
            <w:tcW w:w="20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2"/>
          </w:tcPr>
          <w:p>
            <w:pPr>
              <w:spacing w:after="0"/>
              <w:rPr>
                <w:sz w:val="24"/>
                <w:szCs w:val="24"/>
                <w:color w:val="auto"/>
              </w:rPr>
            </w:pPr>
          </w:p>
        </w:tc>
        <w:tc>
          <w:tcPr>
            <w:tcW w:w="6480" w:type="dxa"/>
            <w:vAlign w:val="bottom"/>
            <w:gridSpan w:val="1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04"/>
        </w:trPr>
        <w:tc>
          <w:tcPr>
            <w:tcW w:w="2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04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WHERE YOU CAN FIND MORE INFORMATION</w:t>
              </w:r>
            </w:hyperlink>
          </w:p>
        </w:tc>
        <w:tc>
          <w:tcPr>
            <w:tcW w:w="46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5"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hyperlink r:id="rId27">
        <w:r>
          <w:rPr>
            <w:rFonts w:ascii="Arial" w:cs="Arial" w:eastAsia="Arial" w:hAnsi="Arial"/>
            <w:sz w:val="18"/>
            <w:szCs w:val="18"/>
            <w:u w:val="single" w:color="auto"/>
            <w:color w:val="0000EE"/>
          </w:rPr>
          <w:t>Annual Report on Form 10-K for the fiscal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5, 2020);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3"/>
        </w:numPr>
        <w:rPr>
          <w:rFonts w:ascii="Arial" w:cs="Arial" w:eastAsia="Arial" w:hAnsi="Arial"/>
          <w:sz w:val="18"/>
          <w:szCs w:val="18"/>
          <w:color w:val="0000EE"/>
        </w:rPr>
      </w:pPr>
      <w:hyperlink r:id="rId28">
        <w:r>
          <w:rPr>
            <w:rFonts w:ascii="Arial" w:cs="Arial" w:eastAsia="Arial" w:hAnsi="Arial"/>
            <w:sz w:val="18"/>
            <w:szCs w:val="18"/>
            <w:color w:val="auto"/>
          </w:rPr>
          <w:t xml:space="preserve">the description of our common stock set forth in </w:t>
        </w:r>
        <w:r>
          <w:rPr>
            <w:rFonts w:ascii="Arial" w:cs="Arial" w:eastAsia="Arial" w:hAnsi="Arial"/>
            <w:sz w:val="18"/>
            <w:szCs w:val="18"/>
            <w:u w:val="single" w:color="auto"/>
            <w:color w:val="0000EE"/>
          </w:rPr>
          <w:t>Exhibit 4.1 to our Annual Report on Form 10-K for the fiscal year ended December 31,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2019 (filed with the SEC on February 5, 2020)</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39"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General Motors Company</w:t>
      </w:r>
    </w:p>
    <w:p>
      <w:pPr>
        <w:spacing w:after="0" w:line="23"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300 Renaissance Center</w:t>
      </w:r>
    </w:p>
    <w:p>
      <w:pPr>
        <w:spacing w:after="0" w:line="9"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Detroit, Michigan 48265-3000</w:t>
      </w:r>
    </w:p>
    <w:p>
      <w:pPr>
        <w:spacing w:after="0" w:line="9"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(313) 667-1500</w:t>
      </w:r>
    </w:p>
    <w:p>
      <w:pPr>
        <w:spacing w:after="0" w:line="211" w:lineRule="exact"/>
        <w:rPr>
          <w:rFonts w:ascii="Arial" w:cs="Arial" w:eastAsia="Arial" w:hAnsi="Arial"/>
          <w:sz w:val="18"/>
          <w:szCs w:val="18"/>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393" w:lineRule="exact"/>
        <w:rPr>
          <w:rFonts w:ascii="Arial" w:cs="Arial" w:eastAsia="Arial" w:hAnsi="Arial"/>
          <w:sz w:val="18"/>
          <w:szCs w:val="18"/>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color w:val="auto"/>
        </w:rPr>
      </w:pPr>
    </w:p>
    <w:p>
      <w:pPr>
        <w:ind w:left="200" w:right="120" w:firstLine="441"/>
        <w:spacing w:after="0" w:line="302" w:lineRule="auto"/>
        <w:rPr>
          <w:rFonts w:ascii="Arial" w:cs="Arial" w:eastAsia="Arial" w:hAnsi="Arial"/>
          <w:sz w:val="16"/>
          <w:szCs w:val="16"/>
          <w:color w:val="0000EE"/>
        </w:rPr>
      </w:pPr>
      <w:r>
        <w:rPr>
          <w:rFonts w:ascii="Arial" w:cs="Arial" w:eastAsia="Arial" w:hAnsi="Arial"/>
          <w:sz w:val="16"/>
          <w:szCs w:val="16"/>
          <w:color w:val="auto"/>
        </w:rPr>
        <w:t xml:space="preserve">Investment in any of the securities involves risk. In addition to all of the other information contained or incorporated by reference into this </w:t>
      </w:r>
      <w:hyperlink r:id="rId27">
        <w:r>
          <w:rPr>
            <w:rFonts w:ascii="Arial" w:cs="Arial" w:eastAsia="Arial" w:hAnsi="Arial"/>
            <w:sz w:val="16"/>
            <w:szCs w:val="16"/>
            <w:color w:val="auto"/>
          </w:rPr>
          <w:t xml:space="preserve">prospectus and the accompanying prospectus supplement, you should carefully consider the risk factors incorporated by reference from our </w:t>
        </w:r>
        <w:r>
          <w:rPr>
            <w:rFonts w:ascii="Arial" w:cs="Arial" w:eastAsia="Arial" w:hAnsi="Arial"/>
            <w:sz w:val="16"/>
            <w:szCs w:val="16"/>
            <w:u w:val="single" w:color="auto"/>
            <w:color w:val="0000EE"/>
          </w:rPr>
          <w:t>Annual</w:t>
        </w:r>
      </w:hyperlink>
      <w:r>
        <w:rPr>
          <w:rFonts w:ascii="Arial" w:cs="Arial" w:eastAsia="Arial" w:hAnsi="Arial"/>
          <w:sz w:val="16"/>
          <w:szCs w:val="16"/>
          <w:color w:val="auto"/>
        </w:rPr>
        <w:t xml:space="preserve"> </w:t>
      </w:r>
      <w:hyperlink r:id="rId27">
        <w:r>
          <w:rPr>
            <w:rFonts w:ascii="Arial" w:cs="Arial" w:eastAsia="Arial" w:hAnsi="Arial"/>
            <w:sz w:val="16"/>
            <w:szCs w:val="16"/>
            <w:u w:val="single" w:color="auto"/>
            <w:color w:val="0000EE"/>
          </w:rPr>
          <w:t>Report on Form 10-K for the year ended December 31, 2019</w:t>
        </w:r>
        <w:r>
          <w:rPr>
            <w:rFonts w:ascii="Arial" w:cs="Arial" w:eastAsia="Arial" w:hAnsi="Arial"/>
            <w:sz w:val="16"/>
            <w:szCs w:val="16"/>
            <w:color w:val="000000"/>
          </w:rPr>
          <w:t xml:space="preserve">, as updated by our subsequent filings under the Exchange Act, including Forms 10-Q </w:t>
        </w:r>
      </w:hyperlink>
      <w:r>
        <w:rPr>
          <w:rFonts w:ascii="Arial" w:cs="Arial" w:eastAsia="Arial" w:hAnsi="Arial"/>
          <w:sz w:val="16"/>
          <w:szCs w:val="16"/>
          <w:color w:val="0000EE"/>
        </w:rPr>
        <w:t xml:space="preserve">and </w:t>
      </w:r>
      <w:r>
        <w:rPr>
          <w:rFonts w:ascii="Arial" w:cs="Arial" w:eastAsia="Arial" w:hAnsi="Arial"/>
          <w:sz w:val="16"/>
          <w:szCs w:val="16"/>
          <w:color w:val="000000"/>
        </w:rPr>
        <w:t>8-K, and the risk factors contained or incorporated by reference into the accompanying prospectus supplement before acquiring any of the securities.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trucks, crossovers, cars and automobile parts worldwide through our automotive segments: GM North America and GM International. Cruise, formerly GM Cruise, is our global segment responsible for the development and commercialization of autonomous vehicle technology. We also provide automotive financing services through General Motors Financial Company, Inc. (GM Financial).</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24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w:t>
      </w:r>
    </w:p>
    <w:p>
      <w:pPr>
        <w:spacing w:after="0" w:line="12" w:lineRule="exact"/>
        <w:rPr>
          <w:sz w:val="20"/>
          <w:szCs w:val="20"/>
          <w:color w:val="auto"/>
        </w:rPr>
      </w:pPr>
    </w:p>
    <w:p>
      <w:pPr>
        <w:ind w:left="200" w:firstLine="4"/>
        <w:spacing w:after="0" w:line="285" w:lineRule="auto"/>
        <w:tabs>
          <w:tab w:leader="none" w:pos="545"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our Annual Report on Form 10-K for the year ended December 31, 2019, as updated by our subsequent filings under the Exchange Act, including Forms 10-Q and 8-K.</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OVERVIEW OF OUR CAPITAL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of January 24, 2020, 1,429,002,063 shares of our common stock were issued and outstanding. The general terms of our common stock are described below within the section of this prospectus entitled “Description of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jc w:val="both"/>
        <w:ind w:left="200" w:right="100" w:firstLine="441"/>
        <w:spacing w:after="0" w:line="277" w:lineRule="auto"/>
        <w:rPr>
          <w:sz w:val="20"/>
          <w:szCs w:val="20"/>
          <w:color w:val="auto"/>
        </w:rPr>
      </w:pPr>
      <w:r>
        <w:rPr>
          <w:rFonts w:ascii="Arial" w:cs="Arial" w:eastAsia="Arial" w:hAnsi="Arial"/>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180" w:right="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180" w:right="300" w:hanging="436"/>
        <w:spacing w:after="0" w:line="308"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24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58"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date or dates on which principal and premium, if any, of the debt securities of that series, or any tranche thereof, is payable;</w:t>
      </w:r>
    </w:p>
    <w:p>
      <w:pPr>
        <w:spacing w:after="0" w:line="142" w:lineRule="exact"/>
        <w:rPr>
          <w:rFonts w:ascii="Arial" w:cs="Arial" w:eastAsia="Arial" w:hAnsi="Arial"/>
          <w:sz w:val="17"/>
          <w:szCs w:val="17"/>
          <w:color w:val="auto"/>
        </w:rPr>
      </w:pPr>
    </w:p>
    <w:p>
      <w:pPr>
        <w:ind w:left="1180" w:right="420" w:hanging="436"/>
        <w:spacing w:after="0" w:line="308"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31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2" w:lineRule="exact"/>
        <w:rPr>
          <w:rFonts w:ascii="Arial" w:cs="Arial" w:eastAsia="Arial" w:hAnsi="Arial"/>
          <w:sz w:val="16"/>
          <w:szCs w:val="16"/>
          <w:color w:val="auto"/>
        </w:rPr>
      </w:pPr>
    </w:p>
    <w:p>
      <w:pPr>
        <w:ind w:left="1180" w:hanging="436"/>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if any, on which the debt securities of that series will be subordinate in right and priority of payment to any of our other debt;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180" w:right="140" w:hanging="436"/>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225"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76" w:lineRule="exact"/>
        <w:rPr>
          <w:sz w:val="20"/>
          <w:szCs w:val="20"/>
          <w:color w:val="auto"/>
        </w:rPr>
      </w:pPr>
    </w:p>
    <w:p>
      <w:pPr>
        <w:ind w:left="1180" w:hanging="544"/>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70" w:lineRule="auto"/>
        <w:rPr>
          <w:sz w:val="20"/>
          <w:szCs w:val="20"/>
          <w:color w:val="auto"/>
        </w:rPr>
      </w:pPr>
      <w:r>
        <w:rPr>
          <w:rFonts w:ascii="Arial" w:cs="Arial" w:eastAsia="Arial" w:hAnsi="Arial"/>
          <w:sz w:val="17"/>
          <w:szCs w:val="17"/>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87" w:lineRule="exact"/>
        <w:rPr>
          <w:sz w:val="20"/>
          <w:szCs w:val="20"/>
          <w:color w:val="auto"/>
        </w:rPr>
      </w:pPr>
    </w:p>
    <w:p>
      <w:pPr>
        <w:ind w:left="1180" w:hanging="54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180" w:right="480" w:hanging="544"/>
        <w:spacing w:after="0" w:line="34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180" w:right="60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180" w:right="200" w:hanging="544"/>
        <w:spacing w:after="0" w:line="259"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280" w:right="380" w:hanging="644"/>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153" w:lineRule="exact"/>
        <w:rPr>
          <w:rFonts w:ascii="Arial" w:cs="Arial" w:eastAsia="Arial" w:hAnsi="Arial"/>
          <w:sz w:val="16"/>
          <w:szCs w:val="16"/>
          <w:color w:val="auto"/>
        </w:rPr>
      </w:pPr>
    </w:p>
    <w:p>
      <w:pPr>
        <w:ind w:left="1620" w:right="600" w:hanging="322"/>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200"/>
        <w:spacing w:after="0" w:line="259" w:lineRule="auto"/>
        <w:rPr>
          <w:sz w:val="20"/>
          <w:szCs w:val="20"/>
          <w:color w:val="auto"/>
        </w:rPr>
      </w:pPr>
      <w:r>
        <w:rPr>
          <w:rFonts w:ascii="Arial" w:cs="Arial" w:eastAsia="Arial" w:hAnsi="Arial"/>
          <w:sz w:val="18"/>
          <w:szCs w:val="18"/>
          <w:color w:val="auto"/>
        </w:rPr>
        <w:t>in each case, in the opinion of a nationally recognized firm of independent certified public accountants, expressed in a written certification delivered to the trustee,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2" w:lineRule="exact"/>
        <w:rPr>
          <w:sz w:val="20"/>
          <w:szCs w:val="20"/>
          <w:color w:val="auto"/>
        </w:rPr>
      </w:pPr>
    </w:p>
    <w:p>
      <w:pPr>
        <w:ind w:left="1280" w:right="40" w:hanging="644"/>
        <w:spacing w:after="0" w:line="279"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76" w:lineRule="exact"/>
        <w:rPr>
          <w:rFonts w:ascii="Arial" w:cs="Arial" w:eastAsia="Arial" w:hAnsi="Arial"/>
          <w:sz w:val="17"/>
          <w:szCs w:val="17"/>
          <w:color w:val="auto"/>
        </w:rPr>
      </w:pPr>
    </w:p>
    <w:p>
      <w:pPr>
        <w:ind w:left="1280" w:right="40" w:hanging="644"/>
        <w:spacing w:after="0" w:line="259"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92" w:lineRule="exact"/>
        <w:rPr>
          <w:rFonts w:ascii="Arial" w:cs="Arial" w:eastAsia="Arial" w:hAnsi="Arial"/>
          <w:sz w:val="18"/>
          <w:szCs w:val="18"/>
          <w:color w:val="auto"/>
        </w:rPr>
      </w:pPr>
    </w:p>
    <w:p>
      <w:pPr>
        <w:ind w:left="1280" w:right="700" w:hanging="644"/>
        <w:spacing w:after="0" w:line="27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75" w:lineRule="exact"/>
        <w:rPr>
          <w:rFonts w:ascii="Arial" w:cs="Arial" w:eastAsia="Arial" w:hAnsi="Arial"/>
          <w:sz w:val="18"/>
          <w:szCs w:val="18"/>
          <w:color w:val="auto"/>
        </w:rPr>
      </w:pPr>
    </w:p>
    <w:p>
      <w:pPr>
        <w:ind w:left="1280" w:right="80" w:hanging="644"/>
        <w:spacing w:after="0" w:line="264"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6" w:lineRule="exact"/>
        <w:rPr>
          <w:rFonts w:ascii="Arial" w:cs="Arial" w:eastAsia="Arial" w:hAnsi="Arial"/>
          <w:sz w:val="18"/>
          <w:szCs w:val="18"/>
          <w:color w:val="auto"/>
        </w:rPr>
      </w:pPr>
    </w:p>
    <w:p>
      <w:pPr>
        <w:ind w:left="1280" w:right="240" w:hanging="644"/>
        <w:spacing w:after="0" w:line="27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agreement whereby we irrevocably agree to forfeit our rights, if any, to extend the interest payment periods on such debt securities pursuant to the indenture;</w:t>
      </w:r>
    </w:p>
    <w:p>
      <w:pPr>
        <w:spacing w:after="0" w:line="75" w:lineRule="exact"/>
        <w:rPr>
          <w:rFonts w:ascii="Arial" w:cs="Arial" w:eastAsia="Arial" w:hAnsi="Arial"/>
          <w:sz w:val="18"/>
          <w:szCs w:val="18"/>
          <w:color w:val="auto"/>
        </w:rPr>
      </w:pPr>
    </w:p>
    <w:p>
      <w:pPr>
        <w:ind w:left="1280" w:right="120" w:hanging="644"/>
        <w:spacing w:after="0" w:line="312"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52" w:lineRule="exact"/>
        <w:rPr>
          <w:rFonts w:ascii="Arial" w:cs="Arial" w:eastAsia="Arial" w:hAnsi="Arial"/>
          <w:sz w:val="16"/>
          <w:szCs w:val="16"/>
          <w:color w:val="auto"/>
        </w:rPr>
      </w:pPr>
    </w:p>
    <w:p>
      <w:pPr>
        <w:ind w:left="1280" w:right="120" w:hanging="644"/>
        <w:spacing w:after="0" w:line="27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75" w:lineRule="exact"/>
        <w:rPr>
          <w:rFonts w:ascii="Arial" w:cs="Arial" w:eastAsia="Arial" w:hAnsi="Arial"/>
          <w:sz w:val="18"/>
          <w:szCs w:val="18"/>
          <w:color w:val="auto"/>
        </w:rPr>
      </w:pPr>
    </w:p>
    <w:p>
      <w:pPr>
        <w:ind w:left="1280" w:right="140" w:hanging="644"/>
        <w:spacing w:after="0" w:line="297"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76" w:lineRule="exact"/>
        <w:rPr>
          <w:sz w:val="20"/>
          <w:szCs w:val="20"/>
          <w:color w:val="auto"/>
        </w:rPr>
      </w:pPr>
    </w:p>
    <w:p>
      <w:pPr>
        <w:ind w:left="1180" w:right="60" w:hanging="544"/>
        <w:spacing w:after="0" w:line="312"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76" w:lineRule="exact"/>
        <w:rPr>
          <w:sz w:val="20"/>
          <w:szCs w:val="20"/>
          <w:color w:val="auto"/>
        </w:rPr>
      </w:pPr>
    </w:p>
    <w:p>
      <w:pPr>
        <w:ind w:left="1180" w:right="520" w:hanging="544"/>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the consent of the holder of each outstanding debt security so affected, no such supplemental indenture may:</w:t>
      </w:r>
    </w:p>
    <w:p>
      <w:pPr>
        <w:spacing w:after="0" w:line="87" w:lineRule="exact"/>
        <w:rPr>
          <w:sz w:val="20"/>
          <w:szCs w:val="20"/>
          <w:color w:val="auto"/>
        </w:rPr>
      </w:pPr>
    </w:p>
    <w:p>
      <w:pPr>
        <w:ind w:left="1180" w:right="80" w:hanging="544"/>
        <w:spacing w:after="0" w:line="291"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72" w:lineRule="exact"/>
        <w:rPr>
          <w:rFonts w:ascii="Arial" w:cs="Arial" w:eastAsia="Arial" w:hAnsi="Arial"/>
          <w:sz w:val="16"/>
          <w:szCs w:val="16"/>
          <w:color w:val="auto"/>
        </w:rPr>
      </w:pPr>
    </w:p>
    <w:p>
      <w:pPr>
        <w:ind w:left="1180" w:right="100" w:hanging="544"/>
        <w:spacing w:after="0" w:line="286"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70" w:lineRule="exact"/>
        <w:rPr>
          <w:rFonts w:ascii="Arial" w:cs="Arial" w:eastAsia="Arial" w:hAnsi="Arial"/>
          <w:sz w:val="17"/>
          <w:szCs w:val="17"/>
          <w:color w:val="auto"/>
        </w:rPr>
      </w:pPr>
    </w:p>
    <w:p>
      <w:pPr>
        <w:ind w:left="1180" w:right="440" w:hanging="544"/>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76" w:lineRule="exact"/>
        <w:rPr>
          <w:sz w:val="20"/>
          <w:szCs w:val="20"/>
          <w:color w:val="auto"/>
        </w:rPr>
      </w:pPr>
    </w:p>
    <w:p>
      <w:pPr>
        <w:ind w:left="1280" w:right="140" w:hanging="64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w:t>
      </w:r>
    </w:p>
    <w:p>
      <w:pPr>
        <w:spacing w:after="0" w:line="75" w:lineRule="exact"/>
        <w:rPr>
          <w:rFonts w:ascii="Arial" w:cs="Arial" w:eastAsia="Arial" w:hAnsi="Arial"/>
          <w:sz w:val="18"/>
          <w:szCs w:val="18"/>
          <w:color w:val="auto"/>
        </w:rPr>
      </w:pPr>
    </w:p>
    <w:p>
      <w:pPr>
        <w:ind w:left="1280" w:right="320" w:hanging="64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w:t>
      </w:r>
    </w:p>
    <w:p>
      <w:pPr>
        <w:spacing w:after="0" w:line="75" w:lineRule="exact"/>
        <w:rPr>
          <w:rFonts w:ascii="Arial" w:cs="Arial" w:eastAsia="Arial" w:hAnsi="Arial"/>
          <w:sz w:val="18"/>
          <w:szCs w:val="18"/>
          <w:color w:val="auto"/>
        </w:rPr>
      </w:pPr>
    </w:p>
    <w:p>
      <w:pPr>
        <w:ind w:left="1280" w:hanging="64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w:t>
      </w:r>
    </w:p>
    <w:p>
      <w:pPr>
        <w:spacing w:after="0" w:line="130" w:lineRule="exact"/>
        <w:rPr>
          <w:rFonts w:ascii="Arial" w:cs="Arial" w:eastAsia="Arial" w:hAnsi="Arial"/>
          <w:sz w:val="18"/>
          <w:szCs w:val="18"/>
          <w:color w:val="auto"/>
        </w:rPr>
      </w:pPr>
    </w:p>
    <w:p>
      <w:pPr>
        <w:jc w:val="both"/>
        <w:ind w:left="1280" w:right="180" w:hanging="644"/>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6" w:lineRule="exact"/>
        <w:rPr>
          <w:rFonts w:ascii="Arial" w:cs="Arial" w:eastAsia="Arial" w:hAnsi="Arial"/>
          <w:sz w:val="18"/>
          <w:szCs w:val="18"/>
          <w:color w:val="auto"/>
        </w:rPr>
      </w:pPr>
    </w:p>
    <w:p>
      <w:pPr>
        <w:ind w:left="1280" w:right="300" w:hanging="644"/>
        <w:spacing w:after="0" w:line="288"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indenture, or to add any new provision to the indenture, in respect of one or more series of debt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change, elimination or addition either (A) shall neither (i) apply to any debt security of any series created prior to the execution of such supplemental indenture and entitled to the benefit of such provision nor</w:t>
      </w:r>
    </w:p>
    <w:p>
      <w:pPr>
        <w:ind w:left="1280" w:right="80"/>
        <w:spacing w:after="0" w:line="261" w:lineRule="auto"/>
        <w:rPr>
          <w:rFonts w:ascii="Arial" w:cs="Arial" w:eastAsia="Arial" w:hAnsi="Arial"/>
          <w:sz w:val="16"/>
          <w:szCs w:val="16"/>
          <w:color w:val="auto"/>
        </w:rPr>
      </w:pPr>
      <w:r>
        <w:rPr>
          <w:rFonts w:ascii="Arial" w:cs="Arial" w:eastAsia="Arial" w:hAnsi="Arial"/>
          <w:sz w:val="18"/>
          <w:szCs w:val="18"/>
          <w:color w:val="auto"/>
        </w:rPr>
        <w:t>(ii) modify the rights of the holder of any such debt security with respect to such provision or (B) shall become effective only when there is no such debt security outstanding;</w:t>
      </w:r>
    </w:p>
    <w:p>
      <w:pPr>
        <w:spacing w:after="0" w:line="89" w:lineRule="exact"/>
        <w:rPr>
          <w:rFonts w:ascii="Arial" w:cs="Arial" w:eastAsia="Arial" w:hAnsi="Arial"/>
          <w:sz w:val="16"/>
          <w:szCs w:val="16"/>
          <w:color w:val="auto"/>
        </w:rPr>
      </w:pPr>
    </w:p>
    <w:p>
      <w:pPr>
        <w:ind w:left="1280" w:right="680" w:hanging="64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w:t>
      </w:r>
    </w:p>
    <w:p>
      <w:pPr>
        <w:spacing w:after="0" w:line="75" w:lineRule="exact"/>
        <w:rPr>
          <w:rFonts w:ascii="Arial" w:cs="Arial" w:eastAsia="Arial" w:hAnsi="Arial"/>
          <w:sz w:val="18"/>
          <w:szCs w:val="18"/>
          <w:color w:val="auto"/>
        </w:rPr>
      </w:pPr>
    </w:p>
    <w:p>
      <w:pPr>
        <w:ind w:left="1280" w:right="160" w:hanging="64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w:t>
      </w:r>
    </w:p>
    <w:p>
      <w:pPr>
        <w:spacing w:after="0" w:line="75" w:lineRule="exact"/>
        <w:rPr>
          <w:rFonts w:ascii="Arial" w:cs="Arial" w:eastAsia="Arial" w:hAnsi="Arial"/>
          <w:sz w:val="18"/>
          <w:szCs w:val="18"/>
          <w:color w:val="auto"/>
        </w:rPr>
      </w:pPr>
    </w:p>
    <w:p>
      <w:pPr>
        <w:ind w:left="1280" w:hanging="644"/>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w:t>
      </w:r>
    </w:p>
    <w:p>
      <w:pPr>
        <w:spacing w:after="0" w:line="142" w:lineRule="exact"/>
        <w:rPr>
          <w:rFonts w:ascii="Arial" w:cs="Arial" w:eastAsia="Arial" w:hAnsi="Arial"/>
          <w:sz w:val="17"/>
          <w:szCs w:val="17"/>
          <w:color w:val="auto"/>
        </w:rPr>
      </w:pPr>
    </w:p>
    <w:p>
      <w:pPr>
        <w:ind w:left="1280" w:right="20" w:hanging="644"/>
        <w:spacing w:after="0" w:line="286"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70" w:lineRule="exact"/>
        <w:rPr>
          <w:rFonts w:ascii="Arial" w:cs="Arial" w:eastAsia="Arial" w:hAnsi="Arial"/>
          <w:sz w:val="17"/>
          <w:szCs w:val="17"/>
          <w:color w:val="auto"/>
        </w:rPr>
      </w:pPr>
    </w:p>
    <w:p>
      <w:pPr>
        <w:ind w:left="1280" w:hanging="64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a separate trustee or co-trustee;</w:t>
      </w:r>
    </w:p>
    <w:p>
      <w:pPr>
        <w:spacing w:after="0" w:line="130" w:lineRule="exact"/>
        <w:rPr>
          <w:rFonts w:ascii="Arial" w:cs="Arial" w:eastAsia="Arial" w:hAnsi="Arial"/>
          <w:sz w:val="18"/>
          <w:szCs w:val="18"/>
          <w:color w:val="auto"/>
        </w:rPr>
      </w:pPr>
    </w:p>
    <w:p>
      <w:pPr>
        <w:ind w:left="1280" w:hanging="644"/>
        <w:spacing w:after="0" w:line="259"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92" w:lineRule="exact"/>
        <w:rPr>
          <w:rFonts w:ascii="Arial" w:cs="Arial" w:eastAsia="Arial" w:hAnsi="Arial"/>
          <w:sz w:val="18"/>
          <w:szCs w:val="18"/>
          <w:color w:val="auto"/>
        </w:rPr>
      </w:pPr>
    </w:p>
    <w:p>
      <w:pPr>
        <w:ind w:left="1280" w:right="300" w:hanging="644"/>
        <w:spacing w:after="0" w:line="259"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92" w:lineRule="exact"/>
        <w:rPr>
          <w:rFonts w:ascii="Arial" w:cs="Arial" w:eastAsia="Arial" w:hAnsi="Arial"/>
          <w:sz w:val="18"/>
          <w:szCs w:val="18"/>
          <w:color w:val="auto"/>
        </w:rPr>
      </w:pPr>
    </w:p>
    <w:p>
      <w:pPr>
        <w:jc w:val="both"/>
        <w:ind w:left="1280" w:right="380" w:hanging="644"/>
        <w:spacing w:after="0" w:line="342"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29" w:lineRule="exact"/>
        <w:rPr>
          <w:rFonts w:ascii="Arial" w:cs="Arial" w:eastAsia="Arial" w:hAnsi="Arial"/>
          <w:sz w:val="16"/>
          <w:szCs w:val="16"/>
          <w:color w:val="auto"/>
        </w:rPr>
      </w:pPr>
    </w:p>
    <w:p>
      <w:pPr>
        <w:ind w:left="1280" w:right="120" w:hanging="644"/>
        <w:spacing w:after="0" w:line="308"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80" w:right="60" w:hanging="644"/>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to make any other provisions with respect to matters or questions arising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9" w:lineRule="exact"/>
        <w:rPr>
          <w:sz w:val="20"/>
          <w:szCs w:val="20"/>
          <w:color w:val="auto"/>
        </w:rPr>
      </w:pPr>
    </w:p>
    <w:p>
      <w:pPr>
        <w:ind w:left="1180" w:right="60" w:hanging="544"/>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default in the payment of interest on any debt security of that series when it becomes due and payable, and continuance of such default for a period of 30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w:t>
      </w:r>
    </w:p>
    <w:p>
      <w:pPr>
        <w:spacing w:after="0" w:line="75"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93"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6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69"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29"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180" w:right="2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 event of default has occurred and is continuing with respect to more than one series of debt securities of equal ranking,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jc w:val="both"/>
        <w:ind w:left="200" w:right="300" w:firstLine="441"/>
        <w:spacing w:after="0" w:line="279" w:lineRule="auto"/>
        <w:rPr>
          <w:sz w:val="20"/>
          <w:szCs w:val="20"/>
          <w:color w:val="auto"/>
        </w:rPr>
      </w:pPr>
      <w:r>
        <w:rPr>
          <w:rFonts w:ascii="Arial" w:cs="Arial" w:eastAsia="Arial" w:hAnsi="Arial"/>
          <w:sz w:val="17"/>
          <w:szCs w:val="17"/>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80" w:right="20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jc w:val="both"/>
        <w:ind w:left="1180" w:right="200" w:hanging="436"/>
        <w:spacing w:after="0" w:line="286"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54"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180" w:right="6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24, 2020, there were no shares of preferred stock outstanding. The terms of any shares of preferred stock offered pursuant to this prospectus will be set forth in an applicable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Honigman LLP.</w:t>
      </w: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The consolidated financial statements of General Motors Company as of and for the years ended December 31, 2019 and 2018, incorporated in this Prospectus by reference from the Company’s </w:t>
      </w:r>
      <w:hyperlink r:id="rId27">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auto"/>
        </w:rPr>
        <w:t>, and the effectiveness of General Motors Company’s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8" w:lineRule="exact"/>
        <w:rPr>
          <w:sz w:val="20"/>
          <w:szCs w:val="20"/>
          <w:color w:val="auto"/>
        </w:rPr>
      </w:pPr>
    </w:p>
    <w:p>
      <w:pPr>
        <w:ind w:left="200" w:right="120" w:firstLine="441"/>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financial statements of General Motors Company as of and for the year ended December 31, 2017, incorporated in this Prospectus by reference from the Company’s </w:t>
      </w:r>
      <w:hyperlink r:id="rId27">
        <w:r>
          <w:rPr>
            <w:rFonts w:ascii="Arial" w:cs="Arial" w:eastAsia="Arial" w:hAnsi="Arial"/>
            <w:sz w:val="17"/>
            <w:szCs w:val="17"/>
            <w:u w:val="single" w:color="auto"/>
            <w:color w:val="0000EE"/>
          </w:rPr>
          <w:t>Annual Report on Form 10-K for the year ended December 31, 2019</w:t>
        </w:r>
      </w:hyperlink>
      <w:r>
        <w:rPr>
          <w:rFonts w:ascii="Arial" w:cs="Arial" w:eastAsia="Arial" w:hAnsi="Arial"/>
          <w:sz w:val="17"/>
          <w:szCs w:val="17"/>
          <w:color w:val="auto"/>
        </w:rPr>
        <w:t>,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file annual, quarterly and special reports, proxy statements and other information with the SEC. Our SEC filings are available to the public through the Internet at the SEC’s website at http://www.sec.gov.</w:t>
      </w:r>
    </w:p>
    <w:p>
      <w:pPr>
        <w:spacing w:after="0" w:line="170"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sets forth the various expenses we have incurred or expect to incur in connection with the sale of the securities registered pursuant to this registration statement.</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Printing and engraving costs</w:t>
            </w:r>
          </w:p>
        </w:tc>
        <w:tc>
          <w:tcPr>
            <w:tcW w:w="2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Miscellaneous</w:t>
            </w:r>
          </w:p>
        </w:tc>
        <w:tc>
          <w:tcPr>
            <w:tcW w:w="2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23"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36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Under Section 145 of the Delaware General Corporation Law, General Motors Company (General Motors) is empowered to indemnify its directors and officers as provided therein.</w:t>
      </w:r>
    </w:p>
    <w:p>
      <w:pPr>
        <w:spacing w:after="0" w:line="170"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Article V of its Amended and Restated Bylaws (the Bylaws), General Motors shall indemnify and advance expenses to every current or former director and officer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below with respect to proceedings to enforce rights to indemnification, General Motors shall not be required to indemnify a person in connection with a proceeding (or part thereof) initiated by such person if the proceeding (or part thereof) was not authorized by the Board of Directors of General Motors. For purposes of these provisions, “officer” means a person elected or appointed to an officer position by resolution of the Board of Directors of General Motors or an authorized committee thereof.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 xml:space="preserve">General Motors shall pay the expenses of an indemnitee incurred in defending any proceeding in advance of its final disposition (advancement of expenses);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Article V of the Bylaws or applicable law. If a claim for indemnification or advancement of expenses by an indemnitee under Article V of the Bylaws is not paid in full within ninety days after a written claim therefor has been received by General Motors, the indemnitee may file suit to recover the unpaid amount of such claim and, if successful in whole or in part, shall be entitled to be paid the expense of prosecuting such claim. In any such action, General Motors shall have the burden of proving that the indemnitee was not entitled to the requested indemnification or advancement of expenses under applicable law.</w:t>
      </w:r>
    </w:p>
    <w:p>
      <w:pPr>
        <w:spacing w:after="0" w:line="166"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2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92" w:lineRule="exact"/>
        <w:rPr>
          <w:sz w:val="20"/>
          <w:szCs w:val="20"/>
          <w:color w:val="auto"/>
        </w:rPr>
      </w:pPr>
    </w:p>
    <w:p>
      <w:pPr>
        <w:jc w:val="both"/>
        <w:ind w:left="200" w:right="100" w:firstLine="441"/>
        <w:spacing w:after="0" w:line="342" w:lineRule="auto"/>
        <w:rPr>
          <w:sz w:val="20"/>
          <w:szCs w:val="20"/>
          <w:color w:val="auto"/>
        </w:rPr>
      </w:pPr>
      <w:r>
        <w:rPr>
          <w:rFonts w:ascii="Arial" w:cs="Arial" w:eastAsia="Arial" w:hAnsi="Arial"/>
          <w:sz w:val="16"/>
          <w:szCs w:val="16"/>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24"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32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 II-2</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620" w:right="40" w:hanging="430"/>
        <w:spacing w:after="0" w:line="291" w:lineRule="auto"/>
        <w:tabs>
          <w:tab w:leader="none" w:pos="16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2" w:lineRule="exact"/>
        <w:rPr>
          <w:rFonts w:ascii="Arial" w:cs="Arial" w:eastAsia="Arial" w:hAnsi="Arial"/>
          <w:sz w:val="16"/>
          <w:szCs w:val="16"/>
          <w:color w:val="auto"/>
        </w:rPr>
      </w:pPr>
    </w:p>
    <w:p>
      <w:pPr>
        <w:ind w:left="1620" w:right="120" w:hanging="430"/>
        <w:spacing w:after="0" w:line="277" w:lineRule="auto"/>
        <w:tabs>
          <w:tab w:leader="none" w:pos="16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registration statement is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7" w:lineRule="exact"/>
        <w:rPr>
          <w:sz w:val="20"/>
          <w:szCs w:val="20"/>
          <w:color w:val="auto"/>
        </w:rPr>
      </w:pPr>
    </w:p>
    <w:p>
      <w:pPr>
        <w:ind w:left="1180" w:hanging="544"/>
        <w:spacing w:after="0" w:line="26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30" w:lineRule="exact"/>
        <w:rPr>
          <w:rFonts w:ascii="Arial" w:cs="Arial" w:eastAsia="Arial" w:hAnsi="Arial"/>
          <w:sz w:val="18"/>
          <w:szCs w:val="18"/>
          <w:color w:val="auto"/>
        </w:rPr>
      </w:pPr>
    </w:p>
    <w:p>
      <w:pPr>
        <w:ind w:left="2180" w:right="20" w:hanging="545"/>
        <w:spacing w:after="0" w:line="277" w:lineRule="auto"/>
        <w:tabs>
          <w:tab w:leader="none" w:pos="21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180" w:hanging="545"/>
        <w:spacing w:after="0" w:line="271" w:lineRule="auto"/>
        <w:tabs>
          <w:tab w:leader="none" w:pos="2180" w:val="left"/>
        </w:tabs>
        <w:numPr>
          <w:ilvl w:val="2"/>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80" w:right="20"/>
        <w:spacing w:after="0" w:line="297" w:lineRule="auto"/>
        <w:rPr>
          <w:sz w:val="20"/>
          <w:szCs w:val="20"/>
          <w:color w:val="auto"/>
        </w:rPr>
      </w:pPr>
      <w:r>
        <w:rPr>
          <w:rFonts w:ascii="Arial" w:cs="Arial" w:eastAsia="Arial" w:hAnsi="Arial"/>
          <w:sz w:val="16"/>
          <w:szCs w:val="16"/>
          <w:color w:val="auto"/>
        </w:rPr>
        <w:t xml:space="preserve">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64" w:lineRule="exact"/>
        <w:rPr>
          <w:sz w:val="20"/>
          <w:szCs w:val="20"/>
          <w:color w:val="auto"/>
        </w:rPr>
      </w:pPr>
    </w:p>
    <w:p>
      <w:pPr>
        <w:ind w:left="1180" w:right="60" w:hanging="544"/>
        <w:spacing w:after="0" w:line="276" w:lineRule="auto"/>
        <w:tabs>
          <w:tab w:leader="none" w:pos="11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620" w:right="40" w:hanging="430"/>
        <w:spacing w:after="0" w:line="277" w:lineRule="auto"/>
        <w:tabs>
          <w:tab w:leader="none" w:pos="1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100" w:hanging="430"/>
        <w:spacing w:after="0" w:line="277" w:lineRule="auto"/>
        <w:tabs>
          <w:tab w:leader="none" w:pos="1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right="460" w:hanging="430"/>
        <w:spacing w:after="0" w:line="277" w:lineRule="auto"/>
        <w:tabs>
          <w:tab w:leader="none" w:pos="1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640" w:hanging="436"/>
        <w:spacing w:after="0" w:line="25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640" w:right="20" w:hanging="436"/>
        <w:spacing w:after="0" w:line="271"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160" w:type="dxa"/>
            <w:vAlign w:val="bottom"/>
            <w:gridSpan w:val="9"/>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1000" w:type="dxa"/>
            <w:vAlign w:val="bottom"/>
          </w:tcPr>
          <w:p>
            <w:pPr>
              <w:jc w:val="right"/>
              <w:ind w:right="472"/>
              <w:spacing w:after="0"/>
              <w:rPr>
                <w:sz w:val="20"/>
                <w:szCs w:val="20"/>
                <w:color w:val="auto"/>
              </w:rPr>
            </w:pPr>
            <w:r>
              <w:rPr>
                <w:rFonts w:ascii="Arial" w:cs="Arial" w:eastAsia="Arial" w:hAnsi="Arial"/>
                <w:sz w:val="14"/>
                <w:szCs w:val="14"/>
                <w:color w:val="auto"/>
                <w:w w:val="99"/>
              </w:rPr>
              <w:t>Exhibit</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000" w:type="dxa"/>
            <w:vAlign w:val="bottom"/>
          </w:tcPr>
          <w:p>
            <w:pPr>
              <w:jc w:val="right"/>
              <w:ind w:right="572"/>
              <w:spacing w:after="0"/>
              <w:rPr>
                <w:sz w:val="20"/>
                <w:szCs w:val="20"/>
                <w:color w:val="auto"/>
              </w:rPr>
            </w:pPr>
            <w:r>
              <w:rPr>
                <w:rFonts w:ascii="Arial" w:cs="Arial" w:eastAsia="Arial" w:hAnsi="Arial"/>
                <w:sz w:val="14"/>
                <w:szCs w:val="14"/>
                <w:color w:val="auto"/>
              </w:rPr>
              <w:t>No.</w:t>
            </w: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40" w:type="dxa"/>
            <w:vAlign w:val="bottom"/>
            <w:gridSpan w:val="7"/>
          </w:tcPr>
          <w:p>
            <w:pPr>
              <w:ind w:left="80"/>
              <w:spacing w:after="0"/>
              <w:rPr>
                <w:sz w:val="20"/>
                <w:szCs w:val="20"/>
                <w:color w:val="auto"/>
              </w:rPr>
            </w:pPr>
            <w:r>
              <w:rPr>
                <w:rFonts w:ascii="Arial" w:cs="Arial" w:eastAsia="Arial" w:hAnsi="Arial"/>
                <w:sz w:val="14"/>
                <w:szCs w:val="14"/>
                <w:color w:val="auto"/>
              </w:rPr>
              <w:t>Description</w:t>
            </w:r>
          </w:p>
        </w:tc>
      </w:tr>
      <w:tr>
        <w:trPr>
          <w:trHeight w:val="309"/>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1.1</w:t>
            </w:r>
          </w:p>
        </w:tc>
        <w:tc>
          <w:tcPr>
            <w:tcW w:w="994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4.1</w:t>
            </w:r>
          </w:p>
        </w:tc>
        <w:tc>
          <w:tcPr>
            <w:tcW w:w="9940" w:type="dxa"/>
            <w:vAlign w:val="bottom"/>
            <w:gridSpan w:val="14"/>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Restated Certificate of Incorporation of General Motors Company dated December 7, 2010, incorporated herein by reference to Exhibit</w:t>
              </w:r>
            </w:hyperlink>
          </w:p>
        </w:tc>
      </w:tr>
      <w:tr>
        <w:trPr>
          <w:trHeight w:val="196"/>
        </w:trPr>
        <w:tc>
          <w:tcPr>
            <w:tcW w:w="100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Current Report on Form 8-K of General Motors Company filed December 13, 2010</w:t>
              </w:r>
            </w:hyperlink>
          </w:p>
        </w:tc>
        <w:tc>
          <w:tcPr>
            <w:tcW w:w="14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4.2</w:t>
            </w:r>
          </w:p>
        </w:tc>
        <w:tc>
          <w:tcPr>
            <w:tcW w:w="9940" w:type="dxa"/>
            <w:vAlign w:val="bottom"/>
            <w:gridSpan w:val="14"/>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General Motors Company Amended and Restated Bylaws, as amended August 14, 2018, incorporated by reference to Exhibit 3.1 to the</w:t>
              </w:r>
            </w:hyperlink>
          </w:p>
        </w:tc>
      </w:tr>
      <w:tr>
        <w:trPr>
          <w:trHeight w:val="196"/>
        </w:trPr>
        <w:tc>
          <w:tcPr>
            <w:tcW w:w="1000" w:type="dxa"/>
            <w:vAlign w:val="bottom"/>
          </w:tcPr>
          <w:p>
            <w:pPr>
              <w:spacing w:after="0"/>
              <w:rPr>
                <w:sz w:val="17"/>
                <w:szCs w:val="17"/>
                <w:color w:val="auto"/>
              </w:rPr>
            </w:pPr>
          </w:p>
        </w:tc>
        <w:tc>
          <w:tcPr>
            <w:tcW w:w="9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Current Report on Form 8-K of General Motors Company filed August 20, 2018</w:t>
              </w:r>
            </w:hyperlink>
          </w:p>
        </w:tc>
        <w:tc>
          <w:tcPr>
            <w:tcW w:w="1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4.3</w:t>
            </w:r>
          </w:p>
        </w:tc>
        <w:tc>
          <w:tcPr>
            <w:tcW w:w="9120" w:type="dxa"/>
            <w:vAlign w:val="bottom"/>
            <w:tcBorders>
              <w:bottom w:val="single" w:sz="8" w:color="0000EE"/>
            </w:tcBorders>
            <w:gridSpan w:val="10"/>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Indenture, dated as of September 27, 2013, between General Motors Company and The Bank of New York Mellon, as trustee,</w:t>
              </w:r>
            </w:hyperlink>
          </w:p>
        </w:tc>
        <w:tc>
          <w:tcPr>
            <w:tcW w:w="8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incorporated herein by reference to Exhibit 4.2 to the Registration Statement on Form S-3 (No. 333-195601) of General Motors Company</w:t>
              </w:r>
            </w:hyperlink>
          </w:p>
        </w:tc>
      </w:tr>
      <w:tr>
        <w:trPr>
          <w:trHeight w:val="196"/>
        </w:trPr>
        <w:tc>
          <w:tcPr>
            <w:tcW w:w="100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filed April 30, 2014</w:t>
              </w:r>
            </w:hyperlink>
          </w:p>
        </w:tc>
        <w:tc>
          <w:tcPr>
            <w:tcW w:w="8500" w:type="dxa"/>
            <w:vAlign w:val="bottom"/>
            <w:gridSpan w:val="13"/>
          </w:tcPr>
          <w:p>
            <w:pPr>
              <w:spacing w:after="0"/>
              <w:rPr>
                <w:sz w:val="17"/>
                <w:szCs w:val="17"/>
                <w:color w:val="auto"/>
              </w:rPr>
            </w:pPr>
          </w:p>
        </w:tc>
      </w:tr>
      <w:tr>
        <w:trPr>
          <w:trHeight w:val="345"/>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4.4</w:t>
            </w:r>
          </w:p>
        </w:tc>
        <w:tc>
          <w:tcPr>
            <w:tcW w:w="9940" w:type="dxa"/>
            <w:vAlign w:val="bottom"/>
            <w:gridSpan w:val="14"/>
          </w:tcPr>
          <w:p>
            <w:pPr>
              <w:spacing w:after="0"/>
              <w:rPr>
                <w:sz w:val="20"/>
                <w:szCs w:val="20"/>
                <w:color w:val="auto"/>
              </w:rPr>
            </w:pPr>
            <w:r>
              <w:rPr>
                <w:rFonts w:ascii="Arial" w:cs="Arial" w:eastAsia="Arial" w:hAnsi="Arial"/>
                <w:sz w:val="18"/>
                <w:szCs w:val="18"/>
                <w:color w:val="auto"/>
              </w:rPr>
              <w:t>Form of Supplemental Indenture for Debt Securities†</w:t>
            </w:r>
          </w:p>
        </w:tc>
      </w:tr>
      <w:tr>
        <w:trPr>
          <w:trHeight w:val="32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4.5</w:t>
            </w:r>
          </w:p>
        </w:tc>
        <w:tc>
          <w:tcPr>
            <w:tcW w:w="9940" w:type="dxa"/>
            <w:vAlign w:val="bottom"/>
            <w:gridSpan w:val="14"/>
          </w:tcPr>
          <w:p>
            <w:pPr>
              <w:spacing w:after="0"/>
              <w:rPr>
                <w:sz w:val="20"/>
                <w:szCs w:val="20"/>
                <w:color w:val="auto"/>
              </w:rPr>
            </w:pPr>
            <w:r>
              <w:rPr>
                <w:rFonts w:ascii="Arial" w:cs="Arial" w:eastAsia="Arial" w:hAnsi="Arial"/>
                <w:sz w:val="18"/>
                <w:szCs w:val="18"/>
                <w:color w:val="auto"/>
              </w:rPr>
              <w:t>Form of Debt Security†</w:t>
            </w:r>
          </w:p>
        </w:tc>
      </w:tr>
      <w:tr>
        <w:trPr>
          <w:trHeight w:val="32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4.6</w:t>
            </w:r>
          </w:p>
        </w:tc>
        <w:tc>
          <w:tcPr>
            <w:tcW w:w="9940" w:type="dxa"/>
            <w:vAlign w:val="bottom"/>
            <w:gridSpan w:val="14"/>
          </w:tcPr>
          <w:p>
            <w:pPr>
              <w:spacing w:after="0"/>
              <w:rPr>
                <w:sz w:val="20"/>
                <w:szCs w:val="20"/>
                <w:color w:val="auto"/>
              </w:rPr>
            </w:pPr>
            <w:r>
              <w:rPr>
                <w:rFonts w:ascii="Arial" w:cs="Arial" w:eastAsia="Arial" w:hAnsi="Arial"/>
                <w:sz w:val="18"/>
                <w:szCs w:val="18"/>
                <w:color w:val="auto"/>
              </w:rPr>
              <w:t>Form of Certificate of Designations for Preferred Stock†</w:t>
            </w:r>
          </w:p>
        </w:tc>
      </w:tr>
      <w:tr>
        <w:trPr>
          <w:trHeight w:val="32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4.7</w:t>
            </w:r>
          </w:p>
        </w:tc>
        <w:tc>
          <w:tcPr>
            <w:tcW w:w="9940" w:type="dxa"/>
            <w:vAlign w:val="bottom"/>
            <w:gridSpan w:val="14"/>
          </w:tcPr>
          <w:p>
            <w:pPr>
              <w:spacing w:after="0"/>
              <w:rPr>
                <w:sz w:val="20"/>
                <w:szCs w:val="20"/>
                <w:color w:val="auto"/>
              </w:rPr>
            </w:pPr>
            <w:r>
              <w:rPr>
                <w:rFonts w:ascii="Arial" w:cs="Arial" w:eastAsia="Arial" w:hAnsi="Arial"/>
                <w:sz w:val="18"/>
                <w:szCs w:val="18"/>
                <w:color w:val="auto"/>
              </w:rPr>
              <w:t>Form of Warrant Agreement†</w:t>
            </w:r>
          </w:p>
        </w:tc>
      </w:tr>
      <w:tr>
        <w:trPr>
          <w:trHeight w:val="28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5.1</w:t>
            </w:r>
          </w:p>
        </w:tc>
        <w:tc>
          <w:tcPr>
            <w:tcW w:w="994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Opinion of Honigman LLP*</w:t>
              </w:r>
            </w:hyperlink>
          </w:p>
        </w:tc>
      </w:tr>
      <w:tr>
        <w:trPr>
          <w:trHeight w:val="20"/>
        </w:trPr>
        <w:tc>
          <w:tcPr>
            <w:tcW w:w="10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23.1</w:t>
            </w:r>
          </w:p>
        </w:tc>
        <w:tc>
          <w:tcPr>
            <w:tcW w:w="23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Consent of Ernst &amp; Young LLP*</w:t>
              </w:r>
            </w:hyperlink>
          </w:p>
        </w:tc>
        <w:tc>
          <w:tcPr>
            <w:tcW w:w="7560" w:type="dxa"/>
            <w:vAlign w:val="bottom"/>
            <w:gridSpan w:val="11"/>
          </w:tcPr>
          <w:p>
            <w:pPr>
              <w:spacing w:after="0"/>
              <w:rPr>
                <w:sz w:val="24"/>
                <w:szCs w:val="24"/>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23.2</w:t>
            </w:r>
          </w:p>
        </w:tc>
        <w:tc>
          <w:tcPr>
            <w:tcW w:w="994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Consent of Deloitte &amp; Touche LLP*</w:t>
              </w:r>
            </w:hyperlink>
          </w:p>
        </w:tc>
      </w:tr>
      <w:tr>
        <w:trPr>
          <w:trHeight w:val="20"/>
        </w:trPr>
        <w:tc>
          <w:tcPr>
            <w:tcW w:w="10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23.3</w:t>
            </w:r>
          </w:p>
        </w:tc>
        <w:tc>
          <w:tcPr>
            <w:tcW w:w="37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Consent of Honigman LLP (included in Exhibit 5.1)</w:t>
              </w:r>
            </w:hyperlink>
          </w:p>
        </w:tc>
        <w:tc>
          <w:tcPr>
            <w:tcW w:w="6160" w:type="dxa"/>
            <w:vAlign w:val="bottom"/>
            <w:gridSpan w:val="9"/>
          </w:tcPr>
          <w:p>
            <w:pPr>
              <w:spacing w:after="0"/>
              <w:rPr>
                <w:sz w:val="24"/>
                <w:szCs w:val="24"/>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24.1</w:t>
            </w:r>
          </w:p>
        </w:tc>
        <w:tc>
          <w:tcPr>
            <w:tcW w:w="46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Powers of Attorney for Directors of General Motors Company*</w:t>
              </w:r>
            </w:hyperlink>
          </w:p>
        </w:tc>
        <w:tc>
          <w:tcPr>
            <w:tcW w:w="5340" w:type="dxa"/>
            <w:vAlign w:val="bottom"/>
            <w:gridSpan w:val="7"/>
          </w:tcPr>
          <w:p>
            <w:pPr>
              <w:spacing w:after="0"/>
              <w:rPr>
                <w:sz w:val="24"/>
                <w:szCs w:val="24"/>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25.1</w:t>
            </w:r>
          </w:p>
        </w:tc>
        <w:tc>
          <w:tcPr>
            <w:tcW w:w="966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Form T-1 Statement of Eligibility under the Trust Indenture Act of 1939, as amended, of The Bank of New York Mellon, as trustee, in</w:t>
              </w:r>
            </w:hyperlink>
          </w:p>
        </w:tc>
        <w:tc>
          <w:tcPr>
            <w:tcW w:w="28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respect of the Indenture dated as of September 27, 2013*</w:t>
              </w:r>
            </w:hyperlink>
          </w:p>
        </w:tc>
        <w:tc>
          <w:tcPr>
            <w:tcW w:w="5820" w:type="dxa"/>
            <w:vAlign w:val="bottom"/>
            <w:gridSpan w:val="8"/>
          </w:tcPr>
          <w:p>
            <w:pPr>
              <w:spacing w:after="0"/>
              <w:rPr>
                <w:sz w:val="17"/>
                <w:szCs w:val="17"/>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5580" w:right="1480" w:hanging="5376"/>
        <w:spacing w:after="0" w:line="433" w:lineRule="auto"/>
        <w:tabs>
          <w:tab w:leader="none" w:pos="4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and incorporated herein by reference or by post-effective amendment. II-5</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February 5, 2020.</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4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gridSpan w:val="3"/>
          </w:tcPr>
          <w:p>
            <w:pPr>
              <w:jc w:val="center"/>
              <w:ind w:left="491"/>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MARY T. BARRA</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Chairman and Chief Executive Officer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Mary T. Barra</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DHIVYA SURYADEVARA</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Executive Vice President and Chief Financial Officer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Dhivya Suryadevara</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(Principal Financial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CHRISTOPHER T. HATTO</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Vice President, Global Business Solutions</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auto"/>
            </w:tcBorders>
            <w:gridSpan w:val="3"/>
            <w:vMerge w:val="continue"/>
          </w:tcPr>
          <w:p>
            <w:pPr>
              <w:spacing w:after="0"/>
              <w:rPr>
                <w:sz w:val="18"/>
                <w:szCs w:val="18"/>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and Chief Accounting Officer</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Christopher T. Hatto</w:t>
            </w: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(Principal Accounting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Lead 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Theodore M. Solso</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Wesley G. Bush</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Linda R. Gooden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Joseph Jimenez</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Jane L. Mendillo</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Judith A. Miscik</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Patricia F. Russo</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Thomas M. Schoewe</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Carol M. Stephenson</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February 5, 2020</w:t>
            </w:r>
          </w:p>
        </w:tc>
        <w:tc>
          <w:tcPr>
            <w:tcW w:w="0" w:type="dxa"/>
            <w:vAlign w:val="bottom"/>
          </w:tcPr>
          <w:p>
            <w:pPr>
              <w:spacing w:after="0"/>
              <w:rPr>
                <w:sz w:val="1"/>
                <w:szCs w:val="1"/>
                <w:color w:val="auto"/>
              </w:rPr>
            </w:pPr>
          </w:p>
        </w:tc>
      </w:tr>
      <w:tr>
        <w:trPr>
          <w:trHeight w:val="224"/>
        </w:trPr>
        <w:tc>
          <w:tcPr>
            <w:tcW w:w="3640" w:type="dxa"/>
            <w:vAlign w:val="bottom"/>
            <w:gridSpan w:val="3"/>
          </w:tcPr>
          <w:p>
            <w:pPr>
              <w:spacing w:after="0"/>
              <w:rPr>
                <w:sz w:val="20"/>
                <w:szCs w:val="20"/>
                <w:color w:val="auto"/>
              </w:rPr>
            </w:pPr>
            <w:r>
              <w:rPr>
                <w:rFonts w:ascii="Arial" w:cs="Arial" w:eastAsia="Arial" w:hAnsi="Arial"/>
                <w:sz w:val="18"/>
                <w:szCs w:val="18"/>
                <w:color w:val="auto"/>
              </w:rPr>
              <w:t>Devin N. Wenig</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20" w:hanging="216"/>
        <w:spacing w:after="0" w:line="27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Rick E. Hansen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Attorney-in-Fact</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240" w:top="459" w:right="5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313.465.7000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637665"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6376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5,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Michigan 48265-3000</w:t>
      </w:r>
    </w:p>
    <w:p>
      <w:pPr>
        <w:spacing w:after="0" w:line="2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have acted as counsel to General Motors Company, a Delaware corporation (the “Company”), in connection with a Registration Statement on Form S-3 (the “Registration Statement”) filed by the Company with the Securities and Exchange Commission (the “Commission”), for the registration of the Securities (defined below) under the Securities Act of 1933, as amended (the “Securities Act”).</w:t>
      </w:r>
    </w:p>
    <w:p>
      <w:pPr>
        <w:spacing w:after="0" w:line="181"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The Registration Statement relates to the proposed issuance and sale from time to time by the Company, pursuant to Rule 415 of the Securities Act, of the following securities of the Company: (i) common stock, par value $0.01 per share, of the Company (“Common Stock”); (ii) preferred stock, par value $0.01 per share, of the Company in one or more classes or series (“Preferred Stock”); (iii) debt securities of the Company, consisting of debentures, notes and/or other evidences of indebtedness (collectively, “Debt Securities”), which may be subordinated or unsubordinated to certain other obligations of the Company and are to be issued under the indenture dated September 27, 2013 between the Company and The Bank of New York Mellon and any applicable valid and legally binding supplement thereto duly authorized, executed and delivered by the Company (the “Indenture”); and</w:t>
      </w:r>
    </w:p>
    <w:p>
      <w:pPr>
        <w:spacing w:after="0" w:line="5" w:lineRule="exact"/>
        <w:rPr>
          <w:sz w:val="20"/>
          <w:szCs w:val="20"/>
          <w:color w:val="auto"/>
        </w:rPr>
      </w:pPr>
    </w:p>
    <w:p>
      <w:pPr>
        <w:jc w:val="both"/>
        <w:ind w:firstLine="4"/>
        <w:spacing w:after="0" w:line="302" w:lineRule="auto"/>
        <w:tabs>
          <w:tab w:leader="none" w:pos="3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warrants to purchase any of the securities described in clauses (i), (ii) or (iii) above (collectively, “Warrants” and, together with the Common Stock, Preferred Stock and Debt Securities, the “Securities”). The Registration Statement provides that if so indicated in a prospectus supplement, the Debt Securities and the Preferred Stock may be convertible or exchangeable into other securities, including Common Stock and Preferred Stock.</w:t>
      </w:r>
    </w:p>
    <w:p>
      <w:pPr>
        <w:spacing w:after="0" w:line="15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In connection with this opinion letter, we have examined and relied upon originals or copies of such records, instruments, certificates, opinions, memoranda and other documents as in our judgment are necessary or appropriate to enable us to render the opinions expressed below. As to certain factual matters, we have relied upon a certificate of officers of the Company and have not independently sought to verify such matters. In rendering the opinions in this opinion letter,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legal effectiveness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121"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37665" cy="266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637665" cy="266065"/>
                    </a:xfrm>
                    <a:prstGeom prst="rect">
                      <a:avLst/>
                    </a:prstGeom>
                    <a:noFill/>
                  </pic:spPr>
                </pic:pic>
              </a:graphicData>
            </a:graphic>
          </wp:anchor>
        </w:drawing>
        <w:t>February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firstLine="441"/>
        <w:spacing w:after="0" w:line="283" w:lineRule="auto"/>
        <w:rPr>
          <w:sz w:val="20"/>
          <w:szCs w:val="20"/>
          <w:color w:val="auto"/>
        </w:rPr>
      </w:pPr>
      <w:r>
        <w:rPr>
          <w:rFonts w:ascii="Arial" w:cs="Arial" w:eastAsia="Arial" w:hAnsi="Arial"/>
          <w:sz w:val="16"/>
          <w:szCs w:val="16"/>
          <w:color w:val="auto"/>
        </w:rPr>
        <w:t>With respect to our opinions as to the Common Stock or any Security convertible into, or exchangeable or exercisable for Common Stock, we have assumed that, at the time of issuance and sale, a sufficient number of shares of Common Stock will be authorized and available for issuance and that the consideration for the issuance and sale of the Common Stock (or the conversion price for Preferred Stock or Debt Securities convertible into Common Stock or the exercise price for Warrants exercisable for Common Stock) is an amount that is not less than the par value of the Common Stock. With respect to our opinion as to the Preferred Stock or any Security convertible into, or exchangeable or exercisable for Preferred Stock, we have assumed that, at the time of issuance and sale, a sufficient number of shares of Preferred Stock will be authorized, designated and available for issuance and that the consideration for the issuance and sale of the Preferred Stock (or the conversion price for Debt Securities convertible into Preferred Stock or the exercise price for Warrants exercisable for Preferred Stock) is an amount that is not less than the par value of the Preferred Stock. We have also assumed that any Warrants offered under the Registration Statement will be issued under a valid and legally binding warrant agreement that conforms to the description thereof provided in the applicable prospectus supplement and be executed in the forms filed as exhibits to the Registration Statement or any required post-effective amendment thereto or incorporated by reference therein. We have also assumed that any Debt Securities offered under the Registration Statement will be issued pursuant to the Indenture. We have also assumed that (i) with respect to Securities being issued upon conversion of any convertible Preferred Stock, the applicable convertible Preferred Stock will be duly authorized, validly issued, fully paid and nonassessable; and</w:t>
      </w:r>
    </w:p>
    <w:p>
      <w:pPr>
        <w:spacing w:after="0" w:line="3" w:lineRule="exact"/>
        <w:rPr>
          <w:sz w:val="20"/>
          <w:szCs w:val="20"/>
          <w:color w:val="auto"/>
        </w:rPr>
      </w:pPr>
    </w:p>
    <w:p>
      <w:pPr>
        <w:jc w:val="both"/>
        <w:ind w:firstLine="4"/>
        <w:spacing w:after="0" w:line="255" w:lineRule="auto"/>
        <w:tabs>
          <w:tab w:leader="none" w:pos="2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any Securities being issued upon conversion of any convertible Debt Securities or upon exercise of any Warrants, the applicable convertible Debt Securities or Warrants will be valid and legally binding obligations of the Company, enforceable against the Company in accordance with their terms.</w:t>
      </w:r>
    </w:p>
    <w:p>
      <w:pPr>
        <w:spacing w:after="0" w:line="190"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With your consent, we have also assumed (i) that each of the Debt Securities, the Warrants, the Indenture and any warrant agreement, or agreements relating to the Warrants (collectively, the “Documents”)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 (iv) that the status of each of the Documents as legally valid and binding obligations of the parties will not be affected by any</w:t>
      </w:r>
    </w:p>
    <w:p>
      <w:pPr>
        <w:spacing w:after="0" w:line="2" w:lineRule="exact"/>
        <w:rPr>
          <w:sz w:val="20"/>
          <w:szCs w:val="20"/>
          <w:color w:val="auto"/>
        </w:rPr>
      </w:pPr>
    </w:p>
    <w:p>
      <w:pPr>
        <w:ind w:firstLine="4"/>
        <w:spacing w:after="0" w:line="323"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39"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opinions herein are expressed solely with respect to (i) the internal laws of the State of New York; (ii) the Delaware General Corporation Law, as amended; and (iii) the federal laws of the United States. Our opinions are based on these laws as in effect on the date hereof. We express no opinion as to whether the laws of any jurisdiction are applicable to the subject matter hereof. We are not rendering any opinion as to compliance with any federal or state antifraud law, rule or regulation relating to securities, or to the sale or issuance thereof. It is understood that this opinion letter is to be used only in connection with the offer and sale of the Securities while the Registration Statement is in effect and only speaks as of the date of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746"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37665" cy="266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637665" cy="266065"/>
                    </a:xfrm>
                    <a:prstGeom prst="rect">
                      <a:avLst/>
                    </a:prstGeom>
                    <a:noFill/>
                  </pic:spPr>
                </pic:pic>
              </a:graphicData>
            </a:graphic>
          </wp:anchor>
        </w:drawing>
        <w:t>February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it is our opinion that:</w:t>
      </w:r>
    </w:p>
    <w:p>
      <w:pPr>
        <w:spacing w:after="0" w:line="252" w:lineRule="exact"/>
        <w:rPr>
          <w:sz w:val="20"/>
          <w:szCs w:val="20"/>
          <w:color w:val="auto"/>
        </w:rPr>
      </w:pPr>
    </w:p>
    <w:p>
      <w:pPr>
        <w:jc w:val="both"/>
        <w:ind w:left="980" w:hanging="544"/>
        <w:spacing w:after="0" w:line="29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When (i) a prospectus supplement and any other offering material with respect to Common Stock have been filed with the Commission and become effective in compliance with the Securities Act and the rules and regulations thereunder, (ii) all necessary corporate action has been taken by the Company to approve the issuance of such Common Stock and the consideration to be received therefor, and (iii) such Common Stock has been duly issued and delivered against payment therefor in accordance with the prospectus and applicable prospectus supplement relating to the Registration Statement, in conformity with the certificate of incorporation and the bylaws of the Company, and in accordance with any applicable valid and legally binding purchase, underwriting or similar agreement, warrant agreement and any related warrant, as applicable, and such corporate action, such Common Stock will be legally issued, fully paid and non-assessable.</w:t>
      </w:r>
    </w:p>
    <w:p>
      <w:pPr>
        <w:spacing w:after="0" w:line="194" w:lineRule="exact"/>
        <w:rPr>
          <w:rFonts w:ascii="Arial" w:cs="Arial" w:eastAsia="Arial" w:hAnsi="Arial"/>
          <w:sz w:val="16"/>
          <w:szCs w:val="16"/>
          <w:color w:val="auto"/>
        </w:rPr>
      </w:pPr>
    </w:p>
    <w:p>
      <w:pPr>
        <w:jc w:val="both"/>
        <w:ind w:left="980" w:hanging="544"/>
        <w:spacing w:after="0" w:line="289"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When (i) a prospectus supplement and any related offering materials with respect to Preferred Stock have been filed with the Commission and become effective in compliance with the Securities Act and the rules and regulations thereunder, (ii) all necessary corporate action has been taken by the Company to approve the creation, the terms and the issuance of the Preferred Stock and the consideration to be received therefor, (iii) the applicable amendment to the Company’s Restated Certificate of Incorporation, including any certificate of designation, fixing the terms of such Preferred Stock has been filed with and accepted by the State of Delaware, and (iv) the Preferred Stock has been duly issued and delivered against payment therefor in accordance with the prospectus and applicable prospectus supplement relating to the Registration Statement, in conformity with the certificate of incorporation and the bylaws of the Company, and in accordance with any applicable valid and legally binding purchase, underwriting or similar agreement, warrant agreement and any related warrant, as applicable, and such corporate action, such Preferred Stock will be legally issued, fully paid and non-assessable.</w:t>
      </w:r>
    </w:p>
    <w:p>
      <w:pPr>
        <w:spacing w:after="0" w:line="193" w:lineRule="exact"/>
        <w:rPr>
          <w:rFonts w:ascii="Arial" w:cs="Arial" w:eastAsia="Arial" w:hAnsi="Arial"/>
          <w:sz w:val="16"/>
          <w:szCs w:val="16"/>
          <w:color w:val="auto"/>
        </w:rPr>
      </w:pPr>
    </w:p>
    <w:p>
      <w:pPr>
        <w:jc w:val="both"/>
        <w:ind w:left="980" w:hanging="544"/>
        <w:spacing w:after="0" w:line="31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When (i) a prospectus supplement and any related offering materials with respect to Debt Securities have been filed with the Commission and become effective in compliance with the Securities Act and the rules and regulations thereunder, (ii) all necessary corporate action has been taken by the Company to approve the creation, the terms and the issuance of such Debt Securities and the consideration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746"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37665" cy="266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637665" cy="266065"/>
                    </a:xfrm>
                    <a:prstGeom prst="rect">
                      <a:avLst/>
                    </a:prstGeom>
                    <a:noFill/>
                  </pic:spPr>
                </pic:pic>
              </a:graphicData>
            </a:graphic>
          </wp:anchor>
        </w:drawing>
        <w:t>February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both"/>
        <w:ind w:left="980"/>
        <w:spacing w:after="0" w:line="286" w:lineRule="auto"/>
        <w:rPr>
          <w:sz w:val="20"/>
          <w:szCs w:val="20"/>
          <w:color w:val="auto"/>
        </w:rPr>
      </w:pPr>
      <w:r>
        <w:rPr>
          <w:rFonts w:ascii="Arial" w:cs="Arial" w:eastAsia="Arial" w:hAnsi="Arial"/>
          <w:sz w:val="16"/>
          <w:szCs w:val="16"/>
          <w:color w:val="auto"/>
        </w:rPr>
        <w:t>received therefor in accordance with the Indenture, (iii) the Indenture remains qualified under the United States Trust Indenture Act of 1939, as amended; (iv) the terms of the Debt Securities and of their issuance and sale have been duly established in conformity with the Indenture and as described in the Registration Statement and any required post-effective amendment thereto, the related prospectus and the applicable prospectus supplement(s), do not violate any applicable law, do not result in a default under or breach of any agreement or instrument binding upon the Company, are in conformity with the certificate of incorporation and bylaws of the Company, and comply with any requirement or restriction imposed by any court or governmental body having jurisdiction over the Company; and (v) notes, certificates or other evidence of the Debt Securities have been duly executed, issued and delivered by the Company and authenticated by the Trustee pursuant to the Indenture and delivered to the purchasers thereof against payment therefor in accordance with such corporate action and the prospectus and applicable prospectus supplement relating to the Registration Statement, and in accordance with any applicable valid and legally binding purchase, underwriting or similar agreement, or warrant purchase agreement and any related warrant, as applicable, such Debt Securities will be legally issued and binding obligations of the Company. For purposes of rendering the opinions set forth in this paragraph 3, we have assumed that immediately prior to the issuance of any Debt Securities, the Indenture and any applicable supplemental indenture will be in full force and effect, with no unwaived Events of Default or breaches thereunder and will constitute the legal, valid and binding obligation of the Company, enforceable against the Company in accordance with its terms.</w:t>
      </w:r>
    </w:p>
    <w:p>
      <w:pPr>
        <w:spacing w:after="0" w:line="199" w:lineRule="exact"/>
        <w:rPr>
          <w:sz w:val="20"/>
          <w:szCs w:val="20"/>
          <w:color w:val="auto"/>
        </w:rPr>
      </w:pPr>
    </w:p>
    <w:p>
      <w:pPr>
        <w:jc w:val="both"/>
        <w:ind w:left="980" w:hanging="544"/>
        <w:spacing w:after="0" w:line="287"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When (i) a prospectus supplement and any related offering material with respect to Warrants have been filed with the Commission and become effective in compliance with the Securities Act and the rules and regulations thereunder, (ii) all necessary corporate action has been taken by the Company to approve the creation, the terms and the issuance of the Warrants and the underlying securities, the terms of the offering of the Warrants and related matters, including the consideration to be received therefor, if any, and for the underlying securities, and, if applicable, to authorize the form, terms, execution and delivery of a warrant agreement or agreements (including a form of certificate evidencing the Warrants, if applicable) relating to the Warrants, (iii) the warrant agreement or agreements, if applicable, relating to the Warrants have been duly authorized and validly executed and delivered by the Company and the warrant agent, if any, appointed by the Company, (iv) the Warrants have been issued under a valid and legally binding warrant agreement, or agreements relating to the Warrants that conforms to the description thereof provided in a prospectus supplement and any related offering material and do not violate any applicable law, do not result in a default under or breach of any agreement or instrument binding upon the Company, are in conformity with the certificate of incorporation and bylaws of the Company, and comply with any requirement or restriction imposed by any court or governmental body having jurisdiction over the Company and (v) the Warrants or certificates representing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746"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37665" cy="266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637665" cy="266065"/>
                    </a:xfrm>
                    <a:prstGeom prst="rect">
                      <a:avLst/>
                    </a:prstGeom>
                    <a:noFill/>
                  </pic:spPr>
                </pic:pic>
              </a:graphicData>
            </a:graphic>
          </wp:anchor>
        </w:drawing>
        <w:t>February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Warrants have been duly executed, countersigned and registered, if applicable, issued and delivered in accordance with the prospectus and applicable prospectus supplement relating to the Registration Statement and in accordance with the appropriate warrant agreement and the applicable valid and legally binding purchase, underwriting or similar agreement, as applicable, and such corporate action, in exchange for payment of the consideration for such Warrants, if any, provided for in such agreement, such Warrants will be legally issued and binding obligations of the Company.</w:t>
      </w:r>
    </w:p>
    <w:p>
      <w:pPr>
        <w:spacing w:after="0" w:line="18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In giving the opinions set forth above, with respect to each Security opined on in this opinion letter we have assumed that (i) at or prior to the time of the delivery of such Security, the authorization of such Security will not have been modified or rescinded, and there will not have occurred any change in law affecting such Security, including its validity or enforceability and (ii) none of the terms of any such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7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opinions set forth above are subject to the effect of any applicable bankruptcy, insolvency, reorganization, moratorium or similar law relating to or affecting creditors’ rights generally (including, without limitation, fraudulent conveyance and voidable transaction laws), general principles of equity, including, without limitation, concepts of materiality, reasonableness, good faith and fair dealing and the possible unavailability of specific performance or injunctive relief, regardless of whether considered in a proceeding in equity or at law and limitations regarding the availability of indemnification and contribution where such indemnification or contribution may be limited by applicable law or the application of principles of public policy.</w:t>
      </w:r>
    </w:p>
    <w:p>
      <w:pPr>
        <w:spacing w:after="0" w:line="193"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We express no opinion as to the validity, binding effect or enforceability of (i) provisions that relate to choice of law, forum selection or submission to jurisdiction (including, without limitation, any express or implied waiver of any objection to venue in any court or of any objection that a court is an inconvenient forum), (ii) waivers by the Company of any statutory or constitutional rights or remedies, (iii) terms which excuse any person or entity from liability for, or require the Company to indemnify such person or entity against, such person’s or entity’s negligence or willful misconduct,</w:t>
      </w:r>
    </w:p>
    <w:p>
      <w:pPr>
        <w:spacing w:after="0" w:line="2" w:lineRule="exact"/>
        <w:rPr>
          <w:sz w:val="20"/>
          <w:szCs w:val="20"/>
          <w:color w:val="auto"/>
        </w:rPr>
      </w:pPr>
    </w:p>
    <w:p>
      <w:pPr>
        <w:jc w:val="both"/>
        <w:ind w:firstLine="4"/>
        <w:spacing w:after="0" w:line="254" w:lineRule="auto"/>
        <w:tabs>
          <w:tab w:leader="none" w:pos="3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obligations to pay any prepayment premium, default interest rate, early termination fee or other form of liquidated damages, if the payment of such premium, interest rate, fee or damages may be construed as unreasonable in relation to actual damages or disproportionate to actual damages suffered as a result of such prepayment, default or termination, usury and other interest-related restrictions, or (v) provisions providing that the terms of agreement may not be waived or modified except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74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37665" cy="26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37665" cy="266065"/>
                    </a:xfrm>
                    <a:prstGeom prst="rect">
                      <a:avLst/>
                    </a:prstGeom>
                    <a:noFill/>
                  </pic:spPr>
                </pic:pic>
              </a:graphicData>
            </a:graphic>
          </wp:anchor>
        </w:drawing>
        <w:t>February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We also hereby consent to the use of our name under the heading “Legal Matters” in the prospectus included in the Registration Statement. In giving such consents, we do not thereby admit that we are within the category of persons whose consent is required under Section 7 of the Securities Act or the rules and regulations of the Commission under the Securities Act.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H</w:t>
      </w:r>
      <w:r>
        <w:rPr>
          <w:rFonts w:ascii="Arial" w:cs="Arial" w:eastAsia="Arial" w:hAnsi="Arial"/>
          <w:sz w:val="15"/>
          <w:szCs w:val="15"/>
          <w:color w:val="auto"/>
        </w:rPr>
        <w:t>ONIGMAN</w:t>
      </w:r>
      <w:r>
        <w:rPr>
          <w:rFonts w:ascii="Arial" w:cs="Arial" w:eastAsia="Arial" w:hAnsi="Arial"/>
          <w:sz w:val="18"/>
          <w:szCs w:val="18"/>
          <w:color w:val="auto"/>
        </w:rPr>
        <w:t xml:space="preserv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w:t>
      </w:r>
      <w:r>
        <w:rPr>
          <w:rFonts w:ascii="Arial" w:cs="Arial" w:eastAsia="Arial" w:hAnsi="Arial"/>
          <w:sz w:val="15"/>
          <w:szCs w:val="15"/>
          <w:color w:val="auto"/>
        </w:rPr>
        <w:t>ONIGMAN</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DJK/GSW/CBZ/REW/MSB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Honigman LLP • 2290 First National Building • 660 Woodward Avenue • Detroit, Michigan 48226-3506</w:t>
      </w:r>
    </w:p>
    <w:p>
      <w:pPr>
        <w:sectPr>
          <w:pgSz w:w="11900" w:h="16838" w:orient="portrait"/>
          <w:cols w:equalWidth="0" w:num="1">
            <w:col w:w="11020"/>
          </w:cols>
          <w:pgMar w:left="440" w:top="746"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General Motors Company for the registration of debt securities, preferred stock, common stock and warrants and to the incorporation by reference therein of our reports dated February 5, 2020,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2019,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2020</w:t>
      </w:r>
    </w:p>
    <w:p>
      <w:pPr>
        <w:sectPr>
          <w:pgSz w:w="11900" w:h="16838" w:orient="portrait"/>
          <w:cols w:equalWidth="0" w:num="1">
            <w:col w:w="11020"/>
          </w:cols>
          <w:pgMar w:left="440" w:top="121"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February 6, 2018 (July 25, 2018 as to Note 25, Segment Reporting), relating to the financial statements of General Motors Company, appearing in the Annual Report on Form 10-K of General Motors Company for the year ended December 31, 2019. We also consent to the reference to us under the heading “Experts” in such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2020</w:t>
      </w:r>
    </w:p>
    <w:p>
      <w:pPr>
        <w:sectPr>
          <w:pgSz w:w="11900" w:h="16838" w:orient="portrait"/>
          <w:cols w:equalWidth="0" w:num="1">
            <w:col w:w="11020"/>
          </w:cols>
          <w:pgMar w:left="440" w:top="121" w:right="439" w:bottom="1440" w:gutter="0" w:footer="0" w:header="0"/>
        </w:sectPr>
      </w:pPr>
    </w:p>
    <w:bookmarkStart w:id="41" w:name="page42"/>
    <w:bookmarkEnd w:id="41"/>
    <w:p>
      <w:pPr>
        <w:ind w:left="10100"/>
        <w:spacing w:after="0"/>
        <w:rPr>
          <w:sz w:val="20"/>
          <w:szCs w:val="20"/>
          <w:color w:val="auto"/>
        </w:rPr>
      </w:pPr>
      <w:r>
        <w:rPr>
          <w:rFonts w:ascii="Arial" w:cs="Arial" w:eastAsia="Arial" w:hAnsi="Arial"/>
          <w:sz w:val="16"/>
          <w:szCs w:val="16"/>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121" w:right="4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4160" w:type="dxa"/>
            <w:vAlign w:val="bottom"/>
            <w:gridSpan w:val="3"/>
          </w:tcPr>
          <w:p>
            <w:pPr>
              <w:ind w:left="1340"/>
              <w:spacing w:after="0"/>
              <w:rPr>
                <w:sz w:val="20"/>
                <w:szCs w:val="20"/>
                <w:color w:val="auto"/>
              </w:rPr>
            </w:pPr>
            <w:r>
              <w:rPr>
                <w:rFonts w:ascii="Arial" w:cs="Arial" w:eastAsia="Arial" w:hAnsi="Arial"/>
                <w:sz w:val="14"/>
                <w:szCs w:val="14"/>
                <w:b w:val="1"/>
                <w:bCs w:val="1"/>
                <w:color w:val="auto"/>
              </w:rPr>
              <w:t>Covering</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Registration</w:t>
            </w:r>
          </w:p>
        </w:tc>
        <w:tc>
          <w:tcPr>
            <w:tcW w:w="3020" w:type="dxa"/>
            <w:vAlign w:val="bottom"/>
          </w:tcPr>
          <w:p>
            <w:pPr>
              <w:ind w:left="20"/>
              <w:spacing w:after="0"/>
              <w:rPr>
                <w:sz w:val="20"/>
                <w:szCs w:val="20"/>
                <w:color w:val="auto"/>
              </w:rPr>
            </w:pPr>
            <w:r>
              <w:rPr>
                <w:rFonts w:ascii="Arial" w:cs="Arial" w:eastAsia="Arial" w:hAnsi="Arial"/>
                <w:sz w:val="18"/>
                <w:szCs w:val="18"/>
                <w:color w:val="auto"/>
              </w:rPr>
              <w:t>Statement on Form S-3</w:t>
            </w:r>
          </w:p>
        </w:tc>
        <w:tc>
          <w:tcPr>
            <w:tcW w:w="134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4"/>
              </w:rPr>
              <w:t>Universal</w:t>
            </w:r>
          </w:p>
        </w:tc>
        <w:tc>
          <w:tcPr>
            <w:tcW w:w="2240" w:type="dxa"/>
            <w:vAlign w:val="bottom"/>
          </w:tcPr>
          <w:p>
            <w:pPr>
              <w:ind w:left="160"/>
              <w:spacing w:after="0"/>
              <w:rPr>
                <w:sz w:val="20"/>
                <w:szCs w:val="20"/>
                <w:color w:val="auto"/>
              </w:rPr>
            </w:pPr>
            <w:r>
              <w:rPr>
                <w:rFonts w:ascii="Arial" w:cs="Arial" w:eastAsia="Arial" w:hAnsi="Arial"/>
                <w:sz w:val="18"/>
                <w:szCs w:val="18"/>
                <w:color w:val="auto"/>
                <w:w w:val="89"/>
              </w:rPr>
              <w:t>Shelf Registration Statement</w:t>
            </w:r>
          </w:p>
        </w:tc>
      </w:tr>
    </w:tbl>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U.S. Securities Act of 1933, as amended, this power of attorney has been executed by the undersigned.</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270" w:right="439" w:bottom="1440" w:gutter="0" w:footer="0" w:header="0"/>
        </w:sectPr>
      </w:pPr>
    </w:p>
    <w:bookmarkStart w:id="51" w:name="page52"/>
    <w:bookmarkEnd w:id="51"/>
    <w:p>
      <w:pPr>
        <w:ind w:left="10100"/>
        <w:spacing w:after="0"/>
        <w:rPr>
          <w:sz w:val="20"/>
          <w:szCs w:val="20"/>
          <w:color w:val="auto"/>
        </w:rPr>
      </w:pPr>
      <w:r>
        <w:rPr>
          <w:rFonts w:ascii="Arial" w:cs="Arial" w:eastAsia="Arial" w:hAnsi="Arial"/>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2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40" w:right="200" w:hanging="436"/>
        <w:spacing w:after="0" w:line="256" w:lineRule="auto"/>
        <w:tabs>
          <w:tab w:leader="none" w:pos="440" w:val="left"/>
        </w:tabs>
        <w:numPr>
          <w:ilvl w:val="0"/>
          <w:numId w:val="41"/>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129540</wp:posOffset>
            </wp:positionV>
            <wp:extent cx="14662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2"/>
              </w:rPr>
              <w:t>New York</w:t>
            </w:r>
          </w:p>
        </w:tc>
        <w:tc>
          <w:tcPr>
            <w:tcW w:w="3620" w:type="dxa"/>
            <w:vAlign w:val="bottom"/>
          </w:tcPr>
          <w:p>
            <w:pPr>
              <w:jc w:val="center"/>
              <w:ind w:right="1681"/>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7400" w:type="dxa"/>
            <w:vAlign w:val="bottom"/>
            <w:gridSpan w:val="3"/>
          </w:tcPr>
          <w:p>
            <w:pPr>
              <w:jc w:val="center"/>
              <w:ind w:right="190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62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4"/>
              </w:rPr>
              <w:t>if not a U.S. national bank)</w:t>
            </w:r>
          </w:p>
        </w:tc>
        <w:tc>
          <w:tcPr>
            <w:tcW w:w="36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74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1"/>
              </w:rPr>
              <w:t>240 Greenwich Street, New York, N.Y.</w:t>
            </w:r>
          </w:p>
        </w:tc>
        <w:tc>
          <w:tcPr>
            <w:tcW w:w="3620" w:type="dxa"/>
            <w:vAlign w:val="bottom"/>
          </w:tcPr>
          <w:p>
            <w:pPr>
              <w:jc w:val="center"/>
              <w:ind w:right="1681"/>
              <w:spacing w:after="0"/>
              <w:rPr>
                <w:sz w:val="20"/>
                <w:szCs w:val="20"/>
                <w:color w:val="auto"/>
              </w:rPr>
            </w:pPr>
            <w:r>
              <w:rPr>
                <w:rFonts w:ascii="Arial" w:cs="Arial" w:eastAsia="Arial" w:hAnsi="Arial"/>
                <w:sz w:val="18"/>
                <w:szCs w:val="18"/>
                <w:b w:val="1"/>
                <w:bCs w:val="1"/>
                <w:color w:val="auto"/>
                <w:w w:val="91"/>
              </w:rPr>
              <w:t>10286</w:t>
            </w:r>
          </w:p>
        </w:tc>
      </w:tr>
      <w:tr>
        <w:trPr>
          <w:trHeight w:val="186"/>
        </w:trPr>
        <w:tc>
          <w:tcPr>
            <w:tcW w:w="740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2"/>
              </w:rPr>
              <w:t>(Zip code)</w:t>
            </w:r>
          </w:p>
        </w:tc>
      </w:tr>
      <w:tr>
        <w:trPr>
          <w:trHeight w:val="228"/>
        </w:trPr>
        <w:tc>
          <w:tcPr>
            <w:tcW w:w="434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03"/>
        </w:trPr>
        <w:tc>
          <w:tcPr>
            <w:tcW w:w="4340" w:type="dxa"/>
            <w:vAlign w:val="bottom"/>
          </w:tcPr>
          <w:p>
            <w:pPr>
              <w:spacing w:after="0"/>
              <w:rPr>
                <w:sz w:val="24"/>
                <w:szCs w:val="24"/>
                <w:color w:val="auto"/>
              </w:rPr>
            </w:pPr>
          </w:p>
        </w:tc>
        <w:tc>
          <w:tcPr>
            <w:tcW w:w="30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2"/>
              </w:rPr>
              <w:t>General Motors Company</w:t>
            </w:r>
          </w:p>
        </w:tc>
        <w:tc>
          <w:tcPr>
            <w:tcW w:w="3620" w:type="dxa"/>
            <w:vAlign w:val="bottom"/>
          </w:tcPr>
          <w:p>
            <w:pPr>
              <w:spacing w:after="0"/>
              <w:rPr>
                <w:sz w:val="24"/>
                <w:szCs w:val="24"/>
                <w:color w:val="auto"/>
              </w:rPr>
            </w:pPr>
          </w:p>
        </w:tc>
      </w:tr>
      <w:tr>
        <w:trPr>
          <w:trHeight w:val="186"/>
        </w:trPr>
        <w:tc>
          <w:tcPr>
            <w:tcW w:w="7400" w:type="dxa"/>
            <w:vAlign w:val="bottom"/>
            <w:gridSpan w:val="3"/>
          </w:tcPr>
          <w:p>
            <w:pPr>
              <w:jc w:val="center"/>
              <w:ind w:left="3501"/>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620" w:type="dxa"/>
            <w:vAlign w:val="bottom"/>
          </w:tcPr>
          <w:p>
            <w:pPr>
              <w:spacing w:after="0"/>
              <w:rPr>
                <w:sz w:val="16"/>
                <w:szCs w:val="16"/>
                <w:color w:val="auto"/>
              </w:rPr>
            </w:pPr>
          </w:p>
        </w:tc>
      </w:tr>
      <w:tr>
        <w:trPr>
          <w:trHeight w:val="421"/>
        </w:trPr>
        <w:tc>
          <w:tcPr>
            <w:tcW w:w="740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right="1681"/>
              <w:spacing w:after="0"/>
              <w:rPr>
                <w:sz w:val="20"/>
                <w:szCs w:val="20"/>
                <w:color w:val="auto"/>
              </w:rPr>
            </w:pPr>
            <w:r>
              <w:rPr>
                <w:rFonts w:ascii="Arial" w:cs="Arial" w:eastAsia="Arial" w:hAnsi="Arial"/>
                <w:sz w:val="18"/>
                <w:szCs w:val="18"/>
                <w:b w:val="1"/>
                <w:bCs w:val="1"/>
                <w:color w:val="auto"/>
                <w:w w:val="89"/>
              </w:rPr>
              <w:t>27-0756180</w:t>
            </w:r>
          </w:p>
        </w:tc>
      </w:tr>
      <w:tr>
        <w:trPr>
          <w:trHeight w:val="149"/>
        </w:trPr>
        <w:tc>
          <w:tcPr>
            <w:tcW w:w="7400" w:type="dxa"/>
            <w:vAlign w:val="bottom"/>
            <w:gridSpan w:val="3"/>
          </w:tcPr>
          <w:p>
            <w:pPr>
              <w:jc w:val="center"/>
              <w:ind w:right="19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2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6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74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88"/>
              </w:rPr>
              <w:t>300 Renaissance Center</w:t>
            </w:r>
          </w:p>
        </w:tc>
        <w:tc>
          <w:tcPr>
            <w:tcW w:w="3620" w:type="dxa"/>
            <w:vAlign w:val="bottom"/>
          </w:tcPr>
          <w:p>
            <w:pPr>
              <w:spacing w:after="0"/>
              <w:rPr>
                <w:sz w:val="24"/>
                <w:szCs w:val="24"/>
                <w:color w:val="auto"/>
              </w:rPr>
            </w:pPr>
          </w:p>
        </w:tc>
      </w:tr>
      <w:tr>
        <w:trPr>
          <w:trHeight w:val="212"/>
        </w:trPr>
        <w:tc>
          <w:tcPr>
            <w:tcW w:w="740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3"/>
              </w:rPr>
              <w:t>Detroit, Michigan</w:t>
            </w:r>
          </w:p>
        </w:tc>
        <w:tc>
          <w:tcPr>
            <w:tcW w:w="3620" w:type="dxa"/>
            <w:vAlign w:val="bottom"/>
          </w:tcPr>
          <w:p>
            <w:pPr>
              <w:jc w:val="center"/>
              <w:ind w:right="1681"/>
              <w:spacing w:after="0"/>
              <w:rPr>
                <w:sz w:val="20"/>
                <w:szCs w:val="20"/>
                <w:color w:val="auto"/>
              </w:rPr>
            </w:pPr>
            <w:r>
              <w:rPr>
                <w:rFonts w:ascii="Arial" w:cs="Arial" w:eastAsia="Arial" w:hAnsi="Arial"/>
                <w:sz w:val="18"/>
                <w:szCs w:val="18"/>
                <w:b w:val="1"/>
                <w:bCs w:val="1"/>
                <w:color w:val="auto"/>
                <w:w w:val="89"/>
              </w:rPr>
              <w:t>48265-3000</w:t>
            </w:r>
          </w:p>
        </w:tc>
      </w:tr>
      <w:tr>
        <w:trPr>
          <w:trHeight w:val="186"/>
        </w:trPr>
        <w:tc>
          <w:tcPr>
            <w:tcW w:w="740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2"/>
              </w:rPr>
              <w:t>(Zip code)</w:t>
            </w:r>
          </w:p>
        </w:tc>
      </w:tr>
      <w:tr>
        <w:trPr>
          <w:trHeight w:val="215"/>
        </w:trPr>
        <w:tc>
          <w:tcPr>
            <w:tcW w:w="434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03"/>
        </w:trPr>
        <w:tc>
          <w:tcPr>
            <w:tcW w:w="4340" w:type="dxa"/>
            <w:vAlign w:val="bottom"/>
          </w:tcPr>
          <w:p>
            <w:pPr>
              <w:spacing w:after="0"/>
              <w:rPr>
                <w:sz w:val="24"/>
                <w:szCs w:val="24"/>
                <w:color w:val="auto"/>
              </w:rPr>
            </w:pPr>
          </w:p>
        </w:tc>
        <w:tc>
          <w:tcPr>
            <w:tcW w:w="30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8"/>
              </w:rPr>
              <w:t>Debt Securities</w:t>
            </w:r>
          </w:p>
        </w:tc>
        <w:tc>
          <w:tcPr>
            <w:tcW w:w="362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0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620" w:type="dxa"/>
            <w:vAlign w:val="bottom"/>
          </w:tcPr>
          <w:p>
            <w:pPr>
              <w:spacing w:after="0"/>
              <w:rPr>
                <w:sz w:val="16"/>
                <w:szCs w:val="16"/>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52" w:name="page53"/>
    <w:bookmarkEnd w:id="52"/>
    <w:p>
      <w:pPr>
        <w:ind w:left="436" w:hanging="436"/>
        <w:spacing w:after="0"/>
        <w:tabs>
          <w:tab w:leader="none" w:pos="43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252" w:lineRule="exact"/>
        <w:rPr>
          <w:sz w:val="20"/>
          <w:szCs w:val="20"/>
          <w:color w:val="auto"/>
        </w:rPr>
      </w:pPr>
    </w:p>
    <w:p>
      <w:pPr>
        <w:ind w:left="976" w:hanging="544"/>
        <w:spacing w:after="0"/>
        <w:tabs>
          <w:tab w:leader="none" w:pos="97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48" w:lineRule="exact"/>
        <w:rPr>
          <w:sz w:val="20"/>
          <w:szCs w:val="20"/>
          <w:color w:val="auto"/>
        </w:rPr>
      </w:pPr>
    </w:p>
    <w:tbl>
      <w:tblPr>
        <w:tblLayout w:type="fixed"/>
        <w:tblInd w:w="436"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86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Address</w:t>
            </w:r>
          </w:p>
        </w:tc>
      </w:tr>
      <w:tr>
        <w:trPr>
          <w:trHeight w:val="290"/>
        </w:trPr>
        <w:tc>
          <w:tcPr>
            <w:tcW w:w="5180" w:type="dxa"/>
            <w:vAlign w:val="bottom"/>
            <w:gridSpan w:val="2"/>
          </w:tcPr>
          <w:p>
            <w:pPr>
              <w:spacing w:after="0"/>
              <w:rPr>
                <w:sz w:val="20"/>
                <w:szCs w:val="20"/>
                <w:color w:val="auto"/>
              </w:rPr>
            </w:pPr>
            <w:r>
              <w:rPr>
                <w:rFonts w:ascii="Arial" w:cs="Arial" w:eastAsia="Arial" w:hAnsi="Arial"/>
                <w:sz w:val="18"/>
                <w:szCs w:val="18"/>
                <w:color w:val="auto"/>
              </w:rPr>
              <w:t>Superintendent of the Department of</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One State Street, New York, N.Y. 10004-1417,</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Financial Services of the State of New York</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and Albany, N.Y. 12223</w:t>
            </w:r>
          </w:p>
        </w:tc>
      </w:tr>
      <w:tr>
        <w:trPr>
          <w:trHeight w:val="310"/>
        </w:trPr>
        <w:tc>
          <w:tcPr>
            <w:tcW w:w="518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33 Liberty Street,</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New York, N.Y. 10045</w:t>
            </w:r>
          </w:p>
        </w:tc>
      </w:tr>
      <w:tr>
        <w:trPr>
          <w:trHeight w:val="310"/>
        </w:trPr>
        <w:tc>
          <w:tcPr>
            <w:tcW w:w="518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550 17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Washington, D.C. 20429</w:t>
            </w:r>
          </w:p>
        </w:tc>
      </w:tr>
      <w:tr>
        <w:trPr>
          <w:trHeight w:val="310"/>
        </w:trPr>
        <w:tc>
          <w:tcPr>
            <w:tcW w:w="5180" w:type="dxa"/>
            <w:vAlign w:val="bottom"/>
            <w:gridSpan w:val="2"/>
          </w:tcPr>
          <w:p>
            <w:pPr>
              <w:spacing w:after="0"/>
              <w:rPr>
                <w:sz w:val="20"/>
                <w:szCs w:val="20"/>
                <w:color w:val="auto"/>
              </w:rPr>
            </w:pPr>
            <w:r>
              <w:rPr>
                <w:rFonts w:ascii="Arial" w:cs="Arial" w:eastAsia="Arial" w:hAnsi="Arial"/>
                <w:sz w:val="18"/>
                <w:szCs w:val="18"/>
                <w:color w:val="auto"/>
              </w:rPr>
              <w:t>The Clearing House Association L.L.C.</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100 Broad Street</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New York, N.Y. 10004</w:t>
            </w:r>
          </w:p>
        </w:tc>
      </w:tr>
    </w:tbl>
    <w:p>
      <w:pPr>
        <w:spacing w:after="0" w:line="225" w:lineRule="exact"/>
        <w:rPr>
          <w:sz w:val="20"/>
          <w:szCs w:val="20"/>
          <w:color w:val="auto"/>
        </w:rPr>
      </w:pPr>
    </w:p>
    <w:p>
      <w:pPr>
        <w:ind w:left="976" w:hanging="544"/>
        <w:spacing w:after="0"/>
        <w:tabs>
          <w:tab w:leader="none" w:pos="97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Yes.</w:t>
      </w:r>
    </w:p>
    <w:p>
      <w:pPr>
        <w:spacing w:after="0" w:line="248" w:lineRule="exact"/>
        <w:rPr>
          <w:sz w:val="20"/>
          <w:szCs w:val="20"/>
          <w:color w:val="auto"/>
        </w:rPr>
      </w:pPr>
    </w:p>
    <w:p>
      <w:pPr>
        <w:ind w:left="436" w:hanging="436"/>
        <w:spacing w:after="0"/>
        <w:tabs>
          <w:tab w:leader="none" w:pos="4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225" w:lineRule="exact"/>
        <w:rPr>
          <w:rFonts w:ascii="Arial" w:cs="Arial" w:eastAsia="Arial" w:hAnsi="Arial"/>
          <w:sz w:val="18"/>
          <w:szCs w:val="18"/>
          <w:b w:val="1"/>
          <w:bCs w:val="1"/>
          <w:color w:val="auto"/>
        </w:rPr>
      </w:pPr>
    </w:p>
    <w:p>
      <w:pPr>
        <w:ind w:left="436" w:right="5060"/>
        <w:spacing w:after="0" w:line="51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36" w:hanging="436"/>
        <w:spacing w:after="0"/>
        <w:tabs>
          <w:tab w:leader="none" w:pos="43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25" w:lineRule="exact"/>
        <w:rPr>
          <w:rFonts w:ascii="Arial" w:cs="Arial" w:eastAsia="Arial" w:hAnsi="Arial"/>
          <w:sz w:val="18"/>
          <w:szCs w:val="18"/>
          <w:b w:val="1"/>
          <w:bCs w:val="1"/>
          <w:color w:val="auto"/>
        </w:rPr>
      </w:pPr>
    </w:p>
    <w:p>
      <w:pPr>
        <w:ind w:left="43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92" w:lineRule="exact"/>
        <w:rPr>
          <w:rFonts w:ascii="Arial" w:cs="Arial" w:eastAsia="Arial" w:hAnsi="Arial"/>
          <w:sz w:val="18"/>
          <w:szCs w:val="18"/>
          <w:b w:val="1"/>
          <w:bCs w:val="1"/>
          <w:color w:val="auto"/>
        </w:rPr>
      </w:pPr>
    </w:p>
    <w:p>
      <w:pPr>
        <w:ind w:left="976" w:right="40" w:hanging="544"/>
        <w:spacing w:after="0" w:line="297" w:lineRule="auto"/>
        <w:tabs>
          <w:tab w:leader="none" w:pos="9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91"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56"/>
          </w:cols>
          <w:pgMar w:left="444" w:top="270" w:right="499" w:bottom="1440" w:gutter="0" w:footer="0" w:header="0"/>
        </w:sectPr>
      </w:pPr>
    </w:p>
    <w:bookmarkStart w:id="53" w:name="page54"/>
    <w:bookmarkEnd w:id="53"/>
    <w:p>
      <w:pPr>
        <w:ind w:left="544" w:hanging="544"/>
        <w:spacing w:after="0"/>
        <w:tabs>
          <w:tab w:leader="none" w:pos="544"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333-229494).</w:t>
      </w:r>
    </w:p>
    <w:p>
      <w:pPr>
        <w:spacing w:after="0" w:line="252" w:lineRule="exact"/>
        <w:rPr>
          <w:sz w:val="20"/>
          <w:szCs w:val="20"/>
          <w:color w:val="auto"/>
        </w:rPr>
      </w:pPr>
    </w:p>
    <w:p>
      <w:pPr>
        <w:ind w:left="544" w:right="900" w:hanging="544"/>
        <w:spacing w:after="0" w:line="277" w:lineRule="auto"/>
        <w:tabs>
          <w:tab w:leader="none" w:pos="5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with Registration Statement No. 333-229519).</w:t>
      </w:r>
    </w:p>
    <w:p>
      <w:pPr>
        <w:spacing w:after="0" w:line="197"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3"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04"/>
          </w:cols>
          <w:pgMar w:left="876" w:top="274" w:right="8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Woodland Park, and State of New Jersey, on the 31st day of January, 2020.</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-130810</wp:posOffset>
            </wp:positionV>
            <wp:extent cx="26073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5" w:name="page56"/>
    <w:bookmarkEnd w:id="55"/>
    <w:p>
      <w:pPr>
        <w:ind w:left="101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 240 Greenwich Street, New York, N.Y. 10286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Foreign and Domestic Subsidiaries,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member of the Federal Reserve System, at the close of business September 30, 2019, published in accordance with a call made by the Federal Reserve Bank of this District pursuant to the provisions of the Federal Reserve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180" w:type="dxa"/>
            <w:vAlign w:val="bottom"/>
            <w:gridSpan w:val="3"/>
          </w:tcPr>
          <w:p>
            <w:pPr>
              <w:jc w:val="center"/>
              <w:ind w:left="1991"/>
              <w:spacing w:after="0"/>
              <w:rPr>
                <w:sz w:val="20"/>
                <w:szCs w:val="20"/>
                <w:color w:val="auto"/>
              </w:rPr>
            </w:pPr>
            <w:r>
              <w:rPr>
                <w:rFonts w:ascii="Arial" w:cs="Arial" w:eastAsia="Arial" w:hAnsi="Arial"/>
                <w:sz w:val="14"/>
                <w:szCs w:val="14"/>
                <w:b w:val="1"/>
                <w:bCs w:val="1"/>
                <w:color w:val="auto"/>
                <w:w w:val="92"/>
              </w:rPr>
              <w:t>Dollar amounts</w:t>
            </w: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91,499,000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33,769,000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86,659,000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held for sale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Loans and leases held for investment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25,722,000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Loans and leases held for investment, net of allowance</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25,621,000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2,653,000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1,764,000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Intangible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6,997,000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14,374,000</w:t>
            </w:r>
          </w:p>
        </w:tc>
        <w:tc>
          <w:tcPr>
            <w:tcW w:w="60" w:type="dxa"/>
            <w:vAlign w:val="bottom"/>
            <w:shd w:val="clear" w:color="auto" w:fill="CCEEFF"/>
          </w:tcPr>
          <w:p>
            <w:pPr>
              <w:spacing w:after="0"/>
              <w:rPr>
                <w:sz w:val="18"/>
                <w:szCs w:val="18"/>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304,096,000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143,571,000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960" w:type="dxa"/>
            <w:vAlign w:val="bottom"/>
          </w:tcPr>
          <w:p>
            <w:pPr>
              <w:jc w:val="right"/>
              <w:spacing w:after="0"/>
              <w:rPr>
                <w:sz w:val="20"/>
                <w:szCs w:val="20"/>
                <w:color w:val="auto"/>
              </w:rPr>
            </w:pPr>
            <w:r>
              <w:rPr>
                <w:rFonts w:ascii="Arial" w:cs="Arial" w:eastAsia="Arial" w:hAnsi="Arial"/>
                <w:sz w:val="18"/>
                <w:szCs w:val="18"/>
                <w:color w:val="auto"/>
              </w:rPr>
              <w:t>53,707,000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89,864,000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111,933,000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108,208,000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960" w:type="dxa"/>
            <w:vAlign w:val="bottom"/>
          </w:tcPr>
          <w:p>
            <w:pPr>
              <w:jc w:val="right"/>
              <w:spacing w:after="0"/>
              <w:rPr>
                <w:sz w:val="20"/>
                <w:szCs w:val="20"/>
                <w:color w:val="auto"/>
              </w:rPr>
            </w:pPr>
            <w:r>
              <w:rPr>
                <w:rFonts w:ascii="Arial" w:cs="Arial" w:eastAsia="Arial" w:hAnsi="Arial"/>
                <w:sz w:val="18"/>
                <w:szCs w:val="18"/>
                <w:color w:val="auto"/>
              </w:rPr>
              <w:t>3,578,000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Trading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2,627,000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7,506,000</w:t>
            </w:r>
          </w:p>
        </w:tc>
        <w:tc>
          <w:tcPr>
            <w:tcW w:w="6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278,093,000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11,107,000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-1,406,000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960" w:type="dxa"/>
            <w:vAlign w:val="bottom"/>
          </w:tcPr>
          <w:p>
            <w:pPr>
              <w:jc w:val="right"/>
              <w:spacing w:after="0"/>
              <w:rPr>
                <w:sz w:val="20"/>
                <w:szCs w:val="20"/>
                <w:color w:val="auto"/>
              </w:rPr>
            </w:pPr>
            <w:r>
              <w:rPr>
                <w:rFonts w:ascii="Arial" w:cs="Arial" w:eastAsia="Arial" w:hAnsi="Arial"/>
                <w:sz w:val="18"/>
                <w:szCs w:val="18"/>
                <w:color w:val="auto"/>
              </w:rPr>
              <w:t>26,003,000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Total equity capital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26,003,000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304,096,000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88" w:right="419" w:bottom="1440" w:gutter="0" w:footer="0" w:header="0"/>
        </w:sectPr>
      </w:pPr>
    </w:p>
    <w:bookmarkStart w:id="57" w:name="page58"/>
    <w:bookmarkEnd w:id="5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Santomassimo, Chief Financial Officer of the above-named bank do hereby declare that this Report of Condition is true and correct to the best of my knowledge and belief.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Michael Santomassimo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Thomas P.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-121920</wp:posOffset>
            </wp:positionV>
            <wp:extent cx="889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3140" w:val="left"/>
        </w:tabs>
        <w:rPr>
          <w:sz w:val="20"/>
          <w:szCs w:val="20"/>
          <w:color w:val="auto"/>
        </w:rPr>
      </w:pPr>
      <w:r>
        <w:rPr>
          <w:rFonts w:ascii="Arial" w:cs="Arial" w:eastAsia="Arial" w:hAnsi="Arial"/>
          <w:sz w:val="18"/>
          <w:szCs w:val="18"/>
          <w:color w:val="auto"/>
        </w:rPr>
        <w:t>Samuel C. Scott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J. Echevarria</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3"/>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Roman"/>
      <w:start w:val="1"/>
    </w:lvl>
    <w:lvl w:ilvl="1">
      <w:lvlJc w:val="left"/>
      <w:lvlText w:val="•"/>
      <w:numFmt w:val="bullet"/>
      <w:start w:val="1"/>
    </w:lvl>
  </w:abstractNum>
  <w:abstractNum w:abstractNumId="11">
    <w:nsid w:val="8138641"/>
    <w:multiLevelType w:val="hybridMultilevel"/>
    <w:lvl w:ilvl="0">
      <w:lvlJc w:val="left"/>
      <w:lvlText w:val="(%1)"/>
      <w:numFmt w:val="lowerRoman"/>
      <w:start w:val="2"/>
    </w:lvl>
  </w:abstractNum>
  <w:abstractNum w:abstractNumId="12">
    <w:nsid w:val="1E7FF521"/>
    <w:multiLevelType w:val="hybridMultilevel"/>
    <w:lvl w:ilvl="0">
      <w:lvlJc w:val="left"/>
      <w:lvlText w:val="(%1)"/>
      <w:numFmt w:val="lowerRoman"/>
      <w:start w:val="1"/>
    </w:lvl>
  </w:abstractNum>
  <w:abstractNum w:abstractNumId="13">
    <w:nsid w:val="7C3DBD3D"/>
    <w:multiLevelType w:val="hybridMultilevel"/>
    <w:lvl w:ilvl="0">
      <w:lvlJc w:val="left"/>
      <w:lvlText w:val="(%1)"/>
      <w:numFmt w:val="lowerRoman"/>
      <w:start w:val="1"/>
    </w:lvl>
    <w:lvl w:ilvl="1">
      <w:lvlJc w:val="left"/>
      <w:lvlText w:val="•"/>
      <w:numFmt w:val="bullet"/>
      <w:start w:val="1"/>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lowerRoman"/>
      <w:start w:val="15"/>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5E884ADC"/>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30">
    <w:nsid w:val="51EAD36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1">
    <w:nsid w:val="2D51779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Roman"/>
      <w:start w:val="4"/>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lowerRoman"/>
      <w:start w:val="4"/>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decimal"/>
      <w:start w:val="2"/>
    </w:lvl>
  </w:abstractNum>
  <w:abstractNum w:abstractNumId="45">
    <w:nsid w:val="6DE91B18"/>
    <w:multiLevelType w:val="hybridMultilevel"/>
    <w:lvl w:ilvl="0">
      <w:lvlJc w:val="left"/>
      <w:lvlText w:val="%1."/>
      <w:numFmt w:val="decimal"/>
      <w:start w:val="16"/>
    </w:lvl>
    <w:lvl w:ilvl="1">
      <w:lvlJc w:val="left"/>
      <w:lvlText w:val="%2."/>
      <w:numFmt w:val="decimal"/>
      <w:start w:val="1"/>
    </w:lvl>
  </w:abstractNum>
  <w:abstractNum w:abstractNumId="46">
    <w:nsid w:val="38437FDB"/>
    <w:multiLevelType w:val="hybridMultilevel"/>
    <w:lvl w:ilvl="0">
      <w:lvlJc w:val="left"/>
      <w:lvlText w:val="%1."/>
      <w:numFmt w:val="decimal"/>
      <w:start w:val="4"/>
    </w:lvl>
  </w:abstractNum>
  <w:abstractNum w:abstractNumId="47">
    <w:nsid w:val="7644A45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jpe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e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jpe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jpe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jpe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jpe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27" Type="http://schemas.openxmlformats.org/officeDocument/2006/relationships/hyperlink" Target="http://www.sec.gov/ix?doc=/Archives/edgar/data/1467858/000146785820000028/gm201910k.htm" TargetMode="External"/><Relationship Id="rId28" Type="http://schemas.openxmlformats.org/officeDocument/2006/relationships/hyperlink" Target="http://www.sec.gov/Archives/edgar/data/1467858/000146785820000028/ex-41xdescriptionofsec.htm" TargetMode="External"/><Relationship Id="rId56" Type="http://schemas.openxmlformats.org/officeDocument/2006/relationships/hyperlink" Target="http://www.sec.gov/Archives/edgar/data/1467858/000119312510279214/dex32.htm" TargetMode="External"/><Relationship Id="rId57" Type="http://schemas.openxmlformats.org/officeDocument/2006/relationships/hyperlink" Target="http://www.sec.gov/Archives/edgar/data/1467858/000119312518252892/d595623dex31.htm" TargetMode="External"/><Relationship Id="rId58" Type="http://schemas.openxmlformats.org/officeDocument/2006/relationships/hyperlink" Target="http://www.sec.gov/Archives/edgar/data/1467858/000146785814000133/ex42043014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2020-02-05T16:19:48Z</dcterms:created>
  <dcterms:modified xsi:type="dcterms:W3CDTF">2020-02-05T16:19:48Z</dcterms:modified>
</cp:coreProperties>
</file>