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5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5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87"/>
                </w:rPr>
                <w:t>Hatto Christopher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83" w:lineRule="exact"/>
              <w:rPr>
                <w:rFonts w:ascii="Arial" w:cs="Arial" w:eastAsia="Arial" w:hAnsi="Arial"/>
                <w:sz w:val="9"/>
                <w:szCs w:val="9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9"/>
                  <w:szCs w:val="9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[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GM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Vice President &amp; CAO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300 RENAISSANCE CENTER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M/C: 482-C23-A68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</w:tcPr>
          <w:p>
            <w:pPr>
              <w:ind w:left="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Employee Stock Option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49.46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02/08/2022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15,697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72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02/08/2032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15,697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15,697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(Right to Buy)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1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9"/>
              </w:rPr>
              <w:t>1. These Stock Options were granted on February 8, 2022. One-third will vest on February 8, 2023; one-third will vest on February 8, 2024; and one-third will vest on February 8, 2025.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/s/ Tia Y. Turk, Attorney-In-Fact for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Mr. Hatto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1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6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215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2022-02-11T23:43:22Z</dcterms:created>
  <dcterms:modified xsi:type="dcterms:W3CDTF">2022-02-11T23:43:22Z</dcterms:modified>
</cp:coreProperties>
</file>